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0A44FB" w14:textId="7A19A08F" w:rsidR="000D108F" w:rsidRPr="00331564" w:rsidRDefault="000D108F" w:rsidP="00674B65">
      <w:pPr>
        <w:pStyle w:val="Heading1"/>
      </w:pPr>
      <w:bookmarkStart w:id="0" w:name="_Hlk138422460"/>
      <w:bookmarkStart w:id="1" w:name="_Toc61984578"/>
      <w:bookmarkStart w:id="2" w:name="_Toc61984580"/>
      <w:bookmarkStart w:id="3" w:name="_Toc61294764"/>
      <w:bookmarkEnd w:id="0"/>
      <w:r w:rsidRPr="00331564">
        <w:t>Census 2021 Briefin</w:t>
      </w:r>
      <w:r w:rsidR="002276E1" w:rsidRPr="00331564">
        <w:t xml:space="preserve">g </w:t>
      </w:r>
      <w:r w:rsidR="005D31F1">
        <w:t xml:space="preserve">Approximated </w:t>
      </w:r>
      <w:r w:rsidR="008C6F77">
        <w:t>S</w:t>
      </w:r>
      <w:r w:rsidR="005D31F1">
        <w:t>ocial Grade</w:t>
      </w:r>
      <w:r w:rsidR="002276E1" w:rsidRPr="00331564">
        <w:t xml:space="preserve"> </w:t>
      </w:r>
    </w:p>
    <w:p w14:paraId="04054387" w14:textId="77777777" w:rsidR="00320BDD" w:rsidRPr="00331564" w:rsidRDefault="000D108F" w:rsidP="00AD3FAE">
      <w:pPr>
        <w:pStyle w:val="Frontpagesub-title"/>
        <w:rPr>
          <w:rFonts w:ascii="Arial" w:hAnsi="Arial" w:cs="Arial"/>
        </w:rPr>
      </w:pPr>
      <w:r w:rsidRPr="00331564">
        <w:rPr>
          <w:rFonts w:ascii="Arial" w:hAnsi="Arial" w:cs="Arial"/>
          <w:noProof/>
        </w:rPr>
        <w:drawing>
          <wp:anchor distT="0" distB="0" distL="114300" distR="114300" simplePos="0" relativeHeight="251660288" behindDoc="1" locked="1" layoutInCell="1" allowOverlap="0" wp14:anchorId="5627137D" wp14:editId="22EEC7B9">
            <wp:simplePos x="0" y="0"/>
            <wp:positionH relativeFrom="page">
              <wp:posOffset>0</wp:posOffset>
            </wp:positionH>
            <wp:positionV relativeFrom="margin">
              <wp:posOffset>-1076325</wp:posOffset>
            </wp:positionV>
            <wp:extent cx="7665720" cy="1084453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65720" cy="10844530"/>
                    </a:xfrm>
                    <a:prstGeom prst="rect">
                      <a:avLst/>
                    </a:prstGeom>
                  </pic:spPr>
                </pic:pic>
              </a:graphicData>
            </a:graphic>
            <wp14:sizeRelH relativeFrom="margin">
              <wp14:pctWidth>0</wp14:pctWidth>
            </wp14:sizeRelH>
            <wp14:sizeRelV relativeFrom="margin">
              <wp14:pctHeight>0</wp14:pctHeight>
            </wp14:sizeRelV>
          </wp:anchor>
        </w:drawing>
      </w:r>
      <w:bookmarkEnd w:id="1"/>
    </w:p>
    <w:sdt>
      <w:sdtPr>
        <w:rPr>
          <w:rFonts w:ascii="Arial" w:hAnsi="Arial" w:cs="Arial"/>
        </w:rPr>
        <w:id w:val="-1571263057"/>
        <w:docPartObj>
          <w:docPartGallery w:val="Cover Pages"/>
          <w:docPartUnique/>
        </w:docPartObj>
      </w:sdtPr>
      <w:sdtEndPr>
        <w:rPr>
          <w:highlight w:val="yellow"/>
        </w:rPr>
      </w:sdtEndPr>
      <w:sdtContent>
        <w:p w14:paraId="58FC4CB6" w14:textId="77777777" w:rsidR="00F16596" w:rsidRPr="00331564" w:rsidRDefault="000D108F" w:rsidP="00481543">
          <w:pPr>
            <w:pStyle w:val="Frontpagesub-title"/>
            <w:rPr>
              <w:rStyle w:val="Frontpagesub-titleChar"/>
              <w:rFonts w:cs="Arial"/>
              <w:b/>
              <w:bCs/>
            </w:rPr>
          </w:pPr>
          <w:r w:rsidRPr="00331564">
            <w:rPr>
              <w:rStyle w:val="Frontpagesub-titleChar"/>
              <w:rFonts w:cs="Arial"/>
              <w:b/>
              <w:bCs/>
            </w:rPr>
            <w:t>GMCA</w:t>
          </w:r>
          <w:r w:rsidRPr="00331564">
            <w:rPr>
              <w:rStyle w:val="Frontpagesub-titleChar"/>
              <w:rFonts w:cs="Arial"/>
            </w:rPr>
            <w:t xml:space="preserve"> </w:t>
          </w:r>
          <w:r w:rsidRPr="00331564">
            <w:rPr>
              <w:rStyle w:val="Frontpagesub-titleChar"/>
              <w:rFonts w:cs="Arial"/>
              <w:b/>
              <w:bCs/>
            </w:rPr>
            <w:t>Research</w:t>
          </w:r>
        </w:p>
        <w:p w14:paraId="44DD08CE" w14:textId="2A73F6CF" w:rsidR="00E873A0" w:rsidRPr="00331564" w:rsidRDefault="00BF70E3" w:rsidP="00481543">
          <w:pPr>
            <w:pStyle w:val="Frontpagesub-title"/>
            <w:rPr>
              <w:rFonts w:ascii="Arial" w:hAnsi="Arial" w:cs="Arial"/>
            </w:rPr>
          </w:pPr>
          <w:r>
            <w:rPr>
              <w:rStyle w:val="Frontpagesub-titleChar"/>
              <w:rFonts w:cs="Arial"/>
            </w:rPr>
            <w:t>June</w:t>
          </w:r>
          <w:r w:rsidR="00252206">
            <w:rPr>
              <w:rStyle w:val="Frontpagesub-titleChar"/>
              <w:rFonts w:cs="Arial"/>
            </w:rPr>
            <w:t xml:space="preserve"> 202</w:t>
          </w:r>
          <w:r w:rsidR="00D9435F">
            <w:rPr>
              <w:rStyle w:val="Frontpagesub-titleChar"/>
              <w:rFonts w:cs="Arial"/>
            </w:rPr>
            <w:t>4</w:t>
          </w:r>
        </w:p>
      </w:sdtContent>
    </w:sdt>
    <w:bookmarkEnd w:id="3" w:displacedByCustomXml="prev"/>
    <w:bookmarkEnd w:id="2" w:displacedByCustomXml="prev"/>
    <w:p w14:paraId="6EA792A9" w14:textId="77777777" w:rsidR="000D108F" w:rsidRPr="00331564" w:rsidRDefault="000D108F" w:rsidP="000D108F">
      <w:pPr>
        <w:rPr>
          <w:rFonts w:ascii="Arial" w:hAnsi="Arial" w:cs="Arial"/>
          <w:color w:val="FFFFFF" w:themeColor="background1"/>
          <w:sz w:val="36"/>
          <w:szCs w:val="36"/>
        </w:rPr>
      </w:pPr>
      <w:r w:rsidRPr="00331564">
        <w:rPr>
          <w:rFonts w:ascii="Arial" w:hAnsi="Arial" w:cs="Arial"/>
          <w:noProof/>
        </w:rPr>
        <w:lastRenderedPageBreak/>
        <mc:AlternateContent>
          <mc:Choice Requires="wps">
            <w:drawing>
              <wp:inline distT="0" distB="0" distL="0" distR="0" wp14:anchorId="52849C59" wp14:editId="5FF87996">
                <wp:extent cx="6000750" cy="4305300"/>
                <wp:effectExtent l="0" t="0" r="19050"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305300"/>
                        </a:xfrm>
                        <a:prstGeom prst="rect">
                          <a:avLst/>
                        </a:prstGeom>
                        <a:solidFill>
                          <a:schemeClr val="accent1"/>
                        </a:solidFill>
                        <a:ln w="19050">
                          <a:solidFill>
                            <a:schemeClr val="accent1"/>
                          </a:solidFill>
                          <a:miter lim="800000"/>
                          <a:headEnd/>
                          <a:tailEnd/>
                        </a:ln>
                      </wps:spPr>
                      <wps:txbx>
                        <w:txbxContent>
                          <w:p w14:paraId="46D0D2E8" w14:textId="00DFC4D1" w:rsidR="000D108F" w:rsidRPr="00674B65" w:rsidRDefault="000D108F" w:rsidP="000D108F">
                            <w:pPr>
                              <w:rPr>
                                <w:rFonts w:ascii="Arial" w:hAnsi="Arial" w:cs="Arial"/>
                                <w:color w:val="FFFFFF" w:themeColor="background1"/>
                                <w:sz w:val="24"/>
                                <w:szCs w:val="24"/>
                              </w:rPr>
                            </w:pPr>
                            <w:r w:rsidRPr="00674B65">
                              <w:rPr>
                                <w:rFonts w:ascii="Arial" w:hAnsi="Arial" w:cs="Arial"/>
                                <w:b/>
                                <w:bCs/>
                                <w:color w:val="FFFFFF" w:themeColor="background1"/>
                                <w:sz w:val="24"/>
                                <w:szCs w:val="24"/>
                              </w:rPr>
                              <w:t>Dataset</w:t>
                            </w:r>
                            <w:r w:rsidRPr="00674B65">
                              <w:rPr>
                                <w:rFonts w:ascii="Arial" w:hAnsi="Arial" w:cs="Arial"/>
                                <w:color w:val="FFFFFF" w:themeColor="background1"/>
                                <w:sz w:val="24"/>
                                <w:szCs w:val="24"/>
                              </w:rPr>
                              <w:t xml:space="preserve">: </w:t>
                            </w:r>
                            <w:r w:rsidR="005D31F1">
                              <w:rPr>
                                <w:rFonts w:ascii="Arial" w:hAnsi="Arial" w:cs="Arial"/>
                                <w:color w:val="FFFFFF" w:themeColor="background1"/>
                                <w:sz w:val="24"/>
                                <w:szCs w:val="24"/>
                              </w:rPr>
                              <w:t>Approximated Social Grade</w:t>
                            </w:r>
                            <w:r w:rsidR="00B7525E">
                              <w:rPr>
                                <w:rFonts w:ascii="Arial" w:hAnsi="Arial" w:cs="Arial"/>
                                <w:color w:val="FFFFFF" w:themeColor="background1"/>
                                <w:sz w:val="24"/>
                                <w:szCs w:val="24"/>
                              </w:rPr>
                              <w:t>,</w:t>
                            </w:r>
                            <w:r w:rsidR="00DC6012">
                              <w:rPr>
                                <w:rFonts w:ascii="Arial" w:hAnsi="Arial" w:cs="Arial"/>
                                <w:color w:val="FFFFFF" w:themeColor="background1"/>
                                <w:sz w:val="24"/>
                                <w:szCs w:val="24"/>
                              </w:rPr>
                              <w:t xml:space="preserve"> </w:t>
                            </w:r>
                            <w:r w:rsidR="009057D6">
                              <w:rPr>
                                <w:rFonts w:ascii="Arial" w:hAnsi="Arial" w:cs="Arial"/>
                                <w:color w:val="FFFFFF" w:themeColor="background1"/>
                                <w:sz w:val="24"/>
                                <w:szCs w:val="24"/>
                              </w:rPr>
                              <w:t xml:space="preserve">Geography, </w:t>
                            </w:r>
                            <w:r w:rsidR="00CD0012">
                              <w:rPr>
                                <w:rFonts w:ascii="Arial" w:hAnsi="Arial" w:cs="Arial"/>
                                <w:color w:val="FFFFFF" w:themeColor="background1"/>
                                <w:sz w:val="24"/>
                                <w:szCs w:val="24"/>
                              </w:rPr>
                              <w:t>Ethnicity</w:t>
                            </w:r>
                          </w:p>
                          <w:p w14:paraId="5437E366" w14:textId="63739CDE" w:rsidR="000D108F" w:rsidRPr="00673641" w:rsidRDefault="000D108F" w:rsidP="000D108F">
                            <w:pPr>
                              <w:rPr>
                                <w:rFonts w:ascii="Arial" w:hAnsi="Arial" w:cs="Arial"/>
                                <w:bCs/>
                                <w:color w:val="FFFFFF" w:themeColor="background1"/>
                                <w:sz w:val="24"/>
                                <w:szCs w:val="24"/>
                              </w:rPr>
                            </w:pPr>
                            <w:r w:rsidRPr="00674B65">
                              <w:rPr>
                                <w:rFonts w:ascii="Arial" w:hAnsi="Arial" w:cs="Arial"/>
                                <w:b/>
                                <w:bCs/>
                                <w:color w:val="FFFFFF" w:themeColor="background1"/>
                                <w:sz w:val="24"/>
                                <w:szCs w:val="24"/>
                              </w:rPr>
                              <w:t>Datalink</w:t>
                            </w:r>
                            <w:r w:rsidRPr="00674B65">
                              <w:rPr>
                                <w:rFonts w:ascii="Arial" w:hAnsi="Arial" w:cs="Arial"/>
                                <w:color w:val="FFFFFF" w:themeColor="background1"/>
                                <w:sz w:val="24"/>
                                <w:szCs w:val="24"/>
                              </w:rPr>
                              <w:t>: The data used in this briefing can be found at</w:t>
                            </w:r>
                            <w:r w:rsidR="00211CBC" w:rsidRPr="00211CBC">
                              <w:t xml:space="preserve"> </w:t>
                            </w:r>
                            <w:hyperlink r:id="rId12" w:history="1">
                              <w:r w:rsidR="0074600A" w:rsidRPr="0074600A">
                                <w:rPr>
                                  <w:rStyle w:val="Hyperlink"/>
                                  <w:rFonts w:cs="Arial"/>
                                  <w:color w:val="FFFFFF" w:themeColor="background1"/>
                                  <w:sz w:val="24"/>
                                  <w:szCs w:val="24"/>
                                </w:rPr>
                                <w:t>Approximated Social Grade, England and Wales - Office for National Statistics (ons.gov.uk)</w:t>
                              </w:r>
                            </w:hyperlink>
                            <w:r w:rsidR="0052512D" w:rsidRPr="00674B65">
                              <w:rPr>
                                <w:rFonts w:ascii="Arial" w:hAnsi="Arial" w:cs="Arial"/>
                                <w:color w:val="FFFFFF" w:themeColor="background1"/>
                                <w:sz w:val="24"/>
                                <w:szCs w:val="24"/>
                              </w:rPr>
                              <w:t>.</w:t>
                            </w:r>
                          </w:p>
                          <w:p w14:paraId="05949A0C" w14:textId="2B081FE9" w:rsidR="00D675FA" w:rsidRPr="00D675FA" w:rsidRDefault="000D108F" w:rsidP="00D675FA">
                            <w:pPr>
                              <w:rPr>
                                <w:rFonts w:ascii="Arial" w:hAnsi="Arial" w:cs="Arial"/>
                                <w:color w:val="FFFFFF" w:themeColor="background1"/>
                                <w:sz w:val="24"/>
                                <w:szCs w:val="24"/>
                              </w:rPr>
                            </w:pPr>
                            <w:r w:rsidRPr="00674B65">
                              <w:rPr>
                                <w:rFonts w:ascii="Arial" w:hAnsi="Arial" w:cs="Arial"/>
                                <w:b/>
                                <w:bCs/>
                                <w:color w:val="FFFFFF" w:themeColor="background1"/>
                                <w:sz w:val="24"/>
                                <w:szCs w:val="24"/>
                              </w:rPr>
                              <w:t>Definition</w:t>
                            </w:r>
                            <w:r w:rsidR="000C3CF1">
                              <w:rPr>
                                <w:rFonts w:ascii="Arial" w:hAnsi="Arial" w:cs="Arial"/>
                                <w:b/>
                                <w:bCs/>
                                <w:color w:val="FFFFFF" w:themeColor="background1"/>
                                <w:sz w:val="24"/>
                                <w:szCs w:val="24"/>
                              </w:rPr>
                              <w:t>s</w:t>
                            </w:r>
                            <w:r w:rsidRPr="00674B65">
                              <w:rPr>
                                <w:rFonts w:ascii="Arial" w:hAnsi="Arial" w:cs="Arial"/>
                                <w:color w:val="FFFFFF" w:themeColor="background1"/>
                                <w:sz w:val="24"/>
                                <w:szCs w:val="24"/>
                              </w:rPr>
                              <w:t xml:space="preserve">: </w:t>
                            </w:r>
                            <w:r w:rsidR="00436E0F" w:rsidRPr="00436E0F">
                              <w:rPr>
                                <w:rFonts w:ascii="Arial" w:hAnsi="Arial" w:cs="Arial"/>
                                <w:color w:val="FFFFFF" w:themeColor="background1"/>
                                <w:sz w:val="24"/>
                                <w:szCs w:val="24"/>
                              </w:rPr>
                              <w:t xml:space="preserve">Social </w:t>
                            </w:r>
                            <w:r w:rsidR="0079358A">
                              <w:rPr>
                                <w:rFonts w:ascii="Arial" w:hAnsi="Arial" w:cs="Arial"/>
                                <w:color w:val="FFFFFF" w:themeColor="background1"/>
                                <w:sz w:val="24"/>
                                <w:szCs w:val="24"/>
                              </w:rPr>
                              <w:t>g</w:t>
                            </w:r>
                            <w:r w:rsidR="00436E0F" w:rsidRPr="00436E0F">
                              <w:rPr>
                                <w:rFonts w:ascii="Arial" w:hAnsi="Arial" w:cs="Arial"/>
                                <w:color w:val="FFFFFF" w:themeColor="background1"/>
                                <w:sz w:val="24"/>
                                <w:szCs w:val="24"/>
                              </w:rPr>
                              <w:t xml:space="preserve">rade </w:t>
                            </w:r>
                            <w:r w:rsidR="00815B80">
                              <w:rPr>
                                <w:rFonts w:ascii="Arial" w:hAnsi="Arial" w:cs="Arial"/>
                                <w:color w:val="FFFFFF" w:themeColor="background1"/>
                                <w:sz w:val="24"/>
                                <w:szCs w:val="24"/>
                              </w:rPr>
                              <w:t>groups</w:t>
                            </w:r>
                            <w:r w:rsidR="00436E0F" w:rsidRPr="00436E0F">
                              <w:rPr>
                                <w:rFonts w:ascii="Arial" w:hAnsi="Arial" w:cs="Arial"/>
                                <w:color w:val="FFFFFF" w:themeColor="background1"/>
                                <w:sz w:val="24"/>
                                <w:szCs w:val="24"/>
                              </w:rPr>
                              <w:t xml:space="preserve"> people by their social and financial situation.</w:t>
                            </w:r>
                            <w:r w:rsidR="00D675FA">
                              <w:rPr>
                                <w:rFonts w:ascii="Arial" w:hAnsi="Arial" w:cs="Arial"/>
                                <w:color w:val="FFFFFF" w:themeColor="background1"/>
                                <w:sz w:val="24"/>
                                <w:szCs w:val="24"/>
                              </w:rPr>
                              <w:t xml:space="preserve"> </w:t>
                            </w:r>
                            <w:r w:rsidR="00D675FA" w:rsidRPr="00D675FA">
                              <w:rPr>
                                <w:rFonts w:ascii="Arial" w:hAnsi="Arial" w:cs="Arial"/>
                                <w:color w:val="FFFFFF" w:themeColor="background1"/>
                                <w:sz w:val="24"/>
                                <w:szCs w:val="24"/>
                              </w:rPr>
                              <w:t>The definitions for these grades are:</w:t>
                            </w:r>
                          </w:p>
                          <w:p w14:paraId="30E68338" w14:textId="6C30D9BB" w:rsidR="00D675FA" w:rsidRPr="00764042" w:rsidRDefault="00D675FA" w:rsidP="00300602">
                            <w:pPr>
                              <w:pStyle w:val="ListParagraph"/>
                              <w:numPr>
                                <w:ilvl w:val="0"/>
                                <w:numId w:val="37"/>
                              </w:numPr>
                              <w:rPr>
                                <w:color w:val="FFFFFF" w:themeColor="background1"/>
                              </w:rPr>
                            </w:pPr>
                            <w:r w:rsidRPr="00764042">
                              <w:rPr>
                                <w:color w:val="FFFFFF" w:themeColor="background1"/>
                              </w:rPr>
                              <w:t xml:space="preserve">AB: higher and intermediate managerial, </w:t>
                            </w:r>
                            <w:proofErr w:type="gramStart"/>
                            <w:r w:rsidRPr="00764042">
                              <w:rPr>
                                <w:color w:val="FFFFFF" w:themeColor="background1"/>
                              </w:rPr>
                              <w:t>administrative</w:t>
                            </w:r>
                            <w:proofErr w:type="gramEnd"/>
                            <w:r w:rsidRPr="00764042">
                              <w:rPr>
                                <w:color w:val="FFFFFF" w:themeColor="background1"/>
                              </w:rPr>
                              <w:t xml:space="preserve"> and professional occupations</w:t>
                            </w:r>
                          </w:p>
                          <w:p w14:paraId="1644D26A" w14:textId="16ED9295" w:rsidR="00D675FA" w:rsidRPr="00764042" w:rsidRDefault="00D675FA" w:rsidP="00300602">
                            <w:pPr>
                              <w:pStyle w:val="ListParagraph"/>
                              <w:numPr>
                                <w:ilvl w:val="0"/>
                                <w:numId w:val="37"/>
                              </w:numPr>
                              <w:rPr>
                                <w:color w:val="FFFFFF" w:themeColor="background1"/>
                              </w:rPr>
                            </w:pPr>
                            <w:r w:rsidRPr="00764042">
                              <w:rPr>
                                <w:color w:val="FFFFFF" w:themeColor="background1"/>
                              </w:rPr>
                              <w:t xml:space="preserve">C1: supervisory, clerical, and junior managerial, </w:t>
                            </w:r>
                            <w:proofErr w:type="gramStart"/>
                            <w:r w:rsidRPr="00764042">
                              <w:rPr>
                                <w:color w:val="FFFFFF" w:themeColor="background1"/>
                              </w:rPr>
                              <w:t>administrative</w:t>
                            </w:r>
                            <w:proofErr w:type="gramEnd"/>
                            <w:r w:rsidRPr="00764042">
                              <w:rPr>
                                <w:color w:val="FFFFFF" w:themeColor="background1"/>
                              </w:rPr>
                              <w:t xml:space="preserve"> and professional occupations</w:t>
                            </w:r>
                          </w:p>
                          <w:p w14:paraId="6948E287" w14:textId="5B1548E0" w:rsidR="00D675FA" w:rsidRPr="00764042" w:rsidRDefault="00D675FA" w:rsidP="00300602">
                            <w:pPr>
                              <w:pStyle w:val="ListParagraph"/>
                              <w:numPr>
                                <w:ilvl w:val="0"/>
                                <w:numId w:val="37"/>
                              </w:numPr>
                              <w:rPr>
                                <w:color w:val="FFFFFF" w:themeColor="background1"/>
                              </w:rPr>
                            </w:pPr>
                            <w:r w:rsidRPr="00764042">
                              <w:rPr>
                                <w:color w:val="FFFFFF" w:themeColor="background1"/>
                              </w:rPr>
                              <w:t>C2: skilled manual occupations</w:t>
                            </w:r>
                          </w:p>
                          <w:p w14:paraId="3FB7E40F" w14:textId="16C463BB" w:rsidR="002A0CA6" w:rsidRPr="00764042" w:rsidRDefault="00D675FA" w:rsidP="00300602">
                            <w:pPr>
                              <w:pStyle w:val="ListParagraph"/>
                              <w:numPr>
                                <w:ilvl w:val="0"/>
                                <w:numId w:val="37"/>
                              </w:numPr>
                              <w:rPr>
                                <w:color w:val="FFFFFF" w:themeColor="background1"/>
                              </w:rPr>
                            </w:pPr>
                            <w:r w:rsidRPr="00764042">
                              <w:rPr>
                                <w:color w:val="FFFFFF" w:themeColor="background1"/>
                              </w:rPr>
                              <w:t>DE: semi-skilled and unskilled manual occupations, unemployed and lowest grade occupations.</w:t>
                            </w:r>
                          </w:p>
                          <w:p w14:paraId="62E5A11A" w14:textId="77777777" w:rsidR="000D108F" w:rsidRPr="00674B65" w:rsidRDefault="000D108F" w:rsidP="000D108F">
                            <w:pPr>
                              <w:contextualSpacing/>
                              <w:rPr>
                                <w:rFonts w:ascii="Arial" w:hAnsi="Arial" w:cs="Arial"/>
                                <w:color w:val="FFFFFF" w:themeColor="background1"/>
                                <w:sz w:val="24"/>
                                <w:szCs w:val="24"/>
                              </w:rPr>
                            </w:pPr>
                            <w:r w:rsidRPr="00674B65">
                              <w:rPr>
                                <w:rFonts w:ascii="Arial" w:hAnsi="Arial" w:cs="Arial"/>
                                <w:b/>
                                <w:bCs/>
                                <w:color w:val="FFFFFF" w:themeColor="background1"/>
                                <w:sz w:val="24"/>
                                <w:szCs w:val="24"/>
                              </w:rPr>
                              <w:t>Census day</w:t>
                            </w:r>
                            <w:r w:rsidRPr="00674B65">
                              <w:rPr>
                                <w:rFonts w:ascii="Arial" w:hAnsi="Arial" w:cs="Arial"/>
                                <w:color w:val="FFFFFF" w:themeColor="background1"/>
                                <w:sz w:val="24"/>
                                <w:szCs w:val="24"/>
                              </w:rPr>
                              <w:t xml:space="preserve">: </w:t>
                            </w:r>
                            <w:r w:rsidR="00183F03" w:rsidRPr="00674B65">
                              <w:rPr>
                                <w:rFonts w:ascii="Arial" w:hAnsi="Arial" w:cs="Arial"/>
                                <w:color w:val="FFFFFF" w:themeColor="background1"/>
                                <w:sz w:val="24"/>
                                <w:szCs w:val="24"/>
                              </w:rPr>
                              <w:t>The 2021 census was held in England and Wales on 21 March 2021. Census 2021 was undertaken during the Covid-19 pandemic so may not show normal population and household patterns due to temporary changes in living circumstances during the pandemic for some households.</w:t>
                            </w:r>
                          </w:p>
                        </w:txbxContent>
                      </wps:txbx>
                      <wps:bodyPr rot="0" vert="horz" wrap="square" lIns="216000" tIns="216000" rIns="216000" bIns="216000" anchor="t" anchorCtr="0">
                        <a:noAutofit/>
                      </wps:bodyPr>
                    </wps:wsp>
                  </a:graphicData>
                </a:graphic>
              </wp:inline>
            </w:drawing>
          </mc:Choice>
          <mc:Fallback>
            <w:pict>
              <v:shapetype w14:anchorId="52849C59" id="_x0000_t202" coordsize="21600,21600" o:spt="202" path="m,l,21600r21600,l21600,xe">
                <v:stroke joinstyle="miter"/>
                <v:path gradientshapeok="t" o:connecttype="rect"/>
              </v:shapetype>
              <v:shape id="Text Box 2" o:spid="_x0000_s1026" type="#_x0000_t202" style="width:472.5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" fillcolor="#2c5060 [3204]" strokecolor="#2c5060 [3204]" strokeweight="1.5pt">
                <v:textbox inset="6mm,6mm,6mm,6mm">
                  <w:txbxContent>
                    <w:p w14:paraId="46D0D2E8" w14:textId="00DFC4D1" w:rsidR="000D108F" w:rsidRPr="00674B65" w:rsidRDefault="000D108F" w:rsidP="000D108F">
                      <w:pPr>
                        <w:rPr>
                          <w:rFonts w:ascii="Arial" w:hAnsi="Arial" w:cs="Arial"/>
                          <w:color w:val="FFFFFF" w:themeColor="background1"/>
                          <w:sz w:val="24"/>
                          <w:szCs w:val="24"/>
                        </w:rPr>
                      </w:pPr>
                      <w:r w:rsidRPr="00674B65">
                        <w:rPr>
                          <w:rFonts w:ascii="Arial" w:hAnsi="Arial" w:cs="Arial"/>
                          <w:b/>
                          <w:bCs/>
                          <w:color w:val="FFFFFF" w:themeColor="background1"/>
                          <w:sz w:val="24"/>
                          <w:szCs w:val="24"/>
                        </w:rPr>
                        <w:t>Dataset</w:t>
                      </w:r>
                      <w:r w:rsidRPr="00674B65">
                        <w:rPr>
                          <w:rFonts w:ascii="Arial" w:hAnsi="Arial" w:cs="Arial"/>
                          <w:color w:val="FFFFFF" w:themeColor="background1"/>
                          <w:sz w:val="24"/>
                          <w:szCs w:val="24"/>
                        </w:rPr>
                        <w:t xml:space="preserve">: </w:t>
                      </w:r>
                      <w:r w:rsidR="005D31F1">
                        <w:rPr>
                          <w:rFonts w:ascii="Arial" w:hAnsi="Arial" w:cs="Arial"/>
                          <w:color w:val="FFFFFF" w:themeColor="background1"/>
                          <w:sz w:val="24"/>
                          <w:szCs w:val="24"/>
                        </w:rPr>
                        <w:t>Approximated Social Grade</w:t>
                      </w:r>
                      <w:r w:rsidR="00B7525E">
                        <w:rPr>
                          <w:rFonts w:ascii="Arial" w:hAnsi="Arial" w:cs="Arial"/>
                          <w:color w:val="FFFFFF" w:themeColor="background1"/>
                          <w:sz w:val="24"/>
                          <w:szCs w:val="24"/>
                        </w:rPr>
                        <w:t>,</w:t>
                      </w:r>
                      <w:r w:rsidR="00DC6012">
                        <w:rPr>
                          <w:rFonts w:ascii="Arial" w:hAnsi="Arial" w:cs="Arial"/>
                          <w:color w:val="FFFFFF" w:themeColor="background1"/>
                          <w:sz w:val="24"/>
                          <w:szCs w:val="24"/>
                        </w:rPr>
                        <w:t xml:space="preserve"> </w:t>
                      </w:r>
                      <w:r w:rsidR="009057D6">
                        <w:rPr>
                          <w:rFonts w:ascii="Arial" w:hAnsi="Arial" w:cs="Arial"/>
                          <w:color w:val="FFFFFF" w:themeColor="background1"/>
                          <w:sz w:val="24"/>
                          <w:szCs w:val="24"/>
                        </w:rPr>
                        <w:t xml:space="preserve">Geography, </w:t>
                      </w:r>
                      <w:r w:rsidR="00CD0012">
                        <w:rPr>
                          <w:rFonts w:ascii="Arial" w:hAnsi="Arial" w:cs="Arial"/>
                          <w:color w:val="FFFFFF" w:themeColor="background1"/>
                          <w:sz w:val="24"/>
                          <w:szCs w:val="24"/>
                        </w:rPr>
                        <w:t>Ethnicity</w:t>
                      </w:r>
                    </w:p>
                    <w:p w14:paraId="5437E366" w14:textId="63739CDE" w:rsidR="000D108F" w:rsidRPr="00673641" w:rsidRDefault="000D108F" w:rsidP="000D108F">
                      <w:pPr>
                        <w:rPr>
                          <w:rFonts w:ascii="Arial" w:hAnsi="Arial" w:cs="Arial"/>
                          <w:bCs/>
                          <w:color w:val="FFFFFF" w:themeColor="background1"/>
                          <w:sz w:val="24"/>
                          <w:szCs w:val="24"/>
                        </w:rPr>
                      </w:pPr>
                      <w:r w:rsidRPr="00674B65">
                        <w:rPr>
                          <w:rFonts w:ascii="Arial" w:hAnsi="Arial" w:cs="Arial"/>
                          <w:b/>
                          <w:bCs/>
                          <w:color w:val="FFFFFF" w:themeColor="background1"/>
                          <w:sz w:val="24"/>
                          <w:szCs w:val="24"/>
                        </w:rPr>
                        <w:t>Datalink</w:t>
                      </w:r>
                      <w:r w:rsidRPr="00674B65">
                        <w:rPr>
                          <w:rFonts w:ascii="Arial" w:hAnsi="Arial" w:cs="Arial"/>
                          <w:color w:val="FFFFFF" w:themeColor="background1"/>
                          <w:sz w:val="24"/>
                          <w:szCs w:val="24"/>
                        </w:rPr>
                        <w:t>: The data used in this briefing can be found at</w:t>
                      </w:r>
                      <w:r w:rsidR="00211CBC" w:rsidRPr="00211CBC">
                        <w:t xml:space="preserve"> </w:t>
                      </w:r>
                      <w:hyperlink r:id="rId13" w:history="1">
                        <w:r w:rsidR="0074600A" w:rsidRPr="0074600A">
                          <w:rPr>
                            <w:rStyle w:val="Hyperlink"/>
                            <w:rFonts w:cs="Arial"/>
                            <w:color w:val="FFFFFF" w:themeColor="background1"/>
                            <w:sz w:val="24"/>
                            <w:szCs w:val="24"/>
                          </w:rPr>
                          <w:t>Approximated Social Grade, England and Wales - Office for National Statistics (ons.gov.uk)</w:t>
                        </w:r>
                      </w:hyperlink>
                      <w:r w:rsidR="0052512D" w:rsidRPr="00674B65">
                        <w:rPr>
                          <w:rFonts w:ascii="Arial" w:hAnsi="Arial" w:cs="Arial"/>
                          <w:color w:val="FFFFFF" w:themeColor="background1"/>
                          <w:sz w:val="24"/>
                          <w:szCs w:val="24"/>
                        </w:rPr>
                        <w:t>.</w:t>
                      </w:r>
                    </w:p>
                    <w:p w14:paraId="05949A0C" w14:textId="2B081FE9" w:rsidR="00D675FA" w:rsidRPr="00D675FA" w:rsidRDefault="000D108F" w:rsidP="00D675FA">
                      <w:pPr>
                        <w:rPr>
                          <w:rFonts w:ascii="Arial" w:hAnsi="Arial" w:cs="Arial"/>
                          <w:color w:val="FFFFFF" w:themeColor="background1"/>
                          <w:sz w:val="24"/>
                          <w:szCs w:val="24"/>
                        </w:rPr>
                      </w:pPr>
                      <w:r w:rsidRPr="00674B65">
                        <w:rPr>
                          <w:rFonts w:ascii="Arial" w:hAnsi="Arial" w:cs="Arial"/>
                          <w:b/>
                          <w:bCs/>
                          <w:color w:val="FFFFFF" w:themeColor="background1"/>
                          <w:sz w:val="24"/>
                          <w:szCs w:val="24"/>
                        </w:rPr>
                        <w:t>Definition</w:t>
                      </w:r>
                      <w:r w:rsidR="000C3CF1">
                        <w:rPr>
                          <w:rFonts w:ascii="Arial" w:hAnsi="Arial" w:cs="Arial"/>
                          <w:b/>
                          <w:bCs/>
                          <w:color w:val="FFFFFF" w:themeColor="background1"/>
                          <w:sz w:val="24"/>
                          <w:szCs w:val="24"/>
                        </w:rPr>
                        <w:t>s</w:t>
                      </w:r>
                      <w:r w:rsidRPr="00674B65">
                        <w:rPr>
                          <w:rFonts w:ascii="Arial" w:hAnsi="Arial" w:cs="Arial"/>
                          <w:color w:val="FFFFFF" w:themeColor="background1"/>
                          <w:sz w:val="24"/>
                          <w:szCs w:val="24"/>
                        </w:rPr>
                        <w:t xml:space="preserve">: </w:t>
                      </w:r>
                      <w:r w:rsidR="00436E0F" w:rsidRPr="00436E0F">
                        <w:rPr>
                          <w:rFonts w:ascii="Arial" w:hAnsi="Arial" w:cs="Arial"/>
                          <w:color w:val="FFFFFF" w:themeColor="background1"/>
                          <w:sz w:val="24"/>
                          <w:szCs w:val="24"/>
                        </w:rPr>
                        <w:t xml:space="preserve">Social </w:t>
                      </w:r>
                      <w:r w:rsidR="0079358A">
                        <w:rPr>
                          <w:rFonts w:ascii="Arial" w:hAnsi="Arial" w:cs="Arial"/>
                          <w:color w:val="FFFFFF" w:themeColor="background1"/>
                          <w:sz w:val="24"/>
                          <w:szCs w:val="24"/>
                        </w:rPr>
                        <w:t>g</w:t>
                      </w:r>
                      <w:r w:rsidR="00436E0F" w:rsidRPr="00436E0F">
                        <w:rPr>
                          <w:rFonts w:ascii="Arial" w:hAnsi="Arial" w:cs="Arial"/>
                          <w:color w:val="FFFFFF" w:themeColor="background1"/>
                          <w:sz w:val="24"/>
                          <w:szCs w:val="24"/>
                        </w:rPr>
                        <w:t xml:space="preserve">rade </w:t>
                      </w:r>
                      <w:r w:rsidR="00815B80">
                        <w:rPr>
                          <w:rFonts w:ascii="Arial" w:hAnsi="Arial" w:cs="Arial"/>
                          <w:color w:val="FFFFFF" w:themeColor="background1"/>
                          <w:sz w:val="24"/>
                          <w:szCs w:val="24"/>
                        </w:rPr>
                        <w:t>groups</w:t>
                      </w:r>
                      <w:r w:rsidR="00436E0F" w:rsidRPr="00436E0F">
                        <w:rPr>
                          <w:rFonts w:ascii="Arial" w:hAnsi="Arial" w:cs="Arial"/>
                          <w:color w:val="FFFFFF" w:themeColor="background1"/>
                          <w:sz w:val="24"/>
                          <w:szCs w:val="24"/>
                        </w:rPr>
                        <w:t xml:space="preserve"> people by their social and financial situation.</w:t>
                      </w:r>
                      <w:r w:rsidR="00D675FA">
                        <w:rPr>
                          <w:rFonts w:ascii="Arial" w:hAnsi="Arial" w:cs="Arial"/>
                          <w:color w:val="FFFFFF" w:themeColor="background1"/>
                          <w:sz w:val="24"/>
                          <w:szCs w:val="24"/>
                        </w:rPr>
                        <w:t xml:space="preserve"> </w:t>
                      </w:r>
                      <w:r w:rsidR="00D675FA" w:rsidRPr="00D675FA">
                        <w:rPr>
                          <w:rFonts w:ascii="Arial" w:hAnsi="Arial" w:cs="Arial"/>
                          <w:color w:val="FFFFFF" w:themeColor="background1"/>
                          <w:sz w:val="24"/>
                          <w:szCs w:val="24"/>
                        </w:rPr>
                        <w:t>The definitions for these grades are:</w:t>
                      </w:r>
                    </w:p>
                    <w:p w14:paraId="30E68338" w14:textId="6C30D9BB" w:rsidR="00D675FA" w:rsidRPr="00764042" w:rsidRDefault="00D675FA" w:rsidP="00300602">
                      <w:pPr>
                        <w:pStyle w:val="ListParagraph"/>
                        <w:numPr>
                          <w:ilvl w:val="0"/>
                          <w:numId w:val="37"/>
                        </w:numPr>
                        <w:rPr>
                          <w:color w:val="FFFFFF" w:themeColor="background1"/>
                        </w:rPr>
                      </w:pPr>
                      <w:r w:rsidRPr="00764042">
                        <w:rPr>
                          <w:color w:val="FFFFFF" w:themeColor="background1"/>
                        </w:rPr>
                        <w:t xml:space="preserve">AB: higher and intermediate managerial, </w:t>
                      </w:r>
                      <w:proofErr w:type="gramStart"/>
                      <w:r w:rsidRPr="00764042">
                        <w:rPr>
                          <w:color w:val="FFFFFF" w:themeColor="background1"/>
                        </w:rPr>
                        <w:t>administrative</w:t>
                      </w:r>
                      <w:proofErr w:type="gramEnd"/>
                      <w:r w:rsidRPr="00764042">
                        <w:rPr>
                          <w:color w:val="FFFFFF" w:themeColor="background1"/>
                        </w:rPr>
                        <w:t xml:space="preserve"> and professional occupations</w:t>
                      </w:r>
                    </w:p>
                    <w:p w14:paraId="1644D26A" w14:textId="16ED9295" w:rsidR="00D675FA" w:rsidRPr="00764042" w:rsidRDefault="00D675FA" w:rsidP="00300602">
                      <w:pPr>
                        <w:pStyle w:val="ListParagraph"/>
                        <w:numPr>
                          <w:ilvl w:val="0"/>
                          <w:numId w:val="37"/>
                        </w:numPr>
                        <w:rPr>
                          <w:color w:val="FFFFFF" w:themeColor="background1"/>
                        </w:rPr>
                      </w:pPr>
                      <w:r w:rsidRPr="00764042">
                        <w:rPr>
                          <w:color w:val="FFFFFF" w:themeColor="background1"/>
                        </w:rPr>
                        <w:t xml:space="preserve">C1: supervisory, clerical, and junior managerial, </w:t>
                      </w:r>
                      <w:proofErr w:type="gramStart"/>
                      <w:r w:rsidRPr="00764042">
                        <w:rPr>
                          <w:color w:val="FFFFFF" w:themeColor="background1"/>
                        </w:rPr>
                        <w:t>administrative</w:t>
                      </w:r>
                      <w:proofErr w:type="gramEnd"/>
                      <w:r w:rsidRPr="00764042">
                        <w:rPr>
                          <w:color w:val="FFFFFF" w:themeColor="background1"/>
                        </w:rPr>
                        <w:t xml:space="preserve"> and professional occupations</w:t>
                      </w:r>
                    </w:p>
                    <w:p w14:paraId="6948E287" w14:textId="5B1548E0" w:rsidR="00D675FA" w:rsidRPr="00764042" w:rsidRDefault="00D675FA" w:rsidP="00300602">
                      <w:pPr>
                        <w:pStyle w:val="ListParagraph"/>
                        <w:numPr>
                          <w:ilvl w:val="0"/>
                          <w:numId w:val="37"/>
                        </w:numPr>
                        <w:rPr>
                          <w:color w:val="FFFFFF" w:themeColor="background1"/>
                        </w:rPr>
                      </w:pPr>
                      <w:r w:rsidRPr="00764042">
                        <w:rPr>
                          <w:color w:val="FFFFFF" w:themeColor="background1"/>
                        </w:rPr>
                        <w:t>C2: skilled manual occupations</w:t>
                      </w:r>
                    </w:p>
                    <w:p w14:paraId="3FB7E40F" w14:textId="16C463BB" w:rsidR="002A0CA6" w:rsidRPr="00764042" w:rsidRDefault="00D675FA" w:rsidP="00300602">
                      <w:pPr>
                        <w:pStyle w:val="ListParagraph"/>
                        <w:numPr>
                          <w:ilvl w:val="0"/>
                          <w:numId w:val="37"/>
                        </w:numPr>
                        <w:rPr>
                          <w:color w:val="FFFFFF" w:themeColor="background1"/>
                        </w:rPr>
                      </w:pPr>
                      <w:r w:rsidRPr="00764042">
                        <w:rPr>
                          <w:color w:val="FFFFFF" w:themeColor="background1"/>
                        </w:rPr>
                        <w:t>DE: semi-skilled and unskilled manual occupations, unemployed and lowest grade occupations.</w:t>
                      </w:r>
                    </w:p>
                    <w:p w14:paraId="62E5A11A" w14:textId="77777777" w:rsidR="000D108F" w:rsidRPr="00674B65" w:rsidRDefault="000D108F" w:rsidP="000D108F">
                      <w:pPr>
                        <w:contextualSpacing/>
                        <w:rPr>
                          <w:rFonts w:ascii="Arial" w:hAnsi="Arial" w:cs="Arial"/>
                          <w:color w:val="FFFFFF" w:themeColor="background1"/>
                          <w:sz w:val="24"/>
                          <w:szCs w:val="24"/>
                        </w:rPr>
                      </w:pPr>
                      <w:r w:rsidRPr="00674B65">
                        <w:rPr>
                          <w:rFonts w:ascii="Arial" w:hAnsi="Arial" w:cs="Arial"/>
                          <w:b/>
                          <w:bCs/>
                          <w:color w:val="FFFFFF" w:themeColor="background1"/>
                          <w:sz w:val="24"/>
                          <w:szCs w:val="24"/>
                        </w:rPr>
                        <w:t>Census day</w:t>
                      </w:r>
                      <w:r w:rsidRPr="00674B65">
                        <w:rPr>
                          <w:rFonts w:ascii="Arial" w:hAnsi="Arial" w:cs="Arial"/>
                          <w:color w:val="FFFFFF" w:themeColor="background1"/>
                          <w:sz w:val="24"/>
                          <w:szCs w:val="24"/>
                        </w:rPr>
                        <w:t xml:space="preserve">: </w:t>
                      </w:r>
                      <w:r w:rsidR="00183F03" w:rsidRPr="00674B65">
                        <w:rPr>
                          <w:rFonts w:ascii="Arial" w:hAnsi="Arial" w:cs="Arial"/>
                          <w:color w:val="FFFFFF" w:themeColor="background1"/>
                          <w:sz w:val="24"/>
                          <w:szCs w:val="24"/>
                        </w:rPr>
                        <w:t>The 2021 census was held in England and Wales on 21 March 2021. Census 2021 was undertaken during the Covid-19 pandemic so may not show normal population and household patterns due to temporary changes in living circumstances during the pandemic for some households.</w:t>
                      </w:r>
                    </w:p>
                  </w:txbxContent>
                </v:textbox>
                <w10:anchorlock/>
              </v:shape>
            </w:pict>
          </mc:Fallback>
        </mc:AlternateContent>
      </w:r>
    </w:p>
    <w:p w14:paraId="2DB5143A" w14:textId="303AE6F9" w:rsidR="007518C4" w:rsidRPr="00331564" w:rsidRDefault="000D108F" w:rsidP="00300602">
      <w:pPr>
        <w:pStyle w:val="Heading2"/>
      </w:pPr>
      <w:r w:rsidRPr="00331564">
        <w:t>Key points</w:t>
      </w:r>
    </w:p>
    <w:p w14:paraId="354A6A27" w14:textId="217C9520" w:rsidR="00D9435F" w:rsidRPr="00D9435F" w:rsidRDefault="00D9435F" w:rsidP="00300602">
      <w:pPr>
        <w:pStyle w:val="ListParagraph"/>
      </w:pPr>
      <w:r w:rsidRPr="00D9435F">
        <w:t>This briefing explores the class structure of Greater Manchester</w:t>
      </w:r>
      <w:r w:rsidR="0018053A">
        <w:t xml:space="preserve">. It uses </w:t>
      </w:r>
      <w:r w:rsidR="00D84D10">
        <w:t>‘social grade’ – a</w:t>
      </w:r>
      <w:r w:rsidR="00B64280">
        <w:t xml:space="preserve">n approach to classifying residents </w:t>
      </w:r>
      <w:r w:rsidR="00531731">
        <w:t>based on their</w:t>
      </w:r>
      <w:r w:rsidR="00D84D10">
        <w:t xml:space="preserve"> occupation, education level</w:t>
      </w:r>
      <w:r w:rsidR="00957FB5">
        <w:t xml:space="preserve">, household tenure and various other factors. It is a companion </w:t>
      </w:r>
      <w:r w:rsidR="008C3573">
        <w:t xml:space="preserve">to </w:t>
      </w:r>
      <w:r w:rsidRPr="00D9435F">
        <w:t xml:space="preserve">a separate briefing on social </w:t>
      </w:r>
      <w:r>
        <w:t>class</w:t>
      </w:r>
      <w:r w:rsidR="006461BB">
        <w:t xml:space="preserve"> </w:t>
      </w:r>
      <w:r>
        <w:t>which employs the NS-SEC classification</w:t>
      </w:r>
      <w:r w:rsidRPr="00D9435F">
        <w:t>.</w:t>
      </w:r>
    </w:p>
    <w:p w14:paraId="5B9396FB" w14:textId="4FFB957A" w:rsidR="00FB19F4" w:rsidRDefault="00142DFB" w:rsidP="00300602">
      <w:pPr>
        <w:pStyle w:val="ListParagraph"/>
      </w:pPr>
      <w:r w:rsidRPr="00D64471">
        <w:t>According to the 2021 census,</w:t>
      </w:r>
      <w:r w:rsidR="009E72DC" w:rsidRPr="00D64471">
        <w:t xml:space="preserve"> </w:t>
      </w:r>
      <w:r w:rsidR="003B334E" w:rsidRPr="00D64471">
        <w:t>around</w:t>
      </w:r>
      <w:r w:rsidR="00CE2DA9" w:rsidRPr="00D64471">
        <w:t xml:space="preserve"> </w:t>
      </w:r>
      <w:r w:rsidR="006E6E46" w:rsidRPr="00D64471">
        <w:t>583</w:t>
      </w:r>
      <w:r w:rsidR="00CE2DA9" w:rsidRPr="00D64471">
        <w:t>,000</w:t>
      </w:r>
      <w:r w:rsidR="00F722E6" w:rsidRPr="00D64471">
        <w:t xml:space="preserve"> </w:t>
      </w:r>
      <w:r w:rsidR="003B334E" w:rsidRPr="00D64471">
        <w:t xml:space="preserve">working-age </w:t>
      </w:r>
      <w:r w:rsidR="00F722E6" w:rsidRPr="00D64471">
        <w:t xml:space="preserve">residents </w:t>
      </w:r>
      <w:r w:rsidR="003B334E" w:rsidRPr="00D64471">
        <w:t xml:space="preserve">(aged 16-64) </w:t>
      </w:r>
      <w:r w:rsidR="00F722E6" w:rsidRPr="00D64471">
        <w:t>were</w:t>
      </w:r>
      <w:r w:rsidR="005A1C08" w:rsidRPr="00D64471">
        <w:t xml:space="preserve"> in </w:t>
      </w:r>
      <w:r w:rsidR="007A402A" w:rsidRPr="00D64471">
        <w:t xml:space="preserve">the C1 </w:t>
      </w:r>
      <w:r w:rsidR="003B334E" w:rsidRPr="00D64471">
        <w:t>social grade</w:t>
      </w:r>
      <w:r w:rsidR="00D9435F">
        <w:t xml:space="preserve"> (i.e., those in </w:t>
      </w:r>
      <w:r w:rsidR="00D9435F" w:rsidRPr="00D9435F">
        <w:t xml:space="preserve">supervisory, clerical, and junior managerial, </w:t>
      </w:r>
      <w:proofErr w:type="gramStart"/>
      <w:r w:rsidR="00D9435F" w:rsidRPr="00D9435F">
        <w:t>administrative</w:t>
      </w:r>
      <w:proofErr w:type="gramEnd"/>
      <w:r w:rsidR="00D9435F" w:rsidRPr="00D9435F">
        <w:t xml:space="preserve"> and professional occupations</w:t>
      </w:r>
      <w:r w:rsidR="00D9435F">
        <w:t>),</w:t>
      </w:r>
      <w:r w:rsidR="005A1C08" w:rsidRPr="00D64471">
        <w:t xml:space="preserve"> </w:t>
      </w:r>
      <w:r w:rsidR="00FF08D8" w:rsidRPr="00D64471">
        <w:t>accounting for</w:t>
      </w:r>
      <w:r w:rsidR="005A1C08" w:rsidRPr="00D64471">
        <w:t xml:space="preserve"> </w:t>
      </w:r>
      <w:r w:rsidR="007A402A" w:rsidRPr="00D64471">
        <w:t>33</w:t>
      </w:r>
      <w:r w:rsidR="005A1C08" w:rsidRPr="00D64471">
        <w:t>.</w:t>
      </w:r>
      <w:r w:rsidR="007A402A" w:rsidRPr="00D64471">
        <w:t>9</w:t>
      </w:r>
      <w:r w:rsidR="005A1C08" w:rsidRPr="00D64471">
        <w:t xml:space="preserve">% of all </w:t>
      </w:r>
      <w:r w:rsidR="00E32802" w:rsidRPr="00D64471">
        <w:t>16-64-year-olds</w:t>
      </w:r>
      <w:r w:rsidR="00FF08D8" w:rsidRPr="00D64471">
        <w:t xml:space="preserve"> in Greater Manchester</w:t>
      </w:r>
      <w:r w:rsidR="00E32802" w:rsidRPr="00D64471">
        <w:t xml:space="preserve">. This was </w:t>
      </w:r>
      <w:r w:rsidR="00D84E1E">
        <w:t xml:space="preserve">similar to – though slightly above </w:t>
      </w:r>
      <w:r w:rsidR="00300602">
        <w:t>–</w:t>
      </w:r>
      <w:r w:rsidR="00D84E1E">
        <w:t xml:space="preserve"> </w:t>
      </w:r>
      <w:r w:rsidR="00DF7E21" w:rsidRPr="00D64471">
        <w:t xml:space="preserve">the national </w:t>
      </w:r>
      <w:r w:rsidR="00756AEC" w:rsidRPr="00D64471">
        <w:t>figure</w:t>
      </w:r>
      <w:r w:rsidR="00DF7E21" w:rsidRPr="00D64471">
        <w:t xml:space="preserve"> (3</w:t>
      </w:r>
      <w:r w:rsidR="00E32802" w:rsidRPr="00D64471">
        <w:t>3.5</w:t>
      </w:r>
      <w:r w:rsidR="00DF7E21" w:rsidRPr="00D64471">
        <w:t>%</w:t>
      </w:r>
      <w:r w:rsidR="00756AEC" w:rsidRPr="00D64471">
        <w:t xml:space="preserve"> of 16-64-year-olds</w:t>
      </w:r>
      <w:r w:rsidR="00DF7E21" w:rsidRPr="00D64471">
        <w:t>).</w:t>
      </w:r>
      <w:r w:rsidR="007E6A31" w:rsidRPr="00D64471">
        <w:t xml:space="preserve"> </w:t>
      </w:r>
    </w:p>
    <w:p w14:paraId="7C7CCB4C" w14:textId="72B5B9C0" w:rsidR="003F78C0" w:rsidRPr="00D64471" w:rsidRDefault="00461248" w:rsidP="00300602">
      <w:pPr>
        <w:pStyle w:val="ListParagraph"/>
      </w:pPr>
      <w:r>
        <w:t>In</w:t>
      </w:r>
      <w:r w:rsidR="003F78C0" w:rsidRPr="00D64471">
        <w:t xml:space="preserve"> Trafford, 35.2% of residents </w:t>
      </w:r>
      <w:r w:rsidR="005448D7">
        <w:t>were</w:t>
      </w:r>
      <w:r w:rsidR="003F78C0" w:rsidRPr="00D64471">
        <w:t xml:space="preserve"> in the AB group</w:t>
      </w:r>
      <w:r w:rsidR="005448D7">
        <w:t xml:space="preserve"> in 2021 </w:t>
      </w:r>
      <w:r w:rsidR="003F78C0">
        <w:t>(i.e.</w:t>
      </w:r>
      <w:r w:rsidR="003F78C0" w:rsidRPr="00D64471">
        <w:t>,</w:t>
      </w:r>
      <w:r w:rsidR="003F78C0">
        <w:t xml:space="preserve"> those in </w:t>
      </w:r>
      <w:r w:rsidR="003F78C0" w:rsidRPr="00D9435F">
        <w:t xml:space="preserve">higher and intermediate managerial, </w:t>
      </w:r>
      <w:proofErr w:type="gramStart"/>
      <w:r w:rsidR="003F78C0" w:rsidRPr="00D9435F">
        <w:t>administrative</w:t>
      </w:r>
      <w:proofErr w:type="gramEnd"/>
      <w:r w:rsidR="003F78C0" w:rsidRPr="00D9435F">
        <w:t xml:space="preserve"> and professional occupations</w:t>
      </w:r>
      <w:r w:rsidR="003F78C0">
        <w:t>)</w:t>
      </w:r>
      <w:r w:rsidR="005448D7">
        <w:t>. This com</w:t>
      </w:r>
      <w:r w:rsidR="0025686B">
        <w:t>p</w:t>
      </w:r>
      <w:r w:rsidR="005448D7">
        <w:t>ared</w:t>
      </w:r>
      <w:r w:rsidR="003F78C0" w:rsidRPr="00D64471">
        <w:t xml:space="preserve"> to 14.0% in Oldham and 14.7% in Tameside. </w:t>
      </w:r>
    </w:p>
    <w:p w14:paraId="1F67B37B" w14:textId="7DDC23A2" w:rsidR="006461BB" w:rsidRDefault="00D9435F" w:rsidP="00300602">
      <w:pPr>
        <w:pStyle w:val="ListParagraph"/>
      </w:pPr>
      <w:r>
        <w:t xml:space="preserve">The number (and proportion) of C1s has risen considerably in Greater Manchester, from 28.7% in 2001 to 33.9% in 2021. </w:t>
      </w:r>
      <w:r w:rsidR="0069680A" w:rsidRPr="00D64471">
        <w:t xml:space="preserve">Alongside </w:t>
      </w:r>
      <w:r>
        <w:t xml:space="preserve">this </w:t>
      </w:r>
      <w:r w:rsidR="0069680A" w:rsidRPr="00D64471">
        <w:t>rise</w:t>
      </w:r>
      <w:r w:rsidR="007D35C8" w:rsidRPr="00D64471">
        <w:t xml:space="preserve">, there </w:t>
      </w:r>
      <w:r w:rsidR="007D35C8" w:rsidRPr="00D64471">
        <w:lastRenderedPageBreak/>
        <w:t xml:space="preserve">has been a fall in the proportion </w:t>
      </w:r>
      <w:r w:rsidR="00233A67" w:rsidRPr="00D64471">
        <w:t>of residents in the DE social grade</w:t>
      </w:r>
      <w:r>
        <w:t xml:space="preserve"> (</w:t>
      </w:r>
      <w:r w:rsidR="006461BB">
        <w:t xml:space="preserve">i.e., those in </w:t>
      </w:r>
      <w:r w:rsidRPr="00D9435F">
        <w:t>semi-skilled and unskilled manual occupations</w:t>
      </w:r>
      <w:r w:rsidR="00461248">
        <w:t xml:space="preserve"> or unemployed</w:t>
      </w:r>
      <w:r>
        <w:t>)</w:t>
      </w:r>
      <w:r w:rsidR="00E867EE" w:rsidRPr="00D64471">
        <w:t>.</w:t>
      </w:r>
    </w:p>
    <w:p w14:paraId="353E8AFF" w14:textId="267AE500" w:rsidR="00610331" w:rsidRDefault="006461BB" w:rsidP="00300602">
      <w:pPr>
        <w:pStyle w:val="ListParagraph"/>
      </w:pPr>
      <w:r>
        <w:t>S</w:t>
      </w:r>
      <w:r w:rsidR="00D9435F">
        <w:t xml:space="preserve">ocial grade disparities exist across different ethnic groups; </w:t>
      </w:r>
      <w:r w:rsidR="00461248">
        <w:t>for example, non-</w:t>
      </w:r>
      <w:r w:rsidR="00D9435F">
        <w:t xml:space="preserve">white residents are </w:t>
      </w:r>
      <w:r w:rsidR="00461248">
        <w:t>more</w:t>
      </w:r>
      <w:r w:rsidR="00D9435F">
        <w:t xml:space="preserve"> likely to be in the DE social grade</w:t>
      </w:r>
      <w:r>
        <w:t xml:space="preserve">, </w:t>
      </w:r>
      <w:r w:rsidR="00461248">
        <w:t>and less</w:t>
      </w:r>
      <w:r w:rsidR="00D9435F">
        <w:t xml:space="preserve"> likely </w:t>
      </w:r>
      <w:r w:rsidR="002C10EB">
        <w:t>to be in the AB group.</w:t>
      </w:r>
    </w:p>
    <w:p w14:paraId="0313566E" w14:textId="77777777" w:rsidR="00300602" w:rsidRDefault="00300602" w:rsidP="00300602"/>
    <w:p w14:paraId="29882BA1" w14:textId="014FE6AE" w:rsidR="00093142" w:rsidRPr="00354220" w:rsidRDefault="00093142" w:rsidP="00300602">
      <w:pPr>
        <w:pStyle w:val="Heading2"/>
      </w:pPr>
      <w:r>
        <w:t>Introduction</w:t>
      </w:r>
    </w:p>
    <w:p w14:paraId="5954117D" w14:textId="2813DB7F" w:rsidR="00CD51ED" w:rsidRDefault="00093142" w:rsidP="00772F25">
      <w:pPr>
        <w:spacing w:line="360" w:lineRule="auto"/>
        <w:contextualSpacing/>
        <w:jc w:val="both"/>
        <w:rPr>
          <w:rFonts w:ascii="Arial" w:eastAsiaTheme="minorEastAsia" w:hAnsi="Arial" w:cs="Arial"/>
          <w:noProof/>
          <w:sz w:val="24"/>
          <w:szCs w:val="24"/>
        </w:rPr>
      </w:pPr>
      <w:r w:rsidRPr="00F16672">
        <w:rPr>
          <w:rFonts w:ascii="Arial" w:eastAsiaTheme="minorEastAsia" w:hAnsi="Arial" w:cs="Arial"/>
          <w:noProof/>
          <w:sz w:val="24"/>
          <w:szCs w:val="24"/>
        </w:rPr>
        <w:t xml:space="preserve">Britain is </w:t>
      </w:r>
      <w:r>
        <w:rPr>
          <w:rFonts w:ascii="Arial" w:eastAsiaTheme="minorEastAsia" w:hAnsi="Arial" w:cs="Arial"/>
          <w:noProof/>
          <w:sz w:val="24"/>
          <w:szCs w:val="24"/>
        </w:rPr>
        <w:t xml:space="preserve">often said to be </w:t>
      </w:r>
      <w:r w:rsidRPr="00F16672">
        <w:rPr>
          <w:rFonts w:ascii="Arial" w:eastAsiaTheme="minorEastAsia" w:hAnsi="Arial" w:cs="Arial"/>
          <w:noProof/>
          <w:sz w:val="24"/>
          <w:szCs w:val="24"/>
        </w:rPr>
        <w:t>a class-based society. But class is famously difficult to define. Wealth, education</w:t>
      </w:r>
      <w:r w:rsidR="00E1046D">
        <w:rPr>
          <w:rFonts w:ascii="Arial" w:eastAsiaTheme="minorEastAsia" w:hAnsi="Arial" w:cs="Arial"/>
          <w:noProof/>
          <w:sz w:val="24"/>
          <w:szCs w:val="24"/>
        </w:rPr>
        <w:t>, culture</w:t>
      </w:r>
      <w:r w:rsidRPr="00F16672">
        <w:rPr>
          <w:rFonts w:ascii="Arial" w:eastAsiaTheme="minorEastAsia" w:hAnsi="Arial" w:cs="Arial"/>
          <w:noProof/>
          <w:sz w:val="24"/>
          <w:szCs w:val="24"/>
        </w:rPr>
        <w:t xml:space="preserve"> and taste all play a part. GMCA census briefings cover two aspects of class. One briefing covers </w:t>
      </w:r>
      <w:r w:rsidR="00F54DC6">
        <w:rPr>
          <w:rFonts w:ascii="Arial" w:eastAsiaTheme="minorEastAsia" w:hAnsi="Arial" w:cs="Arial"/>
          <w:noProof/>
          <w:sz w:val="24"/>
          <w:szCs w:val="24"/>
        </w:rPr>
        <w:t>the NS-SEC classification</w:t>
      </w:r>
      <w:r w:rsidRPr="00F16672">
        <w:rPr>
          <w:rFonts w:ascii="Arial" w:eastAsiaTheme="minorEastAsia" w:hAnsi="Arial" w:cs="Arial"/>
          <w:noProof/>
          <w:sz w:val="24"/>
          <w:szCs w:val="24"/>
        </w:rPr>
        <w:t>; this briefing concentrates on ‘</w:t>
      </w:r>
      <w:r w:rsidR="00671BD6">
        <w:rPr>
          <w:rFonts w:ascii="Arial" w:eastAsiaTheme="minorEastAsia" w:hAnsi="Arial" w:cs="Arial"/>
          <w:noProof/>
          <w:sz w:val="24"/>
          <w:szCs w:val="24"/>
        </w:rPr>
        <w:t>social grade’</w:t>
      </w:r>
      <w:r w:rsidRPr="00F16672">
        <w:rPr>
          <w:rFonts w:ascii="Arial" w:eastAsiaTheme="minorEastAsia" w:hAnsi="Arial" w:cs="Arial"/>
          <w:noProof/>
          <w:sz w:val="24"/>
          <w:szCs w:val="24"/>
        </w:rPr>
        <w:t xml:space="preserve">.  </w:t>
      </w:r>
    </w:p>
    <w:p w14:paraId="0994D368" w14:textId="77777777" w:rsidR="00CD51ED" w:rsidRDefault="00CD51ED" w:rsidP="00772F25">
      <w:pPr>
        <w:spacing w:line="360" w:lineRule="auto"/>
        <w:contextualSpacing/>
        <w:jc w:val="both"/>
        <w:rPr>
          <w:rFonts w:ascii="Arial" w:eastAsiaTheme="minorEastAsia" w:hAnsi="Arial" w:cs="Arial"/>
          <w:noProof/>
          <w:sz w:val="24"/>
          <w:szCs w:val="24"/>
        </w:rPr>
      </w:pPr>
    </w:p>
    <w:p w14:paraId="3811F6B1" w14:textId="77777777" w:rsidR="00CD51ED" w:rsidRDefault="00671BD6" w:rsidP="00772F25">
      <w:pPr>
        <w:spacing w:line="360" w:lineRule="auto"/>
        <w:contextualSpacing/>
        <w:jc w:val="both"/>
        <w:rPr>
          <w:rFonts w:ascii="Arial" w:eastAsiaTheme="minorEastAsia" w:hAnsi="Arial" w:cs="Arial"/>
          <w:noProof/>
          <w:sz w:val="24"/>
          <w:szCs w:val="24"/>
        </w:rPr>
      </w:pPr>
      <w:r w:rsidRPr="00671BD6">
        <w:rPr>
          <w:rFonts w:ascii="Arial" w:eastAsiaTheme="minorEastAsia" w:hAnsi="Arial" w:cs="Arial"/>
          <w:noProof/>
          <w:sz w:val="24"/>
          <w:szCs w:val="24"/>
        </w:rPr>
        <w:t xml:space="preserve">Social </w:t>
      </w:r>
      <w:r w:rsidR="00F54DC6">
        <w:rPr>
          <w:rFonts w:ascii="Arial" w:eastAsiaTheme="minorEastAsia" w:hAnsi="Arial" w:cs="Arial"/>
          <w:noProof/>
          <w:sz w:val="24"/>
          <w:szCs w:val="24"/>
        </w:rPr>
        <w:t>g</w:t>
      </w:r>
      <w:r w:rsidRPr="00671BD6">
        <w:rPr>
          <w:rFonts w:ascii="Arial" w:eastAsiaTheme="minorEastAsia" w:hAnsi="Arial" w:cs="Arial"/>
          <w:noProof/>
          <w:sz w:val="24"/>
          <w:szCs w:val="24"/>
        </w:rPr>
        <w:t xml:space="preserve">rade is a way of </w:t>
      </w:r>
      <w:r w:rsidR="00A653AD">
        <w:rPr>
          <w:rFonts w:ascii="Arial" w:eastAsiaTheme="minorEastAsia" w:hAnsi="Arial" w:cs="Arial"/>
          <w:noProof/>
          <w:sz w:val="24"/>
          <w:szCs w:val="24"/>
        </w:rPr>
        <w:t>analysing the class structure often used</w:t>
      </w:r>
      <w:r w:rsidR="00D312B6">
        <w:rPr>
          <w:rFonts w:ascii="Arial" w:eastAsiaTheme="minorEastAsia" w:hAnsi="Arial" w:cs="Arial"/>
          <w:noProof/>
          <w:sz w:val="24"/>
          <w:szCs w:val="24"/>
        </w:rPr>
        <w:t xml:space="preserve"> for marketing purposes. It aims to understand consumer </w:t>
      </w:r>
      <w:r w:rsidR="00FC4D08">
        <w:rPr>
          <w:rFonts w:ascii="Arial" w:eastAsiaTheme="minorEastAsia" w:hAnsi="Arial" w:cs="Arial"/>
          <w:noProof/>
          <w:sz w:val="24"/>
          <w:szCs w:val="24"/>
        </w:rPr>
        <w:t>atttitudes and spending habits</w:t>
      </w:r>
      <w:r w:rsidR="007D66B1">
        <w:rPr>
          <w:rFonts w:ascii="Arial" w:eastAsiaTheme="minorEastAsia" w:hAnsi="Arial" w:cs="Arial"/>
          <w:noProof/>
          <w:sz w:val="24"/>
          <w:szCs w:val="24"/>
        </w:rPr>
        <w:t xml:space="preserve">. In addition, it is used </w:t>
      </w:r>
      <w:r w:rsidR="003B2847">
        <w:rPr>
          <w:rFonts w:ascii="Arial" w:eastAsiaTheme="minorEastAsia" w:hAnsi="Arial" w:cs="Arial"/>
          <w:noProof/>
          <w:sz w:val="24"/>
          <w:szCs w:val="24"/>
        </w:rPr>
        <w:t>by election pollsters to analyse voting behaviour</w:t>
      </w:r>
      <w:r w:rsidR="007D66B1">
        <w:rPr>
          <w:rFonts w:ascii="Arial" w:eastAsiaTheme="minorEastAsia" w:hAnsi="Arial" w:cs="Arial"/>
          <w:noProof/>
          <w:sz w:val="24"/>
          <w:szCs w:val="24"/>
        </w:rPr>
        <w:t xml:space="preserve">. Primarily, social grade relies on occupational information. But </w:t>
      </w:r>
      <w:r w:rsidR="005A60AF">
        <w:rPr>
          <w:rFonts w:ascii="Arial" w:eastAsiaTheme="minorEastAsia" w:hAnsi="Arial" w:cs="Arial"/>
          <w:noProof/>
          <w:sz w:val="24"/>
          <w:szCs w:val="24"/>
        </w:rPr>
        <w:t xml:space="preserve">other factors </w:t>
      </w:r>
      <w:r w:rsidR="00475615">
        <w:rPr>
          <w:rFonts w:ascii="Arial" w:eastAsiaTheme="minorEastAsia" w:hAnsi="Arial" w:cs="Arial"/>
          <w:noProof/>
          <w:sz w:val="24"/>
          <w:szCs w:val="24"/>
        </w:rPr>
        <w:t>also play a part</w:t>
      </w:r>
      <w:r w:rsidR="005A60AF">
        <w:rPr>
          <w:rFonts w:ascii="Arial" w:eastAsiaTheme="minorEastAsia" w:hAnsi="Arial" w:cs="Arial"/>
          <w:noProof/>
          <w:sz w:val="24"/>
          <w:szCs w:val="24"/>
        </w:rPr>
        <w:t xml:space="preserve">. These include </w:t>
      </w:r>
      <w:r w:rsidR="00E75C29">
        <w:rPr>
          <w:rFonts w:ascii="Arial" w:eastAsiaTheme="minorEastAsia" w:hAnsi="Arial" w:cs="Arial"/>
          <w:noProof/>
          <w:sz w:val="24"/>
          <w:szCs w:val="24"/>
        </w:rPr>
        <w:t>the number of cars</w:t>
      </w:r>
      <w:r w:rsidR="001A75E7">
        <w:rPr>
          <w:rFonts w:ascii="Arial" w:eastAsiaTheme="minorEastAsia" w:hAnsi="Arial" w:cs="Arial"/>
          <w:noProof/>
          <w:sz w:val="24"/>
          <w:szCs w:val="24"/>
        </w:rPr>
        <w:t xml:space="preserve"> and vans </w:t>
      </w:r>
      <w:r w:rsidR="00E75C29">
        <w:rPr>
          <w:rFonts w:ascii="Arial" w:eastAsiaTheme="minorEastAsia" w:hAnsi="Arial" w:cs="Arial"/>
          <w:noProof/>
          <w:sz w:val="24"/>
          <w:szCs w:val="24"/>
        </w:rPr>
        <w:t>owned</w:t>
      </w:r>
      <w:r w:rsidR="005A60AF">
        <w:rPr>
          <w:rFonts w:ascii="Arial" w:eastAsiaTheme="minorEastAsia" w:hAnsi="Arial" w:cs="Arial"/>
          <w:noProof/>
          <w:sz w:val="24"/>
          <w:szCs w:val="24"/>
        </w:rPr>
        <w:t xml:space="preserve">, household tenure, </w:t>
      </w:r>
      <w:r w:rsidR="00475615">
        <w:rPr>
          <w:rFonts w:ascii="Arial" w:eastAsiaTheme="minorEastAsia" w:hAnsi="Arial" w:cs="Arial"/>
          <w:noProof/>
          <w:sz w:val="24"/>
          <w:szCs w:val="24"/>
        </w:rPr>
        <w:t xml:space="preserve">the highest qualification level, </w:t>
      </w:r>
      <w:r w:rsidR="005A60AF">
        <w:rPr>
          <w:rFonts w:ascii="Arial" w:eastAsiaTheme="minorEastAsia" w:hAnsi="Arial" w:cs="Arial"/>
          <w:noProof/>
          <w:sz w:val="24"/>
          <w:szCs w:val="24"/>
        </w:rPr>
        <w:t>employment status</w:t>
      </w:r>
      <w:r w:rsidR="00E75C29">
        <w:rPr>
          <w:rFonts w:ascii="Arial" w:eastAsiaTheme="minorEastAsia" w:hAnsi="Arial" w:cs="Arial"/>
          <w:noProof/>
          <w:sz w:val="24"/>
          <w:szCs w:val="24"/>
        </w:rPr>
        <w:t xml:space="preserve"> and responsibility for supervising others. </w:t>
      </w:r>
    </w:p>
    <w:p w14:paraId="235B1C9F" w14:textId="77777777" w:rsidR="00CD51ED" w:rsidRDefault="00CD51ED" w:rsidP="00772F25">
      <w:pPr>
        <w:spacing w:line="360" w:lineRule="auto"/>
        <w:contextualSpacing/>
        <w:jc w:val="both"/>
        <w:rPr>
          <w:rFonts w:ascii="Arial" w:eastAsiaTheme="minorEastAsia" w:hAnsi="Arial" w:cs="Arial"/>
          <w:noProof/>
          <w:sz w:val="24"/>
          <w:szCs w:val="24"/>
        </w:rPr>
      </w:pPr>
    </w:p>
    <w:p w14:paraId="3F43763C" w14:textId="1E493EAC" w:rsidR="00CD51ED" w:rsidRDefault="00671BD6" w:rsidP="006461BB">
      <w:pPr>
        <w:spacing w:line="360" w:lineRule="auto"/>
        <w:contextualSpacing/>
        <w:jc w:val="both"/>
        <w:rPr>
          <w:rFonts w:ascii="Arial" w:eastAsiaTheme="minorEastAsia" w:hAnsi="Arial" w:cs="Arial"/>
          <w:noProof/>
          <w:sz w:val="24"/>
          <w:szCs w:val="24"/>
        </w:rPr>
      </w:pPr>
      <w:r w:rsidRPr="00671BD6">
        <w:rPr>
          <w:rFonts w:ascii="Arial" w:eastAsiaTheme="minorEastAsia" w:hAnsi="Arial" w:cs="Arial"/>
          <w:noProof/>
          <w:sz w:val="24"/>
          <w:szCs w:val="24"/>
        </w:rPr>
        <w:t xml:space="preserve">Social </w:t>
      </w:r>
      <w:r w:rsidR="00E94180">
        <w:rPr>
          <w:rFonts w:ascii="Arial" w:eastAsiaTheme="minorEastAsia" w:hAnsi="Arial" w:cs="Arial"/>
          <w:noProof/>
          <w:sz w:val="24"/>
          <w:szCs w:val="24"/>
        </w:rPr>
        <w:t>g</w:t>
      </w:r>
      <w:r w:rsidRPr="00671BD6">
        <w:rPr>
          <w:rFonts w:ascii="Arial" w:eastAsiaTheme="minorEastAsia" w:hAnsi="Arial" w:cs="Arial"/>
          <w:noProof/>
          <w:sz w:val="24"/>
          <w:szCs w:val="24"/>
        </w:rPr>
        <w:t xml:space="preserve">rade has six classes: A, B, C1, C2, D and E. Grade A (higher managerial roles, administration or professional occupations) and Grade E (non-working) are the least common. </w:t>
      </w:r>
      <w:r w:rsidR="00AA63C7">
        <w:rPr>
          <w:rFonts w:ascii="Arial" w:eastAsiaTheme="minorEastAsia" w:hAnsi="Arial" w:cs="Arial"/>
          <w:noProof/>
          <w:sz w:val="24"/>
          <w:szCs w:val="24"/>
        </w:rPr>
        <w:t xml:space="preserve">For census purposes, a </w:t>
      </w:r>
      <w:r w:rsidRPr="00671BD6">
        <w:rPr>
          <w:rFonts w:ascii="Arial" w:eastAsiaTheme="minorEastAsia" w:hAnsi="Arial" w:cs="Arial"/>
          <w:noProof/>
          <w:sz w:val="24"/>
          <w:szCs w:val="24"/>
        </w:rPr>
        <w:t>combined four-class system</w:t>
      </w:r>
      <w:r w:rsidR="00FC4D08">
        <w:rPr>
          <w:rFonts w:ascii="Arial" w:eastAsiaTheme="minorEastAsia" w:hAnsi="Arial" w:cs="Arial"/>
          <w:noProof/>
          <w:sz w:val="24"/>
          <w:szCs w:val="24"/>
        </w:rPr>
        <w:t xml:space="preserve"> is used</w:t>
      </w:r>
      <w:r w:rsidRPr="00671BD6">
        <w:rPr>
          <w:rFonts w:ascii="Arial" w:eastAsiaTheme="minorEastAsia" w:hAnsi="Arial" w:cs="Arial"/>
          <w:noProof/>
          <w:sz w:val="24"/>
          <w:szCs w:val="24"/>
        </w:rPr>
        <w:t xml:space="preserve"> (AB, C1, C2, DE).</w:t>
      </w:r>
      <w:r w:rsidR="00772F25">
        <w:rPr>
          <w:rFonts w:ascii="Arial" w:eastAsiaTheme="minorEastAsia" w:hAnsi="Arial" w:cs="Arial"/>
          <w:noProof/>
          <w:sz w:val="24"/>
          <w:szCs w:val="24"/>
        </w:rPr>
        <w:t xml:space="preserve"> </w:t>
      </w:r>
      <w:r w:rsidR="00D675FA" w:rsidRPr="00671BD6">
        <w:rPr>
          <w:rFonts w:ascii="Arial" w:eastAsiaTheme="minorEastAsia" w:hAnsi="Arial" w:cs="Arial"/>
          <w:noProof/>
          <w:sz w:val="24"/>
          <w:szCs w:val="24"/>
        </w:rPr>
        <w:t xml:space="preserve">The full definitions for these grades </w:t>
      </w:r>
      <w:r w:rsidR="00D675FA">
        <w:rPr>
          <w:rFonts w:ascii="Arial" w:eastAsiaTheme="minorEastAsia" w:hAnsi="Arial" w:cs="Arial"/>
          <w:noProof/>
          <w:sz w:val="24"/>
          <w:szCs w:val="24"/>
        </w:rPr>
        <w:t>can be found above.</w:t>
      </w:r>
    </w:p>
    <w:p w14:paraId="31E658FA" w14:textId="77777777" w:rsidR="00CD51ED" w:rsidRDefault="00CD51ED" w:rsidP="006461BB">
      <w:pPr>
        <w:spacing w:line="360" w:lineRule="auto"/>
        <w:contextualSpacing/>
        <w:jc w:val="both"/>
        <w:rPr>
          <w:rFonts w:ascii="Arial" w:eastAsiaTheme="minorEastAsia" w:hAnsi="Arial" w:cs="Arial"/>
          <w:noProof/>
          <w:sz w:val="24"/>
          <w:szCs w:val="24"/>
        </w:rPr>
      </w:pPr>
    </w:p>
    <w:p w14:paraId="0B6B250C" w14:textId="22448F24" w:rsidR="006461BB" w:rsidRDefault="006461BB" w:rsidP="006461BB">
      <w:pPr>
        <w:spacing w:line="360" w:lineRule="auto"/>
        <w:contextualSpacing/>
        <w:jc w:val="both"/>
        <w:rPr>
          <w:rFonts w:ascii="Arial" w:eastAsiaTheme="minorEastAsia" w:hAnsi="Arial" w:cs="Arial"/>
          <w:noProof/>
          <w:sz w:val="24"/>
          <w:szCs w:val="24"/>
        </w:rPr>
      </w:pPr>
      <w:r>
        <w:rPr>
          <w:rFonts w:ascii="Arial" w:eastAsiaTheme="minorEastAsia" w:hAnsi="Arial" w:cs="Arial"/>
          <w:noProof/>
          <w:sz w:val="24"/>
          <w:szCs w:val="24"/>
        </w:rPr>
        <w:t xml:space="preserve">Social </w:t>
      </w:r>
      <w:r w:rsidR="002F078F">
        <w:rPr>
          <w:rFonts w:ascii="Arial" w:eastAsiaTheme="minorEastAsia" w:hAnsi="Arial" w:cs="Arial"/>
          <w:noProof/>
          <w:sz w:val="24"/>
          <w:szCs w:val="24"/>
        </w:rPr>
        <w:t>g</w:t>
      </w:r>
      <w:r>
        <w:rPr>
          <w:rFonts w:ascii="Arial" w:eastAsiaTheme="minorEastAsia" w:hAnsi="Arial" w:cs="Arial"/>
          <w:noProof/>
          <w:sz w:val="24"/>
          <w:szCs w:val="24"/>
        </w:rPr>
        <w:t>rade analysis provides an important insight into</w:t>
      </w:r>
      <w:r w:rsidR="00D675FA">
        <w:rPr>
          <w:rFonts w:ascii="Arial" w:eastAsiaTheme="minorEastAsia" w:hAnsi="Arial" w:cs="Arial"/>
          <w:noProof/>
          <w:sz w:val="24"/>
          <w:szCs w:val="24"/>
        </w:rPr>
        <w:t xml:space="preserve"> the</w:t>
      </w:r>
      <w:r>
        <w:rPr>
          <w:rFonts w:ascii="Arial" w:eastAsiaTheme="minorEastAsia" w:hAnsi="Arial" w:cs="Arial"/>
          <w:noProof/>
          <w:sz w:val="24"/>
          <w:szCs w:val="24"/>
        </w:rPr>
        <w:t xml:space="preserve"> lifestyles, views and </w:t>
      </w:r>
      <w:r w:rsidR="00D675FA">
        <w:rPr>
          <w:rFonts w:ascii="Arial" w:eastAsiaTheme="minorEastAsia" w:hAnsi="Arial" w:cs="Arial"/>
          <w:noProof/>
          <w:sz w:val="24"/>
          <w:szCs w:val="24"/>
        </w:rPr>
        <w:t>day-to-day experiences of individuals and households across Greater Manchester.</w:t>
      </w:r>
    </w:p>
    <w:p w14:paraId="49C90EC0" w14:textId="77777777" w:rsidR="00D675FA" w:rsidRDefault="00D675FA" w:rsidP="006461BB">
      <w:pPr>
        <w:spacing w:line="360" w:lineRule="auto"/>
        <w:contextualSpacing/>
        <w:jc w:val="both"/>
        <w:rPr>
          <w:rFonts w:ascii="Arial" w:eastAsiaTheme="minorEastAsia" w:hAnsi="Arial" w:cs="Arial"/>
          <w:noProof/>
          <w:sz w:val="24"/>
          <w:szCs w:val="24"/>
        </w:rPr>
      </w:pPr>
    </w:p>
    <w:p w14:paraId="6721B5C4" w14:textId="05D983EB" w:rsidR="00DF6741" w:rsidRPr="002C5B71" w:rsidRDefault="00D675FA" w:rsidP="002C5B71">
      <w:pPr>
        <w:spacing w:line="360" w:lineRule="auto"/>
        <w:contextualSpacing/>
        <w:jc w:val="both"/>
        <w:rPr>
          <w:rFonts w:ascii="Arial" w:eastAsiaTheme="minorEastAsia" w:hAnsi="Arial" w:cs="Arial"/>
          <w:noProof/>
          <w:sz w:val="24"/>
          <w:szCs w:val="24"/>
        </w:rPr>
      </w:pPr>
      <w:r>
        <w:rPr>
          <w:rFonts w:ascii="Arial" w:eastAsiaTheme="minorEastAsia" w:hAnsi="Arial" w:cs="Arial"/>
          <w:noProof/>
          <w:sz w:val="24"/>
          <w:szCs w:val="24"/>
        </w:rPr>
        <w:t>It is important to note that the 2021 ce</w:t>
      </w:r>
      <w:r w:rsidRPr="00D675FA">
        <w:rPr>
          <w:rFonts w:ascii="Arial" w:eastAsiaTheme="minorEastAsia" w:hAnsi="Arial" w:cs="Arial"/>
          <w:noProof/>
          <w:sz w:val="24"/>
          <w:szCs w:val="24"/>
        </w:rPr>
        <w:t>nsus was not designed to directly measure social grade</w:t>
      </w:r>
      <w:r>
        <w:rPr>
          <w:rFonts w:ascii="Arial" w:eastAsiaTheme="minorEastAsia" w:hAnsi="Arial" w:cs="Arial"/>
          <w:noProof/>
          <w:sz w:val="24"/>
          <w:szCs w:val="24"/>
        </w:rPr>
        <w:t>, which typically requires more</w:t>
      </w:r>
      <w:r w:rsidRPr="00D675FA">
        <w:rPr>
          <w:rFonts w:ascii="Arial" w:eastAsiaTheme="minorEastAsia" w:hAnsi="Arial" w:cs="Arial"/>
          <w:noProof/>
          <w:sz w:val="24"/>
          <w:szCs w:val="24"/>
        </w:rPr>
        <w:t xml:space="preserve"> comprehensive survey questions</w:t>
      </w:r>
      <w:r>
        <w:rPr>
          <w:rFonts w:ascii="Arial" w:eastAsiaTheme="minorEastAsia" w:hAnsi="Arial" w:cs="Arial"/>
          <w:noProof/>
          <w:sz w:val="24"/>
          <w:szCs w:val="24"/>
        </w:rPr>
        <w:t xml:space="preserve"> than </w:t>
      </w:r>
      <w:r w:rsidR="007A3B94">
        <w:rPr>
          <w:rFonts w:ascii="Arial" w:eastAsiaTheme="minorEastAsia" w:hAnsi="Arial" w:cs="Arial"/>
          <w:noProof/>
          <w:sz w:val="24"/>
          <w:szCs w:val="24"/>
        </w:rPr>
        <w:t xml:space="preserve">were </w:t>
      </w:r>
      <w:r>
        <w:rPr>
          <w:rFonts w:ascii="Arial" w:eastAsiaTheme="minorEastAsia" w:hAnsi="Arial" w:cs="Arial"/>
          <w:noProof/>
          <w:sz w:val="24"/>
          <w:szCs w:val="24"/>
        </w:rPr>
        <w:t>covered by the census. To inform Approximated Social Grade (ASG) f</w:t>
      </w:r>
      <w:r w:rsidRPr="00D675FA">
        <w:rPr>
          <w:rFonts w:ascii="Arial" w:eastAsiaTheme="minorEastAsia" w:hAnsi="Arial" w:cs="Arial"/>
          <w:noProof/>
          <w:sz w:val="24"/>
          <w:szCs w:val="24"/>
        </w:rPr>
        <w:t>or</w:t>
      </w:r>
      <w:r>
        <w:rPr>
          <w:rFonts w:ascii="Arial" w:eastAsiaTheme="minorEastAsia" w:hAnsi="Arial" w:cs="Arial"/>
          <w:noProof/>
          <w:sz w:val="24"/>
          <w:szCs w:val="24"/>
        </w:rPr>
        <w:t xml:space="preserve"> the</w:t>
      </w:r>
      <w:r w:rsidRPr="00D675FA">
        <w:rPr>
          <w:rFonts w:ascii="Arial" w:eastAsiaTheme="minorEastAsia" w:hAnsi="Arial" w:cs="Arial"/>
          <w:noProof/>
          <w:sz w:val="24"/>
          <w:szCs w:val="24"/>
        </w:rPr>
        <w:t xml:space="preserve"> Census 2021, the Market Research Society (MRS) modelled social grade based on data from the 2021 National Readership Survey (NRS).</w:t>
      </w:r>
    </w:p>
    <w:p w14:paraId="647B4A71" w14:textId="05ECC3D7" w:rsidR="000D108F" w:rsidRPr="00331564" w:rsidRDefault="003148C2" w:rsidP="00300602">
      <w:pPr>
        <w:pStyle w:val="Heading2"/>
        <w:rPr>
          <w:i/>
          <w:iCs/>
        </w:rPr>
      </w:pPr>
      <w:r w:rsidRPr="00331564">
        <w:lastRenderedPageBreak/>
        <w:t xml:space="preserve">Main </w:t>
      </w:r>
      <w:r w:rsidR="000D108F" w:rsidRPr="00331564">
        <w:t>Findings</w:t>
      </w:r>
    </w:p>
    <w:p w14:paraId="2A8B6974" w14:textId="5D0031D3" w:rsidR="00BA42C1" w:rsidRPr="00F86969" w:rsidRDefault="00E823DE" w:rsidP="00093142">
      <w:pPr>
        <w:spacing w:line="360" w:lineRule="auto"/>
        <w:contextualSpacing/>
        <w:jc w:val="both"/>
        <w:rPr>
          <w:rFonts w:ascii="Arial" w:eastAsiaTheme="minorEastAsia" w:hAnsi="Arial" w:cs="Arial"/>
          <w:noProof/>
          <w:sz w:val="24"/>
          <w:szCs w:val="24"/>
        </w:rPr>
      </w:pPr>
      <w:r w:rsidRPr="006974CD">
        <w:rPr>
          <w:rFonts w:ascii="Arial" w:eastAsiaTheme="minorEastAsia" w:hAnsi="Arial" w:cs="Arial"/>
          <w:noProof/>
          <w:sz w:val="24"/>
          <w:szCs w:val="24"/>
        </w:rPr>
        <w:t>C1s</w:t>
      </w:r>
      <w:r w:rsidR="00B93560" w:rsidRPr="006974CD">
        <w:rPr>
          <w:rFonts w:ascii="Arial" w:eastAsiaTheme="minorEastAsia" w:hAnsi="Arial" w:cs="Arial"/>
          <w:noProof/>
          <w:sz w:val="24"/>
          <w:szCs w:val="24"/>
        </w:rPr>
        <w:t xml:space="preserve"> </w:t>
      </w:r>
      <w:r w:rsidR="005A74B0" w:rsidRPr="006974CD">
        <w:rPr>
          <w:rFonts w:ascii="Arial" w:eastAsiaTheme="minorEastAsia" w:hAnsi="Arial" w:cs="Arial"/>
          <w:noProof/>
          <w:sz w:val="24"/>
          <w:szCs w:val="24"/>
        </w:rPr>
        <w:t xml:space="preserve">were the </w:t>
      </w:r>
      <w:r w:rsidR="00A07363">
        <w:rPr>
          <w:rFonts w:ascii="Arial" w:eastAsiaTheme="minorEastAsia" w:hAnsi="Arial" w:cs="Arial"/>
          <w:noProof/>
          <w:sz w:val="24"/>
          <w:szCs w:val="24"/>
        </w:rPr>
        <w:t xml:space="preserve">most numerous of the ‘grades’ </w:t>
      </w:r>
      <w:r w:rsidR="005A74B0" w:rsidRPr="006974CD">
        <w:rPr>
          <w:rFonts w:ascii="Arial" w:eastAsiaTheme="minorEastAsia" w:hAnsi="Arial" w:cs="Arial"/>
          <w:noProof/>
          <w:sz w:val="24"/>
          <w:szCs w:val="24"/>
        </w:rPr>
        <w:t>in Greater Manchester</w:t>
      </w:r>
      <w:r w:rsidR="009202E0">
        <w:rPr>
          <w:rFonts w:ascii="Arial" w:eastAsiaTheme="minorEastAsia" w:hAnsi="Arial" w:cs="Arial"/>
          <w:noProof/>
          <w:sz w:val="24"/>
          <w:szCs w:val="24"/>
        </w:rPr>
        <w:t xml:space="preserve"> </w:t>
      </w:r>
      <w:r w:rsidR="00093301" w:rsidRPr="006974CD">
        <w:rPr>
          <w:rFonts w:ascii="Arial" w:eastAsiaTheme="minorEastAsia" w:hAnsi="Arial" w:cs="Arial"/>
          <w:noProof/>
          <w:sz w:val="24"/>
          <w:szCs w:val="24"/>
        </w:rPr>
        <w:t>in 2021</w:t>
      </w:r>
      <w:r w:rsidR="005A74B0" w:rsidRPr="006974CD">
        <w:rPr>
          <w:rFonts w:ascii="Arial" w:eastAsiaTheme="minorEastAsia" w:hAnsi="Arial" w:cs="Arial"/>
          <w:noProof/>
          <w:sz w:val="24"/>
          <w:szCs w:val="24"/>
        </w:rPr>
        <w:t xml:space="preserve">, accounting for </w:t>
      </w:r>
      <w:r w:rsidR="00DA04EF" w:rsidRPr="006974CD">
        <w:rPr>
          <w:rFonts w:ascii="Arial" w:eastAsiaTheme="minorEastAsia" w:hAnsi="Arial" w:cs="Arial"/>
          <w:noProof/>
          <w:sz w:val="24"/>
          <w:szCs w:val="24"/>
        </w:rPr>
        <w:t>nearly 583,000 working-age</w:t>
      </w:r>
      <w:r w:rsidR="00B93560" w:rsidRPr="006974CD">
        <w:rPr>
          <w:rFonts w:ascii="Arial" w:eastAsiaTheme="minorEastAsia" w:hAnsi="Arial" w:cs="Arial"/>
          <w:noProof/>
          <w:sz w:val="24"/>
          <w:szCs w:val="24"/>
        </w:rPr>
        <w:t xml:space="preserve"> </w:t>
      </w:r>
      <w:r w:rsidRPr="006974CD">
        <w:rPr>
          <w:rFonts w:ascii="Arial" w:eastAsiaTheme="minorEastAsia" w:hAnsi="Arial" w:cs="Arial"/>
          <w:noProof/>
          <w:sz w:val="24"/>
          <w:szCs w:val="24"/>
        </w:rPr>
        <w:t>residents</w:t>
      </w:r>
      <w:r w:rsidR="00DA04EF" w:rsidRPr="006974CD">
        <w:rPr>
          <w:rFonts w:ascii="Arial" w:eastAsiaTheme="minorEastAsia" w:hAnsi="Arial" w:cs="Arial"/>
          <w:noProof/>
          <w:sz w:val="24"/>
          <w:szCs w:val="24"/>
        </w:rPr>
        <w:t xml:space="preserve"> (aged 16-64)</w:t>
      </w:r>
      <w:r w:rsidR="00060352" w:rsidRPr="006974CD">
        <w:rPr>
          <w:rFonts w:ascii="Arial" w:eastAsiaTheme="minorEastAsia" w:hAnsi="Arial" w:cs="Arial"/>
          <w:noProof/>
          <w:sz w:val="24"/>
          <w:szCs w:val="24"/>
        </w:rPr>
        <w:t>, according to the census</w:t>
      </w:r>
      <w:r w:rsidR="00093301" w:rsidRPr="006974CD">
        <w:rPr>
          <w:rFonts w:ascii="Arial" w:eastAsiaTheme="minorEastAsia" w:hAnsi="Arial" w:cs="Arial"/>
          <w:noProof/>
          <w:sz w:val="24"/>
          <w:szCs w:val="24"/>
        </w:rPr>
        <w:t xml:space="preserve">. </w:t>
      </w:r>
      <w:r w:rsidR="00642743" w:rsidRPr="006974CD">
        <w:rPr>
          <w:rFonts w:ascii="Arial" w:eastAsiaTheme="minorEastAsia" w:hAnsi="Arial" w:cs="Arial"/>
          <w:noProof/>
          <w:sz w:val="24"/>
          <w:szCs w:val="24"/>
        </w:rPr>
        <w:t xml:space="preserve">The least common </w:t>
      </w:r>
      <w:r w:rsidR="009202E0">
        <w:rPr>
          <w:rFonts w:ascii="Arial" w:eastAsiaTheme="minorEastAsia" w:hAnsi="Arial" w:cs="Arial"/>
          <w:noProof/>
          <w:sz w:val="24"/>
          <w:szCs w:val="24"/>
        </w:rPr>
        <w:t>were</w:t>
      </w:r>
      <w:r w:rsidRPr="006974CD">
        <w:rPr>
          <w:rFonts w:ascii="Arial" w:eastAsiaTheme="minorEastAsia" w:hAnsi="Arial" w:cs="Arial"/>
          <w:noProof/>
          <w:sz w:val="24"/>
          <w:szCs w:val="24"/>
        </w:rPr>
        <w:t xml:space="preserve"> C2s</w:t>
      </w:r>
      <w:r w:rsidR="00DA04EF" w:rsidRPr="006974CD">
        <w:rPr>
          <w:rFonts w:ascii="Arial" w:eastAsiaTheme="minorEastAsia" w:hAnsi="Arial" w:cs="Arial"/>
          <w:noProof/>
          <w:sz w:val="24"/>
          <w:szCs w:val="24"/>
        </w:rPr>
        <w:t xml:space="preserve"> (343,454)</w:t>
      </w:r>
      <w:r w:rsidR="00FF09C0" w:rsidRPr="006974CD">
        <w:rPr>
          <w:rFonts w:ascii="Arial" w:eastAsiaTheme="minorEastAsia" w:hAnsi="Arial" w:cs="Arial"/>
          <w:noProof/>
          <w:sz w:val="24"/>
          <w:szCs w:val="24"/>
        </w:rPr>
        <w:t>, with ABs only slightly above (</w:t>
      </w:r>
      <w:r w:rsidR="00DA04EF" w:rsidRPr="006974CD">
        <w:rPr>
          <w:rFonts w:ascii="Arial" w:eastAsiaTheme="minorEastAsia" w:hAnsi="Arial" w:cs="Arial"/>
          <w:noProof/>
          <w:sz w:val="24"/>
          <w:szCs w:val="24"/>
        </w:rPr>
        <w:t>345,637</w:t>
      </w:r>
      <w:r w:rsidR="00FF09C0" w:rsidRPr="006974CD">
        <w:rPr>
          <w:rFonts w:ascii="Arial" w:eastAsiaTheme="minorEastAsia" w:hAnsi="Arial" w:cs="Arial"/>
          <w:noProof/>
          <w:sz w:val="24"/>
          <w:szCs w:val="24"/>
        </w:rPr>
        <w:t>).</w:t>
      </w:r>
      <w:r w:rsidR="006974CD" w:rsidRPr="006974CD">
        <w:rPr>
          <w:rFonts w:ascii="Arial" w:eastAsiaTheme="minorEastAsia" w:hAnsi="Arial" w:cs="Arial"/>
          <w:noProof/>
          <w:sz w:val="24"/>
          <w:szCs w:val="24"/>
        </w:rPr>
        <w:t xml:space="preserve"> DEs are the second most common at 449,501.</w:t>
      </w:r>
    </w:p>
    <w:p w14:paraId="667A30AD" w14:textId="77777777" w:rsidR="00313921" w:rsidRDefault="00313921" w:rsidP="00EF2404">
      <w:pPr>
        <w:spacing w:after="120"/>
        <w:rPr>
          <w:rFonts w:ascii="Arial" w:hAnsi="Arial" w:cs="Arial"/>
          <w:b/>
          <w:bCs/>
          <w:sz w:val="24"/>
          <w:szCs w:val="24"/>
        </w:rPr>
      </w:pPr>
    </w:p>
    <w:p w14:paraId="569DB7CD" w14:textId="71452B41" w:rsidR="0092533E" w:rsidRDefault="0092533E" w:rsidP="00EF2404">
      <w:pPr>
        <w:spacing w:after="120"/>
        <w:rPr>
          <w:rFonts w:ascii="Arial" w:hAnsi="Arial" w:cs="Arial"/>
          <w:b/>
          <w:bCs/>
          <w:sz w:val="24"/>
          <w:szCs w:val="24"/>
        </w:rPr>
      </w:pPr>
      <w:r w:rsidRPr="0092533E">
        <w:rPr>
          <w:rFonts w:ascii="Arial" w:hAnsi="Arial" w:cs="Arial"/>
          <w:b/>
          <w:bCs/>
          <w:sz w:val="24"/>
          <w:szCs w:val="24"/>
        </w:rPr>
        <w:t>Number of</w:t>
      </w:r>
      <w:r w:rsidR="004D6DDB">
        <w:rPr>
          <w:rFonts w:ascii="Arial" w:hAnsi="Arial" w:cs="Arial"/>
          <w:b/>
          <w:bCs/>
          <w:sz w:val="24"/>
          <w:szCs w:val="24"/>
        </w:rPr>
        <w:t xml:space="preserve"> </w:t>
      </w:r>
      <w:r w:rsidR="008337A8">
        <w:rPr>
          <w:rFonts w:ascii="Arial" w:hAnsi="Arial" w:cs="Arial"/>
          <w:b/>
          <w:bCs/>
          <w:sz w:val="24"/>
          <w:szCs w:val="24"/>
        </w:rPr>
        <w:t>working-age people</w:t>
      </w:r>
      <w:r w:rsidR="004D6DDB">
        <w:rPr>
          <w:rFonts w:ascii="Arial" w:hAnsi="Arial" w:cs="Arial"/>
          <w:b/>
          <w:bCs/>
          <w:sz w:val="24"/>
          <w:szCs w:val="24"/>
        </w:rPr>
        <w:t xml:space="preserve"> (16</w:t>
      </w:r>
      <w:r w:rsidR="008337A8">
        <w:rPr>
          <w:rFonts w:ascii="Arial" w:hAnsi="Arial" w:cs="Arial"/>
          <w:b/>
          <w:bCs/>
          <w:sz w:val="24"/>
          <w:szCs w:val="24"/>
        </w:rPr>
        <w:t>-64</w:t>
      </w:r>
      <w:r w:rsidR="004D6DDB">
        <w:rPr>
          <w:rFonts w:ascii="Arial" w:hAnsi="Arial" w:cs="Arial"/>
          <w:b/>
          <w:bCs/>
          <w:sz w:val="24"/>
          <w:szCs w:val="24"/>
        </w:rPr>
        <w:t>) by</w:t>
      </w:r>
      <w:r w:rsidRPr="0092533E">
        <w:rPr>
          <w:rFonts w:ascii="Arial" w:hAnsi="Arial" w:cs="Arial"/>
          <w:b/>
          <w:bCs/>
          <w:sz w:val="24"/>
          <w:szCs w:val="24"/>
        </w:rPr>
        <w:t xml:space="preserve"> </w:t>
      </w:r>
      <w:r w:rsidR="008337A8">
        <w:rPr>
          <w:rFonts w:ascii="Arial" w:hAnsi="Arial" w:cs="Arial"/>
          <w:b/>
          <w:bCs/>
          <w:sz w:val="24"/>
          <w:szCs w:val="24"/>
        </w:rPr>
        <w:t>social grade</w:t>
      </w:r>
      <w:r w:rsidRPr="0092533E">
        <w:rPr>
          <w:rFonts w:ascii="Arial" w:hAnsi="Arial" w:cs="Arial"/>
          <w:b/>
          <w:bCs/>
          <w:sz w:val="24"/>
          <w:szCs w:val="24"/>
        </w:rPr>
        <w:t>,</w:t>
      </w:r>
      <w:r>
        <w:rPr>
          <w:rFonts w:ascii="Arial" w:hAnsi="Arial" w:cs="Arial"/>
          <w:b/>
          <w:bCs/>
          <w:sz w:val="24"/>
          <w:szCs w:val="24"/>
        </w:rPr>
        <w:t xml:space="preserve"> Greater Manchester,</w:t>
      </w:r>
      <w:r w:rsidRPr="0092533E">
        <w:rPr>
          <w:rFonts w:ascii="Arial" w:hAnsi="Arial" w:cs="Arial"/>
          <w:b/>
          <w:bCs/>
          <w:sz w:val="24"/>
          <w:szCs w:val="24"/>
        </w:rPr>
        <w:t xml:space="preserve"> 2021</w:t>
      </w:r>
    </w:p>
    <w:p w14:paraId="1DF6B071" w14:textId="5DA1CDCD" w:rsidR="008337A8" w:rsidRPr="0092533E" w:rsidRDefault="008337A8" w:rsidP="008337A8">
      <w:pPr>
        <w:tabs>
          <w:tab w:val="left" w:pos="7513"/>
        </w:tabs>
        <w:spacing w:after="120"/>
        <w:rPr>
          <w:rFonts w:ascii="Arial" w:hAnsi="Arial" w:cs="Arial"/>
          <w:b/>
          <w:bCs/>
          <w:sz w:val="24"/>
          <w:szCs w:val="24"/>
        </w:rPr>
      </w:pPr>
      <w:r w:rsidRPr="008337A8">
        <w:rPr>
          <w:noProof/>
          <w:color w:val="FFFFFF" w:themeColor="background1"/>
        </w:rPr>
        <w:drawing>
          <wp:inline distT="0" distB="0" distL="0" distR="0" wp14:anchorId="2361277D" wp14:editId="03F7A094">
            <wp:extent cx="5731510" cy="3638550"/>
            <wp:effectExtent l="0" t="0" r="2540" b="0"/>
            <wp:docPr id="1654452249" name="Chart 1" descr="This chart shows the number of people in Greater Manchester aged 16-64 by their social grade. The highest number of people are in C1 at 582,780, with the fewest in C2 at 343,454.">
              <a:extLst xmlns:a="http://schemas.openxmlformats.org/drawingml/2006/main">
                <a:ext uri="{FF2B5EF4-FFF2-40B4-BE49-F238E27FC236}">
                  <a16:creationId xmlns:a16="http://schemas.microsoft.com/office/drawing/2014/main" id="{FF27572B-EDAC-79D0-4526-3921EBDA0E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25286F" w14:textId="701246FA" w:rsidR="008115CC" w:rsidRPr="005C38B0" w:rsidRDefault="008115CC" w:rsidP="00EF2404">
      <w:pPr>
        <w:spacing w:after="120"/>
        <w:rPr>
          <w:rFonts w:ascii="Arial" w:hAnsi="Arial" w:cs="Arial"/>
          <w:sz w:val="24"/>
          <w:szCs w:val="24"/>
        </w:rPr>
      </w:pPr>
      <w:r w:rsidRPr="005C38B0">
        <w:rPr>
          <w:rFonts w:ascii="Arial" w:hAnsi="Arial" w:cs="Arial"/>
          <w:i/>
          <w:iCs/>
          <w:sz w:val="24"/>
          <w:szCs w:val="24"/>
        </w:rPr>
        <w:t>Source: Census 2021,</w:t>
      </w:r>
      <w:r w:rsidRPr="005C38B0">
        <w:rPr>
          <w:rFonts w:ascii="Arial" w:hAnsi="Arial" w:cs="Arial"/>
          <w:sz w:val="24"/>
          <w:szCs w:val="24"/>
        </w:rPr>
        <w:t xml:space="preserve"> </w:t>
      </w:r>
      <w:r w:rsidR="005C38B0">
        <w:rPr>
          <w:rFonts w:ascii="Arial" w:hAnsi="Arial" w:cs="Arial"/>
          <w:i/>
          <w:iCs/>
          <w:sz w:val="24"/>
          <w:szCs w:val="24"/>
        </w:rPr>
        <w:t>NOMIS</w:t>
      </w:r>
      <w:r w:rsidR="00B42E3F" w:rsidRPr="005C38B0">
        <w:rPr>
          <w:rFonts w:ascii="Arial" w:hAnsi="Arial" w:cs="Arial"/>
          <w:i/>
          <w:iCs/>
          <w:sz w:val="24"/>
          <w:szCs w:val="24"/>
        </w:rPr>
        <w:t xml:space="preserve"> </w:t>
      </w:r>
      <w:r w:rsidRPr="005C38B0">
        <w:rPr>
          <w:rFonts w:ascii="Arial" w:hAnsi="Arial" w:cs="Arial"/>
          <w:sz w:val="24"/>
          <w:szCs w:val="24"/>
        </w:rPr>
        <w:t>(</w:t>
      </w:r>
      <w:hyperlink r:id="rId15" w:history="1">
        <w:r w:rsidR="009F3E12">
          <w:rPr>
            <w:rStyle w:val="Hyperlink"/>
            <w:rFonts w:cs="Arial"/>
            <w:i/>
            <w:iCs/>
            <w:color w:val="2C5060" w:themeColor="accent1"/>
            <w:sz w:val="24"/>
            <w:szCs w:val="24"/>
          </w:rPr>
          <w:t>Approximated social grade by sex by age</w:t>
        </w:r>
      </w:hyperlink>
      <w:hyperlink r:id="rId16" w:history="1"/>
      <w:r w:rsidR="00B42E3F" w:rsidRPr="005C38B0">
        <w:rPr>
          <w:rFonts w:ascii="Arial" w:hAnsi="Arial" w:cs="Arial"/>
          <w:sz w:val="24"/>
          <w:szCs w:val="24"/>
        </w:rPr>
        <w:t xml:space="preserve">). </w:t>
      </w:r>
    </w:p>
    <w:p w14:paraId="2649BBF7" w14:textId="77777777" w:rsidR="007E63D8" w:rsidRDefault="007E63D8" w:rsidP="000D0CE7">
      <w:pPr>
        <w:spacing w:after="120"/>
        <w:rPr>
          <w:rFonts w:ascii="Arial" w:hAnsi="Arial" w:cs="Arial"/>
          <w:b/>
          <w:bCs/>
          <w:sz w:val="24"/>
          <w:szCs w:val="24"/>
        </w:rPr>
      </w:pPr>
    </w:p>
    <w:p w14:paraId="6504059A" w14:textId="647CCC5E" w:rsidR="007E63D8" w:rsidRPr="00300602" w:rsidRDefault="00300602" w:rsidP="00300602">
      <w:pPr>
        <w:spacing w:after="0" w:line="360" w:lineRule="auto"/>
        <w:contextualSpacing/>
        <w:jc w:val="both"/>
        <w:rPr>
          <w:rFonts w:ascii="Arial" w:eastAsiaTheme="minorEastAsia" w:hAnsi="Arial" w:cs="Arial"/>
          <w:noProof/>
          <w:sz w:val="24"/>
          <w:szCs w:val="24"/>
        </w:rPr>
      </w:pPr>
      <w:r w:rsidRPr="00437CAA">
        <w:rPr>
          <w:rFonts w:ascii="Arial" w:eastAsiaTheme="minorEastAsia" w:hAnsi="Arial" w:cs="Arial"/>
          <w:noProof/>
          <w:sz w:val="24"/>
          <w:szCs w:val="24"/>
        </w:rPr>
        <w:t xml:space="preserve">Compared to England and the North West, Greater Manchester has a much </w:t>
      </w:r>
      <w:r w:rsidRPr="00F5468C">
        <w:rPr>
          <w:rFonts w:ascii="Arial" w:eastAsiaTheme="minorEastAsia" w:hAnsi="Arial" w:cs="Arial"/>
          <w:noProof/>
          <w:sz w:val="24"/>
          <w:szCs w:val="24"/>
        </w:rPr>
        <w:t>higher</w:t>
      </w:r>
      <w:r w:rsidRPr="00437CAA">
        <w:rPr>
          <w:rFonts w:ascii="Arial" w:eastAsiaTheme="minorEastAsia" w:hAnsi="Arial" w:cs="Arial"/>
          <w:noProof/>
          <w:sz w:val="24"/>
          <w:szCs w:val="24"/>
        </w:rPr>
        <w:t xml:space="preserve"> proportion of DEs with a notably </w:t>
      </w:r>
      <w:r w:rsidRPr="00F5468C">
        <w:rPr>
          <w:rFonts w:ascii="Arial" w:eastAsiaTheme="minorEastAsia" w:hAnsi="Arial" w:cs="Arial"/>
          <w:noProof/>
          <w:sz w:val="24"/>
          <w:szCs w:val="24"/>
        </w:rPr>
        <w:t>lower</w:t>
      </w:r>
      <w:r w:rsidRPr="00437CAA">
        <w:rPr>
          <w:rFonts w:ascii="Arial" w:eastAsiaTheme="minorEastAsia" w:hAnsi="Arial" w:cs="Arial"/>
          <w:noProof/>
          <w:sz w:val="24"/>
          <w:szCs w:val="24"/>
        </w:rPr>
        <w:t xml:space="preserve"> proportion of ABs. GM was 3.1 percentage points lower than England in the proportion of ABs, and 4.4 percentage points higher in terms of proportion of DEs.</w:t>
      </w:r>
    </w:p>
    <w:p w14:paraId="4F44B66F" w14:textId="77777777" w:rsidR="007E63D8" w:rsidRDefault="007E63D8" w:rsidP="000D0CE7">
      <w:pPr>
        <w:spacing w:after="120"/>
        <w:rPr>
          <w:rFonts w:ascii="Arial" w:hAnsi="Arial" w:cs="Arial"/>
          <w:b/>
          <w:bCs/>
          <w:sz w:val="24"/>
          <w:szCs w:val="24"/>
        </w:rPr>
      </w:pPr>
    </w:p>
    <w:p w14:paraId="15349DEF" w14:textId="77777777" w:rsidR="007E63D8" w:rsidRDefault="007E63D8" w:rsidP="000D0CE7">
      <w:pPr>
        <w:spacing w:after="120"/>
        <w:rPr>
          <w:rFonts w:ascii="Arial" w:hAnsi="Arial" w:cs="Arial"/>
          <w:b/>
          <w:bCs/>
          <w:sz w:val="24"/>
          <w:szCs w:val="24"/>
        </w:rPr>
      </w:pPr>
    </w:p>
    <w:p w14:paraId="531DB6E6" w14:textId="77777777" w:rsidR="007E63D8" w:rsidRDefault="007E63D8" w:rsidP="000D0CE7">
      <w:pPr>
        <w:spacing w:after="120"/>
        <w:rPr>
          <w:rFonts w:ascii="Arial" w:hAnsi="Arial" w:cs="Arial"/>
          <w:b/>
          <w:bCs/>
          <w:sz w:val="24"/>
          <w:szCs w:val="24"/>
        </w:rPr>
      </w:pPr>
    </w:p>
    <w:p w14:paraId="1A770035" w14:textId="77777777" w:rsidR="00764042" w:rsidRDefault="00764042" w:rsidP="000D0CE7">
      <w:pPr>
        <w:spacing w:after="120"/>
        <w:rPr>
          <w:rFonts w:ascii="Arial" w:hAnsi="Arial" w:cs="Arial"/>
          <w:b/>
          <w:bCs/>
          <w:sz w:val="24"/>
          <w:szCs w:val="24"/>
        </w:rPr>
      </w:pPr>
    </w:p>
    <w:p w14:paraId="2DEC4987" w14:textId="02D090BE" w:rsidR="000D0CE7" w:rsidRDefault="000D0CE7" w:rsidP="000D0CE7">
      <w:pPr>
        <w:spacing w:after="120"/>
        <w:rPr>
          <w:rFonts w:ascii="Arial" w:hAnsi="Arial" w:cs="Arial"/>
          <w:b/>
          <w:bCs/>
          <w:sz w:val="24"/>
          <w:szCs w:val="24"/>
        </w:rPr>
      </w:pPr>
      <w:r>
        <w:rPr>
          <w:rFonts w:ascii="Arial" w:hAnsi="Arial" w:cs="Arial"/>
          <w:b/>
          <w:bCs/>
          <w:sz w:val="24"/>
          <w:szCs w:val="24"/>
        </w:rPr>
        <w:lastRenderedPageBreak/>
        <w:t>Percentage</w:t>
      </w:r>
      <w:r w:rsidRPr="0092533E">
        <w:rPr>
          <w:rFonts w:ascii="Arial" w:hAnsi="Arial" w:cs="Arial"/>
          <w:b/>
          <w:bCs/>
          <w:sz w:val="24"/>
          <w:szCs w:val="24"/>
        </w:rPr>
        <w:t xml:space="preserve"> of</w:t>
      </w:r>
      <w:r>
        <w:rPr>
          <w:rFonts w:ascii="Arial" w:hAnsi="Arial" w:cs="Arial"/>
          <w:b/>
          <w:bCs/>
          <w:sz w:val="24"/>
          <w:szCs w:val="24"/>
        </w:rPr>
        <w:t xml:space="preserve"> working-age people (16-64) by</w:t>
      </w:r>
      <w:r w:rsidRPr="0092533E">
        <w:rPr>
          <w:rFonts w:ascii="Arial" w:hAnsi="Arial" w:cs="Arial"/>
          <w:b/>
          <w:bCs/>
          <w:sz w:val="24"/>
          <w:szCs w:val="24"/>
        </w:rPr>
        <w:t xml:space="preserve"> </w:t>
      </w:r>
      <w:r>
        <w:rPr>
          <w:rFonts w:ascii="Arial" w:hAnsi="Arial" w:cs="Arial"/>
          <w:b/>
          <w:bCs/>
          <w:sz w:val="24"/>
          <w:szCs w:val="24"/>
        </w:rPr>
        <w:t>social grade</w:t>
      </w:r>
      <w:r w:rsidRPr="0092533E">
        <w:rPr>
          <w:rFonts w:ascii="Arial" w:hAnsi="Arial" w:cs="Arial"/>
          <w:b/>
          <w:bCs/>
          <w:sz w:val="24"/>
          <w:szCs w:val="24"/>
        </w:rPr>
        <w:t>,</w:t>
      </w:r>
      <w:r>
        <w:rPr>
          <w:rFonts w:ascii="Arial" w:hAnsi="Arial" w:cs="Arial"/>
          <w:b/>
          <w:bCs/>
          <w:sz w:val="24"/>
          <w:szCs w:val="24"/>
        </w:rPr>
        <w:t xml:space="preserve"> Greater Manchester,</w:t>
      </w:r>
      <w:r w:rsidRPr="0092533E">
        <w:rPr>
          <w:rFonts w:ascii="Arial" w:hAnsi="Arial" w:cs="Arial"/>
          <w:b/>
          <w:bCs/>
          <w:sz w:val="24"/>
          <w:szCs w:val="24"/>
        </w:rPr>
        <w:t xml:space="preserve"> </w:t>
      </w:r>
      <w:proofErr w:type="gramStart"/>
      <w:r w:rsidR="00821FD7">
        <w:rPr>
          <w:rFonts w:ascii="Arial" w:hAnsi="Arial" w:cs="Arial"/>
          <w:b/>
          <w:bCs/>
          <w:sz w:val="24"/>
          <w:szCs w:val="24"/>
        </w:rPr>
        <w:t>North West</w:t>
      </w:r>
      <w:proofErr w:type="gramEnd"/>
      <w:r w:rsidR="00821FD7">
        <w:rPr>
          <w:rFonts w:ascii="Arial" w:hAnsi="Arial" w:cs="Arial"/>
          <w:b/>
          <w:bCs/>
          <w:sz w:val="24"/>
          <w:szCs w:val="24"/>
        </w:rPr>
        <w:t xml:space="preserve"> and England, </w:t>
      </w:r>
      <w:r w:rsidRPr="0092533E">
        <w:rPr>
          <w:rFonts w:ascii="Arial" w:hAnsi="Arial" w:cs="Arial"/>
          <w:b/>
          <w:bCs/>
          <w:sz w:val="24"/>
          <w:szCs w:val="24"/>
        </w:rPr>
        <w:t>2021</w:t>
      </w:r>
    </w:p>
    <w:p w14:paraId="41C53EB0" w14:textId="458115BE" w:rsidR="006E14F1" w:rsidRDefault="009E7949" w:rsidP="009E7949">
      <w:pPr>
        <w:spacing w:after="120"/>
        <w:jc w:val="center"/>
        <w:rPr>
          <w:rFonts w:ascii="Arial" w:hAnsi="Arial" w:cs="Arial"/>
          <w:sz w:val="24"/>
          <w:szCs w:val="24"/>
        </w:rPr>
      </w:pPr>
      <w:r>
        <w:rPr>
          <w:noProof/>
        </w:rPr>
        <w:drawing>
          <wp:inline distT="0" distB="0" distL="0" distR="0" wp14:anchorId="042BEB79" wp14:editId="249F053B">
            <wp:extent cx="5358765" cy="2819400"/>
            <wp:effectExtent l="0" t="0" r="13335" b="0"/>
            <wp:docPr id="1438710359" name="Chart 1" descr="This chart shows the proportion of people in England, the North West and Greater Manchester that are in each social grade. In Greater Manchester, 20.1% of people are in the AB category and 26.1% are in the DE category, compared to 23.% in England who are in AB and 21.7% in DE.">
              <a:extLst xmlns:a="http://schemas.openxmlformats.org/drawingml/2006/main">
                <a:ext uri="{FF2B5EF4-FFF2-40B4-BE49-F238E27FC236}">
                  <a16:creationId xmlns:a16="http://schemas.microsoft.com/office/drawing/2014/main" id="{6A1A95E6-C07C-55CC-117F-3DEA47DFF7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DA654F4" w14:textId="77777777" w:rsidR="00E67683" w:rsidRPr="005C38B0" w:rsidRDefault="00E67683" w:rsidP="00E67683">
      <w:pPr>
        <w:spacing w:after="120"/>
        <w:rPr>
          <w:rFonts w:ascii="Arial" w:hAnsi="Arial" w:cs="Arial"/>
          <w:sz w:val="24"/>
          <w:szCs w:val="24"/>
        </w:rPr>
      </w:pPr>
      <w:r w:rsidRPr="005C38B0">
        <w:rPr>
          <w:rFonts w:ascii="Arial" w:hAnsi="Arial" w:cs="Arial"/>
          <w:i/>
          <w:iCs/>
          <w:sz w:val="24"/>
          <w:szCs w:val="24"/>
        </w:rPr>
        <w:t>Source: Census 2021,</w:t>
      </w:r>
      <w:r w:rsidRPr="005C38B0">
        <w:rPr>
          <w:rFonts w:ascii="Arial" w:hAnsi="Arial" w:cs="Arial"/>
          <w:sz w:val="24"/>
          <w:szCs w:val="24"/>
        </w:rPr>
        <w:t xml:space="preserve"> </w:t>
      </w:r>
      <w:r>
        <w:rPr>
          <w:rFonts w:ascii="Arial" w:hAnsi="Arial" w:cs="Arial"/>
          <w:i/>
          <w:iCs/>
          <w:sz w:val="24"/>
          <w:szCs w:val="24"/>
        </w:rPr>
        <w:t>NOMIS</w:t>
      </w:r>
      <w:r w:rsidRPr="005C38B0">
        <w:rPr>
          <w:rFonts w:ascii="Arial" w:hAnsi="Arial" w:cs="Arial"/>
          <w:i/>
          <w:iCs/>
          <w:sz w:val="24"/>
          <w:szCs w:val="24"/>
        </w:rPr>
        <w:t xml:space="preserve"> </w:t>
      </w:r>
      <w:r w:rsidRPr="005C38B0">
        <w:rPr>
          <w:rFonts w:ascii="Arial" w:hAnsi="Arial" w:cs="Arial"/>
          <w:sz w:val="24"/>
          <w:szCs w:val="24"/>
        </w:rPr>
        <w:t>(</w:t>
      </w:r>
      <w:hyperlink r:id="rId18" w:history="1">
        <w:r>
          <w:rPr>
            <w:rStyle w:val="Hyperlink"/>
            <w:rFonts w:cs="Arial"/>
            <w:i/>
            <w:iCs/>
            <w:color w:val="2C5060" w:themeColor="accent1"/>
            <w:sz w:val="24"/>
            <w:szCs w:val="24"/>
          </w:rPr>
          <w:t>Approximated social grade by sex by age</w:t>
        </w:r>
      </w:hyperlink>
      <w:hyperlink r:id="rId19" w:history="1"/>
      <w:r w:rsidRPr="005C38B0">
        <w:rPr>
          <w:rFonts w:ascii="Arial" w:hAnsi="Arial" w:cs="Arial"/>
          <w:sz w:val="24"/>
          <w:szCs w:val="24"/>
        </w:rPr>
        <w:t xml:space="preserve">). </w:t>
      </w:r>
    </w:p>
    <w:p w14:paraId="26CB6ECE" w14:textId="77777777" w:rsidR="007E276A" w:rsidRPr="00F86969" w:rsidRDefault="007E276A" w:rsidP="007E276A">
      <w:pPr>
        <w:spacing w:after="0" w:line="360" w:lineRule="auto"/>
        <w:contextualSpacing/>
        <w:jc w:val="both"/>
        <w:rPr>
          <w:rFonts w:ascii="Arial" w:eastAsiaTheme="minorEastAsia" w:hAnsi="Arial" w:cs="Arial"/>
          <w:noProof/>
          <w:sz w:val="24"/>
          <w:szCs w:val="24"/>
        </w:rPr>
      </w:pPr>
    </w:p>
    <w:p w14:paraId="7CA47A4D" w14:textId="4ECF91A2" w:rsidR="007E276A" w:rsidRPr="007E276A" w:rsidRDefault="003038E1" w:rsidP="007E276A">
      <w:pPr>
        <w:pStyle w:val="Heading3"/>
      </w:pPr>
      <w:r>
        <w:t>Social grade</w:t>
      </w:r>
      <w:r w:rsidR="002172E5" w:rsidRPr="005A5CA7">
        <w:t xml:space="preserve"> by district</w:t>
      </w:r>
    </w:p>
    <w:p w14:paraId="70385C70" w14:textId="1ACBFEBE" w:rsidR="004D5C48" w:rsidRDefault="00792934" w:rsidP="00300602">
      <w:pPr>
        <w:spacing w:line="360" w:lineRule="auto"/>
        <w:contextualSpacing/>
        <w:jc w:val="both"/>
        <w:rPr>
          <w:rFonts w:ascii="Arial" w:eastAsiaTheme="minorEastAsia" w:hAnsi="Arial" w:cs="Arial"/>
          <w:noProof/>
          <w:sz w:val="24"/>
          <w:szCs w:val="24"/>
        </w:rPr>
      </w:pPr>
      <w:r w:rsidRPr="005A5CA7">
        <w:rPr>
          <w:rFonts w:ascii="Arial" w:eastAsiaTheme="minorEastAsia" w:hAnsi="Arial" w:cs="Arial"/>
          <w:noProof/>
          <w:sz w:val="24"/>
          <w:szCs w:val="24"/>
        </w:rPr>
        <w:t xml:space="preserve">The prevalence of </w:t>
      </w:r>
      <w:r w:rsidR="00461248">
        <w:rPr>
          <w:rFonts w:ascii="Arial" w:eastAsiaTheme="minorEastAsia" w:hAnsi="Arial" w:cs="Arial"/>
          <w:noProof/>
          <w:sz w:val="24"/>
          <w:szCs w:val="24"/>
        </w:rPr>
        <w:t xml:space="preserve">each </w:t>
      </w:r>
      <w:r w:rsidR="00380926" w:rsidRPr="005A5CA7">
        <w:rPr>
          <w:rFonts w:ascii="Arial" w:eastAsiaTheme="minorEastAsia" w:hAnsi="Arial" w:cs="Arial"/>
          <w:noProof/>
          <w:sz w:val="24"/>
          <w:szCs w:val="24"/>
        </w:rPr>
        <w:t>social grade</w:t>
      </w:r>
      <w:r w:rsidR="002172E5" w:rsidRPr="005A5CA7">
        <w:rPr>
          <w:rFonts w:ascii="Arial" w:eastAsiaTheme="minorEastAsia" w:hAnsi="Arial" w:cs="Arial"/>
          <w:noProof/>
          <w:sz w:val="24"/>
          <w:szCs w:val="24"/>
        </w:rPr>
        <w:t xml:space="preserve"> </w:t>
      </w:r>
      <w:r w:rsidR="00313921" w:rsidRPr="005A5CA7">
        <w:rPr>
          <w:rFonts w:ascii="Arial" w:eastAsiaTheme="minorEastAsia" w:hAnsi="Arial" w:cs="Arial"/>
          <w:noProof/>
          <w:sz w:val="24"/>
          <w:szCs w:val="24"/>
        </w:rPr>
        <w:t>varies</w:t>
      </w:r>
      <w:r w:rsidR="002172E5" w:rsidRPr="005A5CA7">
        <w:rPr>
          <w:rFonts w:ascii="Arial" w:eastAsiaTheme="minorEastAsia" w:hAnsi="Arial" w:cs="Arial"/>
          <w:noProof/>
          <w:sz w:val="24"/>
          <w:szCs w:val="24"/>
        </w:rPr>
        <w:t xml:space="preserve"> </w:t>
      </w:r>
      <w:r w:rsidR="00380926" w:rsidRPr="005A5CA7">
        <w:rPr>
          <w:rFonts w:ascii="Arial" w:eastAsiaTheme="minorEastAsia" w:hAnsi="Arial" w:cs="Arial"/>
          <w:noProof/>
          <w:sz w:val="24"/>
          <w:szCs w:val="24"/>
        </w:rPr>
        <w:t xml:space="preserve">quite substantially </w:t>
      </w:r>
      <w:r w:rsidR="002172E5" w:rsidRPr="005A5CA7">
        <w:rPr>
          <w:rFonts w:ascii="Arial" w:eastAsiaTheme="minorEastAsia" w:hAnsi="Arial" w:cs="Arial"/>
          <w:noProof/>
          <w:sz w:val="24"/>
          <w:szCs w:val="24"/>
        </w:rPr>
        <w:t xml:space="preserve">by local authority. </w:t>
      </w:r>
      <w:r w:rsidR="00235F0C" w:rsidRPr="005A5CA7">
        <w:rPr>
          <w:rFonts w:ascii="Arial" w:eastAsiaTheme="minorEastAsia" w:hAnsi="Arial" w:cs="Arial"/>
          <w:noProof/>
          <w:sz w:val="24"/>
          <w:szCs w:val="24"/>
        </w:rPr>
        <w:t xml:space="preserve">The chart below shows </w:t>
      </w:r>
      <w:r w:rsidR="00D600F9" w:rsidRPr="005A5CA7">
        <w:rPr>
          <w:rFonts w:ascii="Arial" w:eastAsiaTheme="minorEastAsia" w:hAnsi="Arial" w:cs="Arial"/>
          <w:noProof/>
          <w:sz w:val="24"/>
          <w:szCs w:val="24"/>
        </w:rPr>
        <w:t>the percentage of residents in each social grade a</w:t>
      </w:r>
      <w:r w:rsidR="00AB2F88" w:rsidRPr="005A5CA7">
        <w:rPr>
          <w:rFonts w:ascii="Arial" w:eastAsiaTheme="minorEastAsia" w:hAnsi="Arial" w:cs="Arial"/>
          <w:noProof/>
          <w:sz w:val="24"/>
          <w:szCs w:val="24"/>
        </w:rPr>
        <w:t xml:space="preserve">cross the ten districts of </w:t>
      </w:r>
      <w:r w:rsidR="003D66C2">
        <w:rPr>
          <w:rFonts w:ascii="Arial" w:eastAsiaTheme="minorEastAsia" w:hAnsi="Arial" w:cs="Arial"/>
          <w:noProof/>
          <w:sz w:val="24"/>
          <w:szCs w:val="24"/>
        </w:rPr>
        <w:t>G</w:t>
      </w:r>
      <w:r w:rsidR="003038E1">
        <w:rPr>
          <w:rFonts w:ascii="Arial" w:eastAsiaTheme="minorEastAsia" w:hAnsi="Arial" w:cs="Arial"/>
          <w:noProof/>
          <w:sz w:val="24"/>
          <w:szCs w:val="24"/>
        </w:rPr>
        <w:t>reater Manchester</w:t>
      </w:r>
      <w:r w:rsidR="00AB2F88" w:rsidRPr="005A5CA7">
        <w:rPr>
          <w:rFonts w:ascii="Arial" w:eastAsiaTheme="minorEastAsia" w:hAnsi="Arial" w:cs="Arial"/>
          <w:noProof/>
          <w:sz w:val="24"/>
          <w:szCs w:val="24"/>
        </w:rPr>
        <w:t xml:space="preserve">. </w:t>
      </w:r>
    </w:p>
    <w:p w14:paraId="39154043" w14:textId="77777777" w:rsidR="004D5C48" w:rsidRDefault="004D5C48" w:rsidP="00300602">
      <w:pPr>
        <w:spacing w:line="360" w:lineRule="auto"/>
        <w:contextualSpacing/>
        <w:jc w:val="both"/>
        <w:rPr>
          <w:rFonts w:ascii="Arial" w:eastAsiaTheme="minorEastAsia" w:hAnsi="Arial" w:cs="Arial"/>
          <w:noProof/>
          <w:sz w:val="24"/>
          <w:szCs w:val="24"/>
        </w:rPr>
      </w:pPr>
    </w:p>
    <w:p w14:paraId="78B1D379" w14:textId="77777777" w:rsidR="004D5C48" w:rsidRDefault="004D5C48" w:rsidP="004D5C48">
      <w:pPr>
        <w:spacing w:line="360" w:lineRule="auto"/>
        <w:contextualSpacing/>
        <w:jc w:val="both"/>
        <w:rPr>
          <w:rFonts w:ascii="Arial" w:eastAsiaTheme="minorEastAsia" w:hAnsi="Arial" w:cs="Arial"/>
          <w:noProof/>
          <w:sz w:val="24"/>
          <w:szCs w:val="24"/>
        </w:rPr>
      </w:pPr>
      <w:r w:rsidRPr="005A5CA7">
        <w:rPr>
          <w:rFonts w:ascii="Arial" w:eastAsiaTheme="minorEastAsia" w:hAnsi="Arial" w:cs="Arial"/>
          <w:noProof/>
          <w:sz w:val="24"/>
          <w:szCs w:val="24"/>
        </w:rPr>
        <w:t xml:space="preserve">In seven out of ten districts, C1s were the most common social grade. The exceptions were Oldham and Rochdale (where the highest proportion of working-age residents were DEs) and Trafford (where the highest proportion of working-age residents were ABs). </w:t>
      </w:r>
    </w:p>
    <w:p w14:paraId="590AB59A" w14:textId="77777777" w:rsidR="004D5C48" w:rsidRDefault="004D5C48" w:rsidP="004D5C48">
      <w:pPr>
        <w:spacing w:line="360" w:lineRule="auto"/>
        <w:contextualSpacing/>
        <w:jc w:val="both"/>
        <w:rPr>
          <w:rFonts w:ascii="Arial" w:eastAsiaTheme="minorEastAsia" w:hAnsi="Arial" w:cs="Arial"/>
          <w:noProof/>
          <w:sz w:val="24"/>
          <w:szCs w:val="24"/>
        </w:rPr>
      </w:pPr>
    </w:p>
    <w:p w14:paraId="0AE5BD79" w14:textId="77777777" w:rsidR="004D5C48" w:rsidRPr="00461248" w:rsidRDefault="004D5C48" w:rsidP="004D5C48">
      <w:pPr>
        <w:spacing w:line="360" w:lineRule="auto"/>
        <w:contextualSpacing/>
        <w:jc w:val="both"/>
        <w:rPr>
          <w:rFonts w:ascii="Arial" w:eastAsiaTheme="minorEastAsia" w:hAnsi="Arial" w:cs="Arial"/>
          <w:noProof/>
          <w:sz w:val="24"/>
          <w:szCs w:val="24"/>
        </w:rPr>
      </w:pPr>
      <w:r w:rsidRPr="005A5CA7">
        <w:rPr>
          <w:rFonts w:ascii="Arial" w:eastAsiaTheme="minorEastAsia" w:hAnsi="Arial" w:cs="Arial"/>
          <w:noProof/>
          <w:sz w:val="24"/>
          <w:szCs w:val="24"/>
        </w:rPr>
        <w:t xml:space="preserve">Every local authority saw at least 30% of </w:t>
      </w:r>
      <w:r>
        <w:rPr>
          <w:rFonts w:ascii="Arial" w:eastAsiaTheme="minorEastAsia" w:hAnsi="Arial" w:cs="Arial"/>
          <w:noProof/>
          <w:sz w:val="24"/>
          <w:szCs w:val="24"/>
        </w:rPr>
        <w:t xml:space="preserve">its </w:t>
      </w:r>
      <w:r w:rsidRPr="005A5CA7">
        <w:rPr>
          <w:rFonts w:ascii="Arial" w:eastAsiaTheme="minorEastAsia" w:hAnsi="Arial" w:cs="Arial"/>
          <w:noProof/>
          <w:sz w:val="24"/>
          <w:szCs w:val="24"/>
        </w:rPr>
        <w:t>residents</w:t>
      </w:r>
      <w:r>
        <w:rPr>
          <w:rFonts w:ascii="Arial" w:eastAsiaTheme="minorEastAsia" w:hAnsi="Arial" w:cs="Arial"/>
          <w:noProof/>
          <w:sz w:val="24"/>
          <w:szCs w:val="24"/>
        </w:rPr>
        <w:t xml:space="preserve"> classed as C1, with Salford having the highest proportion (37.1%). The proportion of DEs was highest in Bolton, Manchester, Oldham and Rochdale. Trafford was the only district where ABs accounted for more than 30% of 16-64-year-old residents.</w:t>
      </w:r>
    </w:p>
    <w:p w14:paraId="2D861541" w14:textId="77777777" w:rsidR="004D5C48" w:rsidRDefault="004D5C48">
      <w:pPr>
        <w:rPr>
          <w:rFonts w:ascii="Arial" w:eastAsiaTheme="minorEastAsia" w:hAnsi="Arial" w:cs="Arial"/>
          <w:noProof/>
          <w:sz w:val="24"/>
          <w:szCs w:val="24"/>
        </w:rPr>
      </w:pPr>
      <w:r>
        <w:rPr>
          <w:rFonts w:ascii="Arial" w:eastAsiaTheme="minorEastAsia" w:hAnsi="Arial" w:cs="Arial"/>
          <w:noProof/>
          <w:sz w:val="24"/>
          <w:szCs w:val="24"/>
        </w:rPr>
        <w:br w:type="page"/>
      </w:r>
    </w:p>
    <w:p w14:paraId="1CEF11F0" w14:textId="0FBBAA6F" w:rsidR="008D2874" w:rsidRPr="0092533E" w:rsidRDefault="009F339C" w:rsidP="00EF2404">
      <w:pPr>
        <w:spacing w:after="120"/>
        <w:rPr>
          <w:rFonts w:ascii="Arial" w:hAnsi="Arial" w:cs="Arial"/>
          <w:b/>
          <w:bCs/>
          <w:sz w:val="24"/>
          <w:szCs w:val="24"/>
        </w:rPr>
      </w:pPr>
      <w:r>
        <w:rPr>
          <w:rFonts w:ascii="Arial" w:hAnsi="Arial" w:cs="Arial"/>
          <w:b/>
          <w:bCs/>
          <w:sz w:val="24"/>
          <w:szCs w:val="24"/>
        </w:rPr>
        <w:lastRenderedPageBreak/>
        <w:t xml:space="preserve">Percentage of </w:t>
      </w:r>
      <w:r w:rsidR="00B86AF6">
        <w:rPr>
          <w:rFonts w:ascii="Arial" w:hAnsi="Arial" w:cs="Arial"/>
          <w:b/>
          <w:bCs/>
          <w:sz w:val="24"/>
          <w:szCs w:val="24"/>
        </w:rPr>
        <w:t>residents (16</w:t>
      </w:r>
      <w:r w:rsidR="009F3E12">
        <w:rPr>
          <w:rFonts w:ascii="Arial" w:hAnsi="Arial" w:cs="Arial"/>
          <w:b/>
          <w:bCs/>
          <w:sz w:val="24"/>
          <w:szCs w:val="24"/>
        </w:rPr>
        <w:t>-64</w:t>
      </w:r>
      <w:r w:rsidR="00B86AF6">
        <w:rPr>
          <w:rFonts w:ascii="Arial" w:hAnsi="Arial" w:cs="Arial"/>
          <w:b/>
          <w:bCs/>
          <w:sz w:val="24"/>
          <w:szCs w:val="24"/>
        </w:rPr>
        <w:t xml:space="preserve">) by </w:t>
      </w:r>
      <w:r w:rsidR="009F3E12">
        <w:rPr>
          <w:rFonts w:ascii="Arial" w:hAnsi="Arial" w:cs="Arial"/>
          <w:b/>
          <w:bCs/>
          <w:sz w:val="24"/>
          <w:szCs w:val="24"/>
        </w:rPr>
        <w:t>social grade</w:t>
      </w:r>
      <w:r>
        <w:rPr>
          <w:rFonts w:ascii="Arial" w:hAnsi="Arial" w:cs="Arial"/>
          <w:b/>
          <w:bCs/>
          <w:sz w:val="24"/>
          <w:szCs w:val="24"/>
        </w:rPr>
        <w:t xml:space="preserve"> (</w:t>
      </w:r>
      <w:r w:rsidR="00B86AF6">
        <w:rPr>
          <w:rFonts w:ascii="Arial" w:hAnsi="Arial" w:cs="Arial"/>
          <w:b/>
          <w:bCs/>
          <w:sz w:val="24"/>
          <w:szCs w:val="24"/>
        </w:rPr>
        <w:t>% of total</w:t>
      </w:r>
      <w:r>
        <w:rPr>
          <w:rFonts w:ascii="Arial" w:hAnsi="Arial" w:cs="Arial"/>
          <w:b/>
          <w:bCs/>
          <w:sz w:val="24"/>
          <w:szCs w:val="24"/>
        </w:rPr>
        <w:t>)</w:t>
      </w:r>
      <w:r w:rsidR="008D2874" w:rsidRPr="0092533E">
        <w:rPr>
          <w:rFonts w:ascii="Arial" w:hAnsi="Arial" w:cs="Arial"/>
          <w:b/>
          <w:bCs/>
          <w:sz w:val="24"/>
          <w:szCs w:val="24"/>
        </w:rPr>
        <w:t>,</w:t>
      </w:r>
      <w:r w:rsidR="008D2874">
        <w:rPr>
          <w:rFonts w:ascii="Arial" w:hAnsi="Arial" w:cs="Arial"/>
          <w:b/>
          <w:bCs/>
          <w:sz w:val="24"/>
          <w:szCs w:val="24"/>
        </w:rPr>
        <w:t xml:space="preserve"> </w:t>
      </w:r>
      <w:r>
        <w:rPr>
          <w:rFonts w:ascii="Arial" w:hAnsi="Arial" w:cs="Arial"/>
          <w:b/>
          <w:bCs/>
          <w:sz w:val="24"/>
          <w:szCs w:val="24"/>
        </w:rPr>
        <w:t>by district</w:t>
      </w:r>
      <w:r w:rsidR="008D2874">
        <w:rPr>
          <w:rFonts w:ascii="Arial" w:hAnsi="Arial" w:cs="Arial"/>
          <w:b/>
          <w:bCs/>
          <w:sz w:val="24"/>
          <w:szCs w:val="24"/>
        </w:rPr>
        <w:t>,</w:t>
      </w:r>
      <w:r w:rsidR="008D2874" w:rsidRPr="0092533E">
        <w:rPr>
          <w:rFonts w:ascii="Arial" w:hAnsi="Arial" w:cs="Arial"/>
          <w:b/>
          <w:bCs/>
          <w:sz w:val="24"/>
          <w:szCs w:val="24"/>
        </w:rPr>
        <w:t xml:space="preserve"> 2021</w:t>
      </w:r>
    </w:p>
    <w:p w14:paraId="3DE29024" w14:textId="3DD41F1D" w:rsidR="005A5CA7" w:rsidRDefault="009F3E12" w:rsidP="005A5CA7">
      <w:pPr>
        <w:spacing w:after="120"/>
        <w:rPr>
          <w:rFonts w:ascii="Arial" w:hAnsi="Arial" w:cs="Arial"/>
          <w:i/>
          <w:iCs/>
          <w:sz w:val="24"/>
          <w:szCs w:val="24"/>
        </w:rPr>
      </w:pPr>
      <w:r>
        <w:rPr>
          <w:noProof/>
        </w:rPr>
        <w:drawing>
          <wp:inline distT="0" distB="0" distL="0" distR="0" wp14:anchorId="4586F852" wp14:editId="4834AE69">
            <wp:extent cx="5600700" cy="3952875"/>
            <wp:effectExtent l="0" t="0" r="0" b="9525"/>
            <wp:docPr id="132431913" name="Chart 1" descr="This chart shows the proportion of residents aged 16-64 by social grade. All local authorities in Greater Manchester are shown, alongside Greater Manchester itself, the North West region and England. Every local authority in Greater Manchester has at least 30% of its residents classed as C1, whilst the proportion of DEs is highest in Bolton, Manchester, Oldham and Rochdale.">
              <a:extLst xmlns:a="http://schemas.openxmlformats.org/drawingml/2006/main">
                <a:ext uri="{FF2B5EF4-FFF2-40B4-BE49-F238E27FC236}">
                  <a16:creationId xmlns:a16="http://schemas.microsoft.com/office/drawing/2014/main" id="{0D642B03-EDF2-457D-C8B6-9573EE1135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B76E74A" w14:textId="719A0C9B" w:rsidR="009F3E12" w:rsidRDefault="009F3E12" w:rsidP="005A5CA7">
      <w:pPr>
        <w:spacing w:after="120"/>
        <w:rPr>
          <w:rFonts w:ascii="Arial" w:hAnsi="Arial" w:cs="Arial"/>
          <w:sz w:val="24"/>
          <w:szCs w:val="24"/>
        </w:rPr>
      </w:pPr>
      <w:r w:rsidRPr="005C38B0">
        <w:rPr>
          <w:rFonts w:ascii="Arial" w:hAnsi="Arial" w:cs="Arial"/>
          <w:i/>
          <w:iCs/>
          <w:sz w:val="24"/>
          <w:szCs w:val="24"/>
        </w:rPr>
        <w:t>Source: Census 2021,</w:t>
      </w:r>
      <w:r w:rsidRPr="005C38B0">
        <w:rPr>
          <w:rFonts w:ascii="Arial" w:hAnsi="Arial" w:cs="Arial"/>
          <w:sz w:val="24"/>
          <w:szCs w:val="24"/>
        </w:rPr>
        <w:t xml:space="preserve"> </w:t>
      </w:r>
      <w:r>
        <w:rPr>
          <w:rFonts w:ascii="Arial" w:hAnsi="Arial" w:cs="Arial"/>
          <w:i/>
          <w:iCs/>
          <w:sz w:val="24"/>
          <w:szCs w:val="24"/>
        </w:rPr>
        <w:t>NOMIS</w:t>
      </w:r>
      <w:r w:rsidRPr="005C38B0">
        <w:rPr>
          <w:rFonts w:ascii="Arial" w:hAnsi="Arial" w:cs="Arial"/>
          <w:i/>
          <w:iCs/>
          <w:sz w:val="24"/>
          <w:szCs w:val="24"/>
        </w:rPr>
        <w:t xml:space="preserve"> </w:t>
      </w:r>
      <w:r w:rsidRPr="005C38B0">
        <w:rPr>
          <w:rFonts w:ascii="Arial" w:hAnsi="Arial" w:cs="Arial"/>
          <w:sz w:val="24"/>
          <w:szCs w:val="24"/>
        </w:rPr>
        <w:t>(</w:t>
      </w:r>
      <w:hyperlink r:id="rId21" w:history="1">
        <w:r>
          <w:rPr>
            <w:rStyle w:val="Hyperlink"/>
            <w:rFonts w:cs="Arial"/>
            <w:i/>
            <w:iCs/>
            <w:color w:val="2C5060" w:themeColor="accent1"/>
            <w:sz w:val="24"/>
            <w:szCs w:val="24"/>
          </w:rPr>
          <w:t>Approximated social grade by sex by age</w:t>
        </w:r>
      </w:hyperlink>
      <w:hyperlink r:id="rId22" w:history="1"/>
      <w:r w:rsidRPr="005C38B0">
        <w:rPr>
          <w:rFonts w:ascii="Arial" w:hAnsi="Arial" w:cs="Arial"/>
          <w:sz w:val="24"/>
          <w:szCs w:val="24"/>
        </w:rPr>
        <w:t>).</w:t>
      </w:r>
    </w:p>
    <w:p w14:paraId="799F6485" w14:textId="7B93E8FB" w:rsidR="00262BAB" w:rsidRDefault="00262BAB" w:rsidP="009F3E12">
      <w:pPr>
        <w:spacing w:after="120"/>
      </w:pPr>
    </w:p>
    <w:p w14:paraId="4A0D23F3" w14:textId="4730EE92" w:rsidR="003E2647" w:rsidRPr="00331564" w:rsidRDefault="00E67683" w:rsidP="007E276A">
      <w:pPr>
        <w:pStyle w:val="Heading3"/>
        <w:rPr>
          <w:i/>
          <w:iCs/>
        </w:rPr>
      </w:pPr>
      <w:r>
        <w:t>Social grades</w:t>
      </w:r>
      <w:r w:rsidR="003E2647">
        <w:t xml:space="preserve"> over time</w:t>
      </w:r>
    </w:p>
    <w:p w14:paraId="76F510E3" w14:textId="72C3F5C1" w:rsidR="004501CA" w:rsidRPr="003608D2" w:rsidRDefault="006A051A" w:rsidP="000A686D">
      <w:pPr>
        <w:spacing w:line="360" w:lineRule="auto"/>
        <w:contextualSpacing/>
        <w:jc w:val="both"/>
        <w:rPr>
          <w:rFonts w:ascii="Arial" w:hAnsi="Arial" w:cs="Arial"/>
          <w:sz w:val="24"/>
          <w:szCs w:val="24"/>
        </w:rPr>
      </w:pPr>
      <w:r>
        <w:rPr>
          <w:rFonts w:ascii="Arial" w:hAnsi="Arial" w:cs="Arial"/>
          <w:b/>
          <w:bCs/>
          <w:sz w:val="24"/>
          <w:szCs w:val="24"/>
        </w:rPr>
        <w:t xml:space="preserve">Percentage </w:t>
      </w:r>
      <w:r w:rsidR="00AB5252">
        <w:rPr>
          <w:rFonts w:ascii="Arial" w:hAnsi="Arial" w:cs="Arial"/>
          <w:b/>
          <w:bCs/>
          <w:sz w:val="24"/>
          <w:szCs w:val="24"/>
        </w:rPr>
        <w:t xml:space="preserve">of residents by social grade over time, Greater Manchester </w:t>
      </w:r>
      <w:r w:rsidR="00286C7C">
        <w:rPr>
          <w:rFonts w:ascii="Arial" w:hAnsi="Arial" w:cs="Arial"/>
          <w:b/>
          <w:bCs/>
          <w:sz w:val="24"/>
          <w:szCs w:val="24"/>
        </w:rPr>
        <w:t>(</w:t>
      </w:r>
      <w:r w:rsidR="001572D3">
        <w:rPr>
          <w:rFonts w:ascii="Arial" w:hAnsi="Arial" w:cs="Arial"/>
          <w:b/>
          <w:bCs/>
          <w:sz w:val="24"/>
          <w:szCs w:val="24"/>
        </w:rPr>
        <w:t>2021</w:t>
      </w:r>
      <w:r w:rsidR="00286C7C">
        <w:rPr>
          <w:rFonts w:ascii="Arial" w:hAnsi="Arial" w:cs="Arial"/>
          <w:b/>
          <w:bCs/>
          <w:sz w:val="24"/>
          <w:szCs w:val="24"/>
        </w:rPr>
        <w:t>)</w:t>
      </w:r>
    </w:p>
    <w:p w14:paraId="23D2C27E" w14:textId="1F898C39" w:rsidR="00304D3D" w:rsidRDefault="00304D3D" w:rsidP="00557800">
      <w:pPr>
        <w:spacing w:after="120"/>
        <w:jc w:val="center"/>
        <w:rPr>
          <w:rFonts w:ascii="Arial" w:hAnsi="Arial" w:cs="Arial"/>
          <w:b/>
          <w:bCs/>
          <w:sz w:val="24"/>
          <w:szCs w:val="24"/>
        </w:rPr>
      </w:pPr>
      <w:r>
        <w:rPr>
          <w:noProof/>
        </w:rPr>
        <w:drawing>
          <wp:inline distT="0" distB="0" distL="0" distR="0" wp14:anchorId="7AD52EEF" wp14:editId="76DBD9F6">
            <wp:extent cx="4946650" cy="3162300"/>
            <wp:effectExtent l="0" t="0" r="6350" b="0"/>
            <wp:docPr id="391140648" name="Chart 1" descr="This chart shows the percentage of residents by social grade over time. The chart shows that C1s have risen considerably between 2001 and 2021, whilst DEs have fallen considerably in this time.">
              <a:extLst xmlns:a="http://schemas.openxmlformats.org/drawingml/2006/main">
                <a:ext uri="{FF2B5EF4-FFF2-40B4-BE49-F238E27FC236}">
                  <a16:creationId xmlns:a16="http://schemas.microsoft.com/office/drawing/2014/main" id="{15903CE6-2407-DC1B-40F3-7BCD17C77A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E800D32" w14:textId="77777777" w:rsidR="00557800" w:rsidRPr="005C38B0" w:rsidRDefault="00557800" w:rsidP="00557800">
      <w:pPr>
        <w:spacing w:after="120"/>
        <w:rPr>
          <w:rFonts w:ascii="Arial" w:hAnsi="Arial" w:cs="Arial"/>
          <w:sz w:val="24"/>
          <w:szCs w:val="24"/>
        </w:rPr>
      </w:pPr>
      <w:r w:rsidRPr="005C38B0">
        <w:rPr>
          <w:rFonts w:ascii="Arial" w:hAnsi="Arial" w:cs="Arial"/>
          <w:i/>
          <w:iCs/>
          <w:sz w:val="24"/>
          <w:szCs w:val="24"/>
        </w:rPr>
        <w:t>Source: Census 2021,</w:t>
      </w:r>
      <w:r w:rsidRPr="005C38B0">
        <w:rPr>
          <w:rFonts w:ascii="Arial" w:hAnsi="Arial" w:cs="Arial"/>
          <w:sz w:val="24"/>
          <w:szCs w:val="24"/>
        </w:rPr>
        <w:t xml:space="preserve"> </w:t>
      </w:r>
      <w:r>
        <w:rPr>
          <w:rFonts w:ascii="Arial" w:hAnsi="Arial" w:cs="Arial"/>
          <w:i/>
          <w:iCs/>
          <w:sz w:val="24"/>
          <w:szCs w:val="24"/>
        </w:rPr>
        <w:t>NOMIS</w:t>
      </w:r>
      <w:r w:rsidRPr="005C38B0">
        <w:rPr>
          <w:rFonts w:ascii="Arial" w:hAnsi="Arial" w:cs="Arial"/>
          <w:i/>
          <w:iCs/>
          <w:sz w:val="24"/>
          <w:szCs w:val="24"/>
        </w:rPr>
        <w:t xml:space="preserve"> </w:t>
      </w:r>
      <w:r w:rsidRPr="005C38B0">
        <w:rPr>
          <w:rFonts w:ascii="Arial" w:hAnsi="Arial" w:cs="Arial"/>
          <w:sz w:val="24"/>
          <w:szCs w:val="24"/>
        </w:rPr>
        <w:t>(</w:t>
      </w:r>
      <w:hyperlink r:id="rId24" w:history="1">
        <w:r>
          <w:rPr>
            <w:rStyle w:val="Hyperlink"/>
            <w:rFonts w:cs="Arial"/>
            <w:i/>
            <w:iCs/>
            <w:color w:val="2C5060" w:themeColor="accent1"/>
            <w:sz w:val="24"/>
            <w:szCs w:val="24"/>
          </w:rPr>
          <w:t>Approximated social grade by sex by age</w:t>
        </w:r>
      </w:hyperlink>
      <w:hyperlink r:id="rId25" w:history="1"/>
      <w:r w:rsidRPr="005C38B0">
        <w:rPr>
          <w:rFonts w:ascii="Arial" w:hAnsi="Arial" w:cs="Arial"/>
          <w:sz w:val="24"/>
          <w:szCs w:val="24"/>
        </w:rPr>
        <w:t xml:space="preserve">). </w:t>
      </w:r>
    </w:p>
    <w:p w14:paraId="53B09B06" w14:textId="4FF8C7E4" w:rsidR="004D5C48" w:rsidRPr="00511D1F" w:rsidRDefault="004D5C48" w:rsidP="004D5C48">
      <w:pPr>
        <w:spacing w:line="360" w:lineRule="auto"/>
        <w:contextualSpacing/>
        <w:jc w:val="both"/>
        <w:rPr>
          <w:rFonts w:ascii="Arial" w:eastAsiaTheme="minorEastAsia" w:hAnsi="Arial" w:cs="Arial"/>
          <w:noProof/>
          <w:sz w:val="24"/>
          <w:szCs w:val="24"/>
        </w:rPr>
      </w:pPr>
      <w:r w:rsidRPr="00511D1F">
        <w:rPr>
          <w:rFonts w:ascii="Arial" w:hAnsi="Arial" w:cs="Arial"/>
          <w:sz w:val="24"/>
          <w:szCs w:val="24"/>
        </w:rPr>
        <w:lastRenderedPageBreak/>
        <w:t xml:space="preserve">Over the last twenty years, the rise of C1s and </w:t>
      </w:r>
      <w:r>
        <w:rPr>
          <w:rFonts w:ascii="Arial" w:hAnsi="Arial" w:cs="Arial"/>
          <w:sz w:val="24"/>
          <w:szCs w:val="24"/>
        </w:rPr>
        <w:t xml:space="preserve">the </w:t>
      </w:r>
      <w:r w:rsidRPr="00511D1F">
        <w:rPr>
          <w:rFonts w:ascii="Arial" w:hAnsi="Arial" w:cs="Arial"/>
          <w:sz w:val="24"/>
          <w:szCs w:val="24"/>
        </w:rPr>
        <w:t xml:space="preserve">fall of DEs </w:t>
      </w:r>
      <w:r>
        <w:rPr>
          <w:rFonts w:ascii="Arial" w:hAnsi="Arial" w:cs="Arial"/>
          <w:sz w:val="24"/>
          <w:szCs w:val="24"/>
        </w:rPr>
        <w:t>have</w:t>
      </w:r>
      <w:r w:rsidRPr="00511D1F">
        <w:rPr>
          <w:rFonts w:ascii="Arial" w:hAnsi="Arial" w:cs="Arial"/>
          <w:sz w:val="24"/>
          <w:szCs w:val="24"/>
        </w:rPr>
        <w:t xml:space="preserve"> been</w:t>
      </w:r>
      <w:r>
        <w:rPr>
          <w:rFonts w:ascii="Arial" w:hAnsi="Arial" w:cs="Arial"/>
          <w:sz w:val="24"/>
          <w:szCs w:val="24"/>
        </w:rPr>
        <w:t xml:space="preserve"> the standout </w:t>
      </w:r>
      <w:r w:rsidRPr="00511D1F">
        <w:rPr>
          <w:rFonts w:ascii="Arial" w:hAnsi="Arial" w:cs="Arial"/>
          <w:sz w:val="24"/>
          <w:szCs w:val="24"/>
        </w:rPr>
        <w:t>trend</w:t>
      </w:r>
      <w:r>
        <w:rPr>
          <w:rFonts w:ascii="Arial" w:hAnsi="Arial" w:cs="Arial"/>
          <w:sz w:val="24"/>
          <w:szCs w:val="24"/>
        </w:rPr>
        <w:t>s</w:t>
      </w:r>
      <w:r w:rsidRPr="00511D1F">
        <w:rPr>
          <w:rFonts w:ascii="Arial" w:hAnsi="Arial" w:cs="Arial"/>
          <w:sz w:val="24"/>
          <w:szCs w:val="24"/>
        </w:rPr>
        <w:t>.</w:t>
      </w:r>
      <w:r>
        <w:rPr>
          <w:rStyle w:val="FootnoteReference"/>
          <w:rFonts w:cs="Arial"/>
          <w:szCs w:val="24"/>
        </w:rPr>
        <w:footnoteReference w:id="1"/>
      </w:r>
      <w:r w:rsidRPr="00511D1F">
        <w:rPr>
          <w:rFonts w:ascii="Arial" w:hAnsi="Arial" w:cs="Arial"/>
          <w:sz w:val="24"/>
          <w:szCs w:val="24"/>
        </w:rPr>
        <w:t xml:space="preserve"> Since 2001, t</w:t>
      </w:r>
      <w:r w:rsidRPr="00511D1F">
        <w:rPr>
          <w:rFonts w:ascii="Arial" w:eastAsiaTheme="minorEastAsia" w:hAnsi="Arial" w:cs="Arial"/>
          <w:noProof/>
          <w:sz w:val="24"/>
          <w:szCs w:val="24"/>
        </w:rPr>
        <w:t xml:space="preserve">he proportion of Greater Manchester residents in the C1 social grade rose from 28.7% in 2001 to </w:t>
      </w:r>
      <w:r>
        <w:rPr>
          <w:rFonts w:ascii="Arial" w:eastAsiaTheme="minorEastAsia" w:hAnsi="Arial" w:cs="Arial"/>
          <w:noProof/>
          <w:sz w:val="24"/>
          <w:szCs w:val="24"/>
        </w:rPr>
        <w:t xml:space="preserve">above the national average </w:t>
      </w:r>
      <w:r w:rsidRPr="00511D1F">
        <w:rPr>
          <w:rFonts w:ascii="Arial" w:eastAsiaTheme="minorEastAsia" w:hAnsi="Arial" w:cs="Arial"/>
          <w:noProof/>
          <w:sz w:val="24"/>
          <w:szCs w:val="24"/>
        </w:rPr>
        <w:t>in 2021</w:t>
      </w:r>
      <w:r>
        <w:rPr>
          <w:rFonts w:ascii="Arial" w:eastAsiaTheme="minorEastAsia" w:hAnsi="Arial" w:cs="Arial"/>
          <w:noProof/>
          <w:sz w:val="24"/>
          <w:szCs w:val="24"/>
        </w:rPr>
        <w:t xml:space="preserve"> (33.9% vs 33.5% nationally)</w:t>
      </w:r>
      <w:r w:rsidRPr="00511D1F">
        <w:rPr>
          <w:rFonts w:ascii="Arial" w:eastAsiaTheme="minorEastAsia" w:hAnsi="Arial" w:cs="Arial"/>
          <w:noProof/>
          <w:sz w:val="24"/>
          <w:szCs w:val="24"/>
        </w:rPr>
        <w:t xml:space="preserve">. </w:t>
      </w:r>
      <w:r>
        <w:rPr>
          <w:rFonts w:ascii="Arial" w:eastAsiaTheme="minorEastAsia" w:hAnsi="Arial" w:cs="Arial"/>
          <w:noProof/>
          <w:sz w:val="24"/>
          <w:szCs w:val="24"/>
        </w:rPr>
        <w:t>The proportion of</w:t>
      </w:r>
      <w:r w:rsidRPr="00511D1F">
        <w:rPr>
          <w:rFonts w:ascii="Arial" w:eastAsiaTheme="minorEastAsia" w:hAnsi="Arial" w:cs="Arial"/>
          <w:noProof/>
          <w:sz w:val="24"/>
          <w:szCs w:val="24"/>
        </w:rPr>
        <w:t xml:space="preserve"> DEs</w:t>
      </w:r>
      <w:r>
        <w:rPr>
          <w:rFonts w:ascii="Arial" w:eastAsiaTheme="minorEastAsia" w:hAnsi="Arial" w:cs="Arial"/>
          <w:noProof/>
          <w:sz w:val="24"/>
          <w:szCs w:val="24"/>
        </w:rPr>
        <w:t xml:space="preserve"> has</w:t>
      </w:r>
      <w:r w:rsidRPr="00511D1F">
        <w:rPr>
          <w:rFonts w:ascii="Arial" w:eastAsiaTheme="minorEastAsia" w:hAnsi="Arial" w:cs="Arial"/>
          <w:noProof/>
          <w:sz w:val="24"/>
          <w:szCs w:val="24"/>
        </w:rPr>
        <w:t xml:space="preserve"> </w:t>
      </w:r>
      <w:r>
        <w:rPr>
          <w:rFonts w:ascii="Arial" w:eastAsiaTheme="minorEastAsia" w:hAnsi="Arial" w:cs="Arial"/>
          <w:noProof/>
          <w:sz w:val="24"/>
          <w:szCs w:val="24"/>
        </w:rPr>
        <w:t>s</w:t>
      </w:r>
      <w:r w:rsidRPr="00511D1F">
        <w:rPr>
          <w:rFonts w:ascii="Arial" w:eastAsiaTheme="minorEastAsia" w:hAnsi="Arial" w:cs="Arial"/>
          <w:noProof/>
          <w:sz w:val="24"/>
          <w:szCs w:val="24"/>
        </w:rPr>
        <w:t xml:space="preserve">een </w:t>
      </w:r>
      <w:r>
        <w:rPr>
          <w:rFonts w:ascii="Arial" w:eastAsiaTheme="minorEastAsia" w:hAnsi="Arial" w:cs="Arial"/>
          <w:noProof/>
          <w:sz w:val="24"/>
          <w:szCs w:val="24"/>
        </w:rPr>
        <w:t xml:space="preserve">a </w:t>
      </w:r>
      <w:r w:rsidRPr="00511D1F">
        <w:rPr>
          <w:rFonts w:ascii="Arial" w:eastAsiaTheme="minorEastAsia" w:hAnsi="Arial" w:cs="Arial"/>
          <w:noProof/>
          <w:sz w:val="24"/>
          <w:szCs w:val="24"/>
        </w:rPr>
        <w:t>consistent fall</w:t>
      </w:r>
      <w:r>
        <w:rPr>
          <w:rFonts w:ascii="Arial" w:eastAsiaTheme="minorEastAsia" w:hAnsi="Arial" w:cs="Arial"/>
          <w:noProof/>
          <w:sz w:val="24"/>
          <w:szCs w:val="24"/>
        </w:rPr>
        <w:t>:</w:t>
      </w:r>
      <w:r w:rsidRPr="00511D1F">
        <w:rPr>
          <w:rFonts w:ascii="Arial" w:eastAsiaTheme="minorEastAsia" w:hAnsi="Arial" w:cs="Arial"/>
          <w:noProof/>
          <w:sz w:val="24"/>
          <w:szCs w:val="24"/>
        </w:rPr>
        <w:t xml:space="preserve"> </w:t>
      </w:r>
      <w:r>
        <w:rPr>
          <w:rFonts w:ascii="Arial" w:eastAsiaTheme="minorEastAsia" w:hAnsi="Arial" w:cs="Arial"/>
          <w:noProof/>
          <w:sz w:val="24"/>
          <w:szCs w:val="24"/>
        </w:rPr>
        <w:t xml:space="preserve">from </w:t>
      </w:r>
      <w:r w:rsidRPr="00511D1F">
        <w:rPr>
          <w:rFonts w:ascii="Arial" w:eastAsiaTheme="minorEastAsia" w:hAnsi="Arial" w:cs="Arial"/>
          <w:noProof/>
          <w:sz w:val="24"/>
          <w:szCs w:val="24"/>
        </w:rPr>
        <w:t>31.0% in 2001</w:t>
      </w:r>
      <w:r>
        <w:rPr>
          <w:rFonts w:ascii="Arial" w:eastAsiaTheme="minorEastAsia" w:hAnsi="Arial" w:cs="Arial"/>
          <w:noProof/>
          <w:sz w:val="24"/>
          <w:szCs w:val="24"/>
        </w:rPr>
        <w:t>,</w:t>
      </w:r>
      <w:r w:rsidRPr="00511D1F">
        <w:rPr>
          <w:rFonts w:ascii="Arial" w:eastAsiaTheme="minorEastAsia" w:hAnsi="Arial" w:cs="Arial"/>
          <w:noProof/>
          <w:sz w:val="24"/>
          <w:szCs w:val="24"/>
        </w:rPr>
        <w:t xml:space="preserve"> to </w:t>
      </w:r>
      <w:r>
        <w:rPr>
          <w:rFonts w:ascii="Arial" w:eastAsiaTheme="minorEastAsia" w:hAnsi="Arial" w:cs="Arial"/>
          <w:noProof/>
          <w:sz w:val="24"/>
          <w:szCs w:val="24"/>
        </w:rPr>
        <w:t xml:space="preserve">29.3% in 2011, and </w:t>
      </w:r>
      <w:r w:rsidRPr="00511D1F">
        <w:rPr>
          <w:rFonts w:ascii="Arial" w:eastAsiaTheme="minorEastAsia" w:hAnsi="Arial" w:cs="Arial"/>
          <w:noProof/>
          <w:sz w:val="24"/>
          <w:szCs w:val="24"/>
        </w:rPr>
        <w:t xml:space="preserve">26.1% in 2021. These trends have </w:t>
      </w:r>
      <w:r>
        <w:rPr>
          <w:rFonts w:ascii="Arial" w:eastAsiaTheme="minorEastAsia" w:hAnsi="Arial" w:cs="Arial"/>
          <w:noProof/>
          <w:sz w:val="24"/>
          <w:szCs w:val="24"/>
        </w:rPr>
        <w:t>been mirrored at the regional (North West) and national (England) level.</w:t>
      </w:r>
    </w:p>
    <w:p w14:paraId="7533958A" w14:textId="77777777" w:rsidR="004D5C48" w:rsidRDefault="004D5C48" w:rsidP="00300602">
      <w:pPr>
        <w:spacing w:after="0" w:line="360" w:lineRule="auto"/>
        <w:contextualSpacing/>
        <w:jc w:val="both"/>
        <w:rPr>
          <w:rFonts w:ascii="Arial" w:eastAsiaTheme="minorEastAsia" w:hAnsi="Arial" w:cs="Arial"/>
          <w:noProof/>
          <w:sz w:val="24"/>
          <w:szCs w:val="24"/>
        </w:rPr>
      </w:pPr>
    </w:p>
    <w:p w14:paraId="40CEC959" w14:textId="393D069D" w:rsidR="00300602" w:rsidRDefault="00300602" w:rsidP="00300602">
      <w:pPr>
        <w:spacing w:after="0" w:line="360" w:lineRule="auto"/>
        <w:contextualSpacing/>
        <w:jc w:val="both"/>
        <w:rPr>
          <w:rFonts w:ascii="Arial" w:eastAsiaTheme="minorEastAsia" w:hAnsi="Arial" w:cs="Arial"/>
          <w:noProof/>
          <w:sz w:val="24"/>
          <w:szCs w:val="24"/>
        </w:rPr>
      </w:pPr>
      <w:r w:rsidRPr="00511D1F">
        <w:rPr>
          <w:rFonts w:ascii="Arial" w:eastAsiaTheme="minorEastAsia" w:hAnsi="Arial" w:cs="Arial"/>
          <w:noProof/>
          <w:sz w:val="24"/>
          <w:szCs w:val="24"/>
        </w:rPr>
        <w:t>Trends amongst AB and C2</w:t>
      </w:r>
      <w:r>
        <w:rPr>
          <w:rFonts w:ascii="Arial" w:eastAsiaTheme="minorEastAsia" w:hAnsi="Arial" w:cs="Arial"/>
          <w:noProof/>
          <w:sz w:val="24"/>
          <w:szCs w:val="24"/>
        </w:rPr>
        <w:t xml:space="preserve"> social grades</w:t>
      </w:r>
      <w:r w:rsidRPr="00511D1F">
        <w:rPr>
          <w:rFonts w:ascii="Arial" w:eastAsiaTheme="minorEastAsia" w:hAnsi="Arial" w:cs="Arial"/>
          <w:noProof/>
          <w:sz w:val="24"/>
          <w:szCs w:val="24"/>
        </w:rPr>
        <w:t xml:space="preserve"> are less clear; the proportion of ABs </w:t>
      </w:r>
      <w:r>
        <w:rPr>
          <w:rFonts w:ascii="Arial" w:eastAsiaTheme="minorEastAsia" w:hAnsi="Arial" w:cs="Arial"/>
          <w:noProof/>
          <w:sz w:val="24"/>
          <w:szCs w:val="24"/>
        </w:rPr>
        <w:t xml:space="preserve">rose </w:t>
      </w:r>
      <w:r w:rsidRPr="00511D1F">
        <w:rPr>
          <w:rFonts w:ascii="Arial" w:eastAsiaTheme="minorEastAsia" w:hAnsi="Arial" w:cs="Arial"/>
          <w:noProof/>
          <w:sz w:val="24"/>
          <w:szCs w:val="24"/>
        </w:rPr>
        <w:t>from</w:t>
      </w:r>
      <w:r>
        <w:rPr>
          <w:rFonts w:ascii="Arial" w:eastAsiaTheme="minorEastAsia" w:hAnsi="Arial" w:cs="Arial"/>
          <w:noProof/>
          <w:sz w:val="24"/>
          <w:szCs w:val="24"/>
        </w:rPr>
        <w:t xml:space="preserve"> 2011 to 2021, but fell from 2001 to 2021. On the other hand, the proportion of C2s fell from 2011 to 2021, but rose from 2001 to 2021. As with C1s and DEs, these trends have also occured across the North West and England.</w:t>
      </w:r>
    </w:p>
    <w:p w14:paraId="01EB6595" w14:textId="77777777" w:rsidR="00300602" w:rsidRDefault="00300602" w:rsidP="00300602">
      <w:pPr>
        <w:spacing w:after="0" w:line="360" w:lineRule="auto"/>
        <w:contextualSpacing/>
        <w:jc w:val="both"/>
        <w:rPr>
          <w:rFonts w:ascii="Arial" w:eastAsiaTheme="minorEastAsia" w:hAnsi="Arial" w:cs="Arial"/>
          <w:noProof/>
          <w:sz w:val="24"/>
          <w:szCs w:val="24"/>
        </w:rPr>
      </w:pPr>
    </w:p>
    <w:p w14:paraId="7F1B4116" w14:textId="1B28E6BE" w:rsidR="00E44728" w:rsidRDefault="00E44728" w:rsidP="007E276A">
      <w:pPr>
        <w:pStyle w:val="Heading3"/>
      </w:pPr>
      <w:bookmarkStart w:id="4" w:name="_Hlk128643792"/>
      <w:r>
        <w:t xml:space="preserve">Social grade by ethnicity </w:t>
      </w:r>
    </w:p>
    <w:p w14:paraId="6D41B3F1" w14:textId="7220FFCA" w:rsidR="007E276A" w:rsidRDefault="007E276A" w:rsidP="007E276A">
      <w:pPr>
        <w:spacing w:line="360" w:lineRule="auto"/>
        <w:contextualSpacing/>
        <w:jc w:val="both"/>
        <w:rPr>
          <w:rFonts w:ascii="Arial" w:hAnsi="Arial" w:cs="Arial"/>
          <w:b/>
          <w:bCs/>
          <w:sz w:val="24"/>
          <w:szCs w:val="24"/>
        </w:rPr>
      </w:pPr>
      <w:r>
        <w:rPr>
          <w:rFonts w:ascii="Arial" w:hAnsi="Arial" w:cs="Arial"/>
          <w:b/>
          <w:bCs/>
          <w:sz w:val="24"/>
          <w:szCs w:val="24"/>
        </w:rPr>
        <w:t>Social grade by ethnicity (% of each ethnic group’s 16-64 population), 2021</w:t>
      </w:r>
    </w:p>
    <w:p w14:paraId="4463520A" w14:textId="48229084" w:rsidR="00E44728" w:rsidRPr="004B4419" w:rsidRDefault="004B4419" w:rsidP="004B4419">
      <w:pPr>
        <w:spacing w:line="360" w:lineRule="auto"/>
        <w:contextualSpacing/>
        <w:jc w:val="both"/>
        <w:rPr>
          <w:rFonts w:ascii="Arial" w:hAnsi="Arial" w:cs="Arial"/>
          <w:sz w:val="24"/>
          <w:szCs w:val="24"/>
        </w:rPr>
      </w:pPr>
      <w:r w:rsidRPr="004B4419">
        <w:rPr>
          <w:noProof/>
          <w:sz w:val="24"/>
          <w:szCs w:val="24"/>
        </w:rPr>
        <w:drawing>
          <wp:inline distT="0" distB="0" distL="0" distR="0" wp14:anchorId="0F2B2E12" wp14:editId="260EDC11">
            <wp:extent cx="5667375" cy="3409950"/>
            <wp:effectExtent l="0" t="0" r="9525" b="0"/>
            <wp:docPr id="1914908517" name="Chart 1" descr="This chart shows social grades of Greater Manchester residents by ethnicity (where percentages refer to the proportion of each ethnic group's 16-64 population). The chart shows different proportions of people in certain social grades; for example, 38.8% of Asians were in the DE social grade in 2021, compared with 23.3% of white residents in Greater Manchester.">
              <a:extLst xmlns:a="http://schemas.openxmlformats.org/drawingml/2006/main">
                <a:ext uri="{FF2B5EF4-FFF2-40B4-BE49-F238E27FC236}">
                  <a16:creationId xmlns:a16="http://schemas.microsoft.com/office/drawing/2014/main" id="{1BD2D520-3628-6AB1-7209-E0A6624506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9397025" w14:textId="3F257F4E" w:rsidR="00E647B7" w:rsidRPr="007044F7" w:rsidRDefault="00E647B7" w:rsidP="007044F7">
      <w:pPr>
        <w:spacing w:after="120"/>
        <w:rPr>
          <w:rFonts w:ascii="Arial" w:hAnsi="Arial" w:cs="Arial"/>
          <w:sz w:val="24"/>
          <w:szCs w:val="24"/>
        </w:rPr>
      </w:pPr>
      <w:r w:rsidRPr="005C38B0">
        <w:rPr>
          <w:rFonts w:ascii="Arial" w:hAnsi="Arial" w:cs="Arial"/>
          <w:i/>
          <w:iCs/>
          <w:sz w:val="24"/>
          <w:szCs w:val="24"/>
        </w:rPr>
        <w:t>Source: Census 2021,</w:t>
      </w:r>
      <w:r w:rsidRPr="005C38B0">
        <w:rPr>
          <w:rFonts w:ascii="Arial" w:hAnsi="Arial" w:cs="Arial"/>
          <w:sz w:val="24"/>
          <w:szCs w:val="24"/>
        </w:rPr>
        <w:t xml:space="preserve"> </w:t>
      </w:r>
      <w:r>
        <w:rPr>
          <w:rFonts w:ascii="Arial" w:hAnsi="Arial" w:cs="Arial"/>
          <w:i/>
          <w:iCs/>
          <w:sz w:val="24"/>
          <w:szCs w:val="24"/>
        </w:rPr>
        <w:t>NOMIS</w:t>
      </w:r>
      <w:r w:rsidRPr="005C38B0">
        <w:rPr>
          <w:rFonts w:ascii="Arial" w:hAnsi="Arial" w:cs="Arial"/>
          <w:i/>
          <w:iCs/>
          <w:sz w:val="24"/>
          <w:szCs w:val="24"/>
        </w:rPr>
        <w:t xml:space="preserve"> </w:t>
      </w:r>
      <w:r w:rsidRPr="005C38B0">
        <w:rPr>
          <w:rFonts w:ascii="Arial" w:hAnsi="Arial" w:cs="Arial"/>
          <w:sz w:val="24"/>
          <w:szCs w:val="24"/>
        </w:rPr>
        <w:t>(</w:t>
      </w:r>
      <w:hyperlink r:id="rId27" w:history="1">
        <w:r>
          <w:rPr>
            <w:rStyle w:val="Hyperlink"/>
            <w:rFonts w:cs="Arial"/>
            <w:i/>
            <w:iCs/>
            <w:color w:val="2C5060" w:themeColor="accent1"/>
            <w:sz w:val="24"/>
            <w:szCs w:val="24"/>
          </w:rPr>
          <w:t>Approximated social grade by ethnic group</w:t>
        </w:r>
      </w:hyperlink>
      <w:hyperlink r:id="rId28" w:history="1"/>
      <w:r w:rsidRPr="005C38B0">
        <w:rPr>
          <w:rFonts w:ascii="Arial" w:hAnsi="Arial" w:cs="Arial"/>
          <w:sz w:val="24"/>
          <w:szCs w:val="24"/>
        </w:rPr>
        <w:t xml:space="preserve">). </w:t>
      </w:r>
    </w:p>
    <w:p w14:paraId="3B004422" w14:textId="77777777" w:rsidR="005D30FB" w:rsidRDefault="005D30FB" w:rsidP="005D30FB">
      <w:pPr>
        <w:spacing w:line="360" w:lineRule="auto"/>
        <w:contextualSpacing/>
        <w:jc w:val="both"/>
        <w:rPr>
          <w:rFonts w:ascii="Arial" w:eastAsiaTheme="minorEastAsia" w:hAnsi="Arial" w:cs="Arial"/>
          <w:noProof/>
          <w:sz w:val="24"/>
          <w:szCs w:val="24"/>
        </w:rPr>
      </w:pPr>
      <w:r w:rsidRPr="005242D1">
        <w:rPr>
          <w:rFonts w:ascii="Arial" w:eastAsiaTheme="minorEastAsia" w:hAnsi="Arial" w:cs="Arial"/>
          <w:noProof/>
          <w:sz w:val="24"/>
          <w:szCs w:val="24"/>
        </w:rPr>
        <w:lastRenderedPageBreak/>
        <w:t>Social grades vary</w:t>
      </w:r>
      <w:r>
        <w:rPr>
          <w:rFonts w:ascii="Arial" w:eastAsiaTheme="minorEastAsia" w:hAnsi="Arial" w:cs="Arial"/>
          <w:noProof/>
          <w:sz w:val="24"/>
          <w:szCs w:val="24"/>
        </w:rPr>
        <w:t xml:space="preserve"> significantly</w:t>
      </w:r>
      <w:r w:rsidRPr="005242D1">
        <w:rPr>
          <w:rFonts w:ascii="Arial" w:eastAsiaTheme="minorEastAsia" w:hAnsi="Arial" w:cs="Arial"/>
          <w:noProof/>
          <w:sz w:val="24"/>
          <w:szCs w:val="24"/>
        </w:rPr>
        <w:t xml:space="preserve"> by </w:t>
      </w:r>
      <w:r>
        <w:rPr>
          <w:rFonts w:ascii="Arial" w:eastAsiaTheme="minorEastAsia" w:hAnsi="Arial" w:cs="Arial"/>
          <w:noProof/>
          <w:sz w:val="24"/>
          <w:szCs w:val="24"/>
        </w:rPr>
        <w:t>ethnicity</w:t>
      </w:r>
      <w:r w:rsidRPr="005242D1">
        <w:rPr>
          <w:rFonts w:ascii="Arial" w:eastAsiaTheme="minorEastAsia" w:hAnsi="Arial" w:cs="Arial"/>
          <w:noProof/>
          <w:sz w:val="24"/>
          <w:szCs w:val="24"/>
        </w:rPr>
        <w:t>. For example, 3</w:t>
      </w:r>
      <w:r>
        <w:rPr>
          <w:rFonts w:ascii="Arial" w:eastAsiaTheme="minorEastAsia" w:hAnsi="Arial" w:cs="Arial"/>
          <w:noProof/>
          <w:sz w:val="24"/>
          <w:szCs w:val="24"/>
        </w:rPr>
        <w:t>8</w:t>
      </w:r>
      <w:r w:rsidRPr="005242D1">
        <w:rPr>
          <w:rFonts w:ascii="Arial" w:eastAsiaTheme="minorEastAsia" w:hAnsi="Arial" w:cs="Arial"/>
          <w:noProof/>
          <w:sz w:val="24"/>
          <w:szCs w:val="24"/>
        </w:rPr>
        <w:t xml:space="preserve">.8% of </w:t>
      </w:r>
      <w:r>
        <w:rPr>
          <w:rFonts w:ascii="Arial" w:eastAsiaTheme="minorEastAsia" w:hAnsi="Arial" w:cs="Arial"/>
          <w:noProof/>
          <w:sz w:val="24"/>
          <w:szCs w:val="24"/>
        </w:rPr>
        <w:t>asians were</w:t>
      </w:r>
      <w:r w:rsidRPr="005242D1">
        <w:rPr>
          <w:rFonts w:ascii="Arial" w:eastAsiaTheme="minorEastAsia" w:hAnsi="Arial" w:cs="Arial"/>
          <w:noProof/>
          <w:sz w:val="24"/>
          <w:szCs w:val="24"/>
        </w:rPr>
        <w:t xml:space="preserve"> in the DE social grade</w:t>
      </w:r>
      <w:r>
        <w:rPr>
          <w:rFonts w:ascii="Arial" w:eastAsiaTheme="minorEastAsia" w:hAnsi="Arial" w:cs="Arial"/>
          <w:noProof/>
          <w:sz w:val="24"/>
          <w:szCs w:val="24"/>
        </w:rPr>
        <w:t xml:space="preserve"> in 2021</w:t>
      </w:r>
      <w:r w:rsidRPr="005242D1">
        <w:rPr>
          <w:rFonts w:ascii="Arial" w:eastAsiaTheme="minorEastAsia" w:hAnsi="Arial" w:cs="Arial"/>
          <w:noProof/>
          <w:sz w:val="24"/>
          <w:szCs w:val="24"/>
        </w:rPr>
        <w:t xml:space="preserve">, compared with 23.3% of </w:t>
      </w:r>
      <w:r>
        <w:rPr>
          <w:rFonts w:ascii="Arial" w:eastAsiaTheme="minorEastAsia" w:hAnsi="Arial" w:cs="Arial"/>
          <w:noProof/>
          <w:sz w:val="24"/>
          <w:szCs w:val="24"/>
        </w:rPr>
        <w:t>white residents in Greater Manchester</w:t>
      </w:r>
      <w:r w:rsidRPr="005242D1">
        <w:rPr>
          <w:rFonts w:ascii="Arial" w:eastAsiaTheme="minorEastAsia" w:hAnsi="Arial" w:cs="Arial"/>
          <w:noProof/>
          <w:sz w:val="24"/>
          <w:szCs w:val="24"/>
        </w:rPr>
        <w:t xml:space="preserve">. </w:t>
      </w:r>
      <w:r>
        <w:rPr>
          <w:rFonts w:ascii="Arial" w:eastAsiaTheme="minorEastAsia" w:hAnsi="Arial" w:cs="Arial"/>
          <w:noProof/>
          <w:sz w:val="24"/>
          <w:szCs w:val="24"/>
        </w:rPr>
        <w:t xml:space="preserve">Other notable comparisons are amongst the ABs; a much larger proportion of white residents were in this grade (21.1%) compared to residents identifying as black (13.2%). </w:t>
      </w:r>
    </w:p>
    <w:p w14:paraId="5D69E666" w14:textId="77777777" w:rsidR="005D30FB" w:rsidRDefault="005D30FB" w:rsidP="00B94D6E">
      <w:pPr>
        <w:spacing w:line="360" w:lineRule="auto"/>
        <w:contextualSpacing/>
        <w:jc w:val="both"/>
        <w:rPr>
          <w:rFonts w:ascii="Arial" w:eastAsiaTheme="minorEastAsia" w:hAnsi="Arial" w:cs="Arial"/>
          <w:noProof/>
          <w:sz w:val="24"/>
          <w:szCs w:val="24"/>
        </w:rPr>
      </w:pPr>
    </w:p>
    <w:p w14:paraId="43C0E8B7" w14:textId="1442B016" w:rsidR="00A66B1C" w:rsidRDefault="00A66B1C" w:rsidP="00B94D6E">
      <w:pPr>
        <w:spacing w:line="360" w:lineRule="auto"/>
        <w:contextualSpacing/>
        <w:jc w:val="both"/>
        <w:rPr>
          <w:rFonts w:ascii="Arial" w:eastAsiaTheme="minorEastAsia" w:hAnsi="Arial" w:cs="Arial"/>
          <w:noProof/>
          <w:sz w:val="24"/>
          <w:szCs w:val="24"/>
        </w:rPr>
      </w:pPr>
      <w:r>
        <w:rPr>
          <w:rFonts w:ascii="Arial" w:eastAsiaTheme="minorEastAsia" w:hAnsi="Arial" w:cs="Arial"/>
          <w:noProof/>
          <w:sz w:val="24"/>
          <w:szCs w:val="24"/>
        </w:rPr>
        <w:t xml:space="preserve">DEs are the most common social grade amongst </w:t>
      </w:r>
      <w:r w:rsidR="00574DC5">
        <w:rPr>
          <w:rFonts w:ascii="Arial" w:eastAsiaTheme="minorEastAsia" w:hAnsi="Arial" w:cs="Arial"/>
          <w:noProof/>
          <w:sz w:val="24"/>
          <w:szCs w:val="24"/>
        </w:rPr>
        <w:t>a</w:t>
      </w:r>
      <w:r>
        <w:rPr>
          <w:rFonts w:ascii="Arial" w:eastAsiaTheme="minorEastAsia" w:hAnsi="Arial" w:cs="Arial"/>
          <w:noProof/>
          <w:sz w:val="24"/>
          <w:szCs w:val="24"/>
        </w:rPr>
        <w:t xml:space="preserve">sian, </w:t>
      </w:r>
      <w:r w:rsidR="00574DC5">
        <w:rPr>
          <w:rFonts w:ascii="Arial" w:eastAsiaTheme="minorEastAsia" w:hAnsi="Arial" w:cs="Arial"/>
          <w:noProof/>
          <w:sz w:val="24"/>
          <w:szCs w:val="24"/>
        </w:rPr>
        <w:t>b</w:t>
      </w:r>
      <w:r>
        <w:rPr>
          <w:rFonts w:ascii="Arial" w:eastAsiaTheme="minorEastAsia" w:hAnsi="Arial" w:cs="Arial"/>
          <w:noProof/>
          <w:sz w:val="24"/>
          <w:szCs w:val="24"/>
        </w:rPr>
        <w:t xml:space="preserve">lack and </w:t>
      </w:r>
      <w:r w:rsidR="00461248">
        <w:rPr>
          <w:rFonts w:ascii="Arial" w:eastAsiaTheme="minorEastAsia" w:hAnsi="Arial" w:cs="Arial"/>
          <w:noProof/>
          <w:sz w:val="24"/>
          <w:szCs w:val="24"/>
        </w:rPr>
        <w:t>o</w:t>
      </w:r>
      <w:r>
        <w:rPr>
          <w:rFonts w:ascii="Arial" w:eastAsiaTheme="minorEastAsia" w:hAnsi="Arial" w:cs="Arial"/>
          <w:noProof/>
          <w:sz w:val="24"/>
          <w:szCs w:val="24"/>
        </w:rPr>
        <w:t xml:space="preserve">ther ethnic groups, whilst C2s were the least common social grade amongst every ethnic group, with the exception of </w:t>
      </w:r>
      <w:r w:rsidR="00574DC5">
        <w:rPr>
          <w:rFonts w:ascii="Arial" w:eastAsiaTheme="minorEastAsia" w:hAnsi="Arial" w:cs="Arial"/>
          <w:noProof/>
          <w:sz w:val="24"/>
          <w:szCs w:val="24"/>
        </w:rPr>
        <w:t>b</w:t>
      </w:r>
      <w:r>
        <w:rPr>
          <w:rFonts w:ascii="Arial" w:eastAsiaTheme="minorEastAsia" w:hAnsi="Arial" w:cs="Arial"/>
          <w:noProof/>
          <w:sz w:val="24"/>
          <w:szCs w:val="24"/>
        </w:rPr>
        <w:t>lack residents (AB was the least common amongst this group).</w:t>
      </w:r>
    </w:p>
    <w:p w14:paraId="687C1F07" w14:textId="77777777" w:rsidR="007E276A" w:rsidRPr="00B94D6E" w:rsidRDefault="007E276A" w:rsidP="007E276A">
      <w:pPr>
        <w:spacing w:after="0" w:line="360" w:lineRule="auto"/>
        <w:contextualSpacing/>
        <w:jc w:val="both"/>
        <w:rPr>
          <w:rFonts w:ascii="Arial" w:eastAsiaTheme="minorEastAsia" w:hAnsi="Arial" w:cs="Arial"/>
          <w:noProof/>
          <w:sz w:val="24"/>
          <w:szCs w:val="24"/>
        </w:rPr>
      </w:pPr>
    </w:p>
    <w:p w14:paraId="1A9B3B13" w14:textId="274CE1CA" w:rsidR="000D108F" w:rsidRPr="00331564" w:rsidRDefault="000D108F" w:rsidP="007E276A">
      <w:pPr>
        <w:pStyle w:val="Heading3"/>
        <w:rPr>
          <w:i/>
          <w:iCs/>
        </w:rPr>
      </w:pPr>
      <w:r w:rsidRPr="00331564">
        <w:t>Reflections</w:t>
      </w:r>
    </w:p>
    <w:p w14:paraId="712BA6E4" w14:textId="71C8E306" w:rsidR="00C61FB9" w:rsidRDefault="001540A5" w:rsidP="00300602">
      <w:pPr>
        <w:pStyle w:val="ListParagraph"/>
        <w:numPr>
          <w:ilvl w:val="0"/>
          <w:numId w:val="31"/>
        </w:numPr>
        <w:rPr>
          <w:noProof/>
        </w:rPr>
      </w:pPr>
      <w:r>
        <w:rPr>
          <w:noProof/>
        </w:rPr>
        <w:t xml:space="preserve">Social class, and </w:t>
      </w:r>
      <w:r w:rsidR="00726693">
        <w:rPr>
          <w:noProof/>
        </w:rPr>
        <w:t>wider</w:t>
      </w:r>
      <w:r>
        <w:rPr>
          <w:noProof/>
        </w:rPr>
        <w:t xml:space="preserve"> social structures, </w:t>
      </w:r>
      <w:r w:rsidR="00726693">
        <w:rPr>
          <w:noProof/>
        </w:rPr>
        <w:t>are highly</w:t>
      </w:r>
      <w:r>
        <w:rPr>
          <w:noProof/>
        </w:rPr>
        <w:t xml:space="preserve"> complex</w:t>
      </w:r>
      <w:r w:rsidR="00726693">
        <w:rPr>
          <w:noProof/>
        </w:rPr>
        <w:t xml:space="preserve">. </w:t>
      </w:r>
      <w:r w:rsidR="00461248">
        <w:rPr>
          <w:noProof/>
        </w:rPr>
        <w:t xml:space="preserve">However, </w:t>
      </w:r>
      <w:r w:rsidR="00551E37">
        <w:rPr>
          <w:noProof/>
        </w:rPr>
        <w:t xml:space="preserve">social grade </w:t>
      </w:r>
      <w:r w:rsidR="00461248">
        <w:rPr>
          <w:noProof/>
        </w:rPr>
        <w:t>allows us to get a better</w:t>
      </w:r>
      <w:r w:rsidR="00726693">
        <w:rPr>
          <w:noProof/>
        </w:rPr>
        <w:t xml:space="preserve"> understanding</w:t>
      </w:r>
      <w:r w:rsidR="00461248">
        <w:rPr>
          <w:noProof/>
        </w:rPr>
        <w:t xml:space="preserve"> of the</w:t>
      </w:r>
      <w:r w:rsidR="00726693">
        <w:rPr>
          <w:noProof/>
        </w:rPr>
        <w:t xml:space="preserve"> broader class make-up. One n</w:t>
      </w:r>
      <w:r>
        <w:rPr>
          <w:noProof/>
        </w:rPr>
        <w:t>otable finding is that</w:t>
      </w:r>
      <w:r w:rsidR="00C61FB9" w:rsidRPr="00C61FB9">
        <w:rPr>
          <w:noProof/>
        </w:rPr>
        <w:t xml:space="preserve"> </w:t>
      </w:r>
      <w:r w:rsidR="00703075">
        <w:rPr>
          <w:noProof/>
        </w:rPr>
        <w:t>Greater Manchester</w:t>
      </w:r>
      <w:r w:rsidR="00C61FB9" w:rsidRPr="00C61FB9">
        <w:rPr>
          <w:noProof/>
        </w:rPr>
        <w:t xml:space="preserve"> has fewer people at the </w:t>
      </w:r>
      <w:r>
        <w:rPr>
          <w:noProof/>
        </w:rPr>
        <w:t>‘</w:t>
      </w:r>
      <w:r w:rsidR="00C61FB9" w:rsidRPr="00C61FB9">
        <w:rPr>
          <w:noProof/>
        </w:rPr>
        <w:t>top end</w:t>
      </w:r>
      <w:r>
        <w:rPr>
          <w:noProof/>
        </w:rPr>
        <w:t>’</w:t>
      </w:r>
      <w:r w:rsidR="00C61FB9" w:rsidRPr="00C61FB9">
        <w:rPr>
          <w:noProof/>
        </w:rPr>
        <w:t xml:space="preserve"> of the social spectrum and more at the </w:t>
      </w:r>
      <w:r>
        <w:rPr>
          <w:noProof/>
        </w:rPr>
        <w:t>‘</w:t>
      </w:r>
      <w:r w:rsidR="00C61FB9" w:rsidRPr="00C61FB9">
        <w:rPr>
          <w:noProof/>
        </w:rPr>
        <w:t>bottom</w:t>
      </w:r>
      <w:r>
        <w:rPr>
          <w:noProof/>
        </w:rPr>
        <w:t>’</w:t>
      </w:r>
      <w:r w:rsidR="00726693">
        <w:rPr>
          <w:noProof/>
        </w:rPr>
        <w:t xml:space="preserve"> in the DE social grade.</w:t>
      </w:r>
    </w:p>
    <w:p w14:paraId="58004462" w14:textId="2F7EE479" w:rsidR="001540A5" w:rsidRPr="006770E7" w:rsidRDefault="00726693" w:rsidP="00300602">
      <w:pPr>
        <w:pStyle w:val="ListParagraph"/>
        <w:numPr>
          <w:ilvl w:val="0"/>
          <w:numId w:val="31"/>
        </w:numPr>
        <w:rPr>
          <w:noProof/>
        </w:rPr>
      </w:pPr>
      <w:r>
        <w:rPr>
          <w:noProof/>
        </w:rPr>
        <w:t>There</w:t>
      </w:r>
      <w:r w:rsidR="001540A5">
        <w:rPr>
          <w:noProof/>
        </w:rPr>
        <w:t xml:space="preserve"> are substantial </w:t>
      </w:r>
      <w:r w:rsidR="001540A5" w:rsidRPr="00787A37">
        <w:rPr>
          <w:noProof/>
        </w:rPr>
        <w:t xml:space="preserve">geographical dimensions </w:t>
      </w:r>
      <w:r>
        <w:rPr>
          <w:noProof/>
        </w:rPr>
        <w:t>to</w:t>
      </w:r>
      <w:r w:rsidR="001540A5">
        <w:rPr>
          <w:noProof/>
        </w:rPr>
        <w:t xml:space="preserve"> social</w:t>
      </w:r>
      <w:r w:rsidR="001540A5" w:rsidRPr="00787A37">
        <w:rPr>
          <w:noProof/>
        </w:rPr>
        <w:t xml:space="preserve"> </w:t>
      </w:r>
      <w:r>
        <w:rPr>
          <w:noProof/>
        </w:rPr>
        <w:t>class</w:t>
      </w:r>
      <w:r w:rsidR="001540A5" w:rsidRPr="00787A37">
        <w:rPr>
          <w:noProof/>
        </w:rPr>
        <w:t xml:space="preserve">. </w:t>
      </w:r>
      <w:r w:rsidR="001540A5">
        <w:rPr>
          <w:noProof/>
        </w:rPr>
        <w:t>Th</w:t>
      </w:r>
      <w:r w:rsidR="001540A5" w:rsidRPr="00787A37">
        <w:rPr>
          <w:noProof/>
        </w:rPr>
        <w:t xml:space="preserve">e </w:t>
      </w:r>
      <w:r w:rsidR="001540A5">
        <w:rPr>
          <w:noProof/>
        </w:rPr>
        <w:t>relatively</w:t>
      </w:r>
      <w:r w:rsidR="001540A5" w:rsidRPr="00787A37">
        <w:rPr>
          <w:noProof/>
        </w:rPr>
        <w:t xml:space="preserve"> high concentration of ABs in </w:t>
      </w:r>
      <w:r w:rsidR="001540A5">
        <w:rPr>
          <w:noProof/>
        </w:rPr>
        <w:t xml:space="preserve">Stockport and </w:t>
      </w:r>
      <w:r w:rsidR="001540A5" w:rsidRPr="00787A37">
        <w:rPr>
          <w:noProof/>
        </w:rPr>
        <w:t xml:space="preserve">Trafford, and </w:t>
      </w:r>
      <w:r w:rsidR="001540A5">
        <w:rPr>
          <w:noProof/>
        </w:rPr>
        <w:t>of</w:t>
      </w:r>
      <w:r w:rsidR="001540A5" w:rsidRPr="00787A37">
        <w:rPr>
          <w:noProof/>
        </w:rPr>
        <w:t xml:space="preserve"> DEs in Bolton, Manchester, Oldham and Rochdale, illustrates </w:t>
      </w:r>
      <w:r w:rsidR="00FA0DA1">
        <w:rPr>
          <w:noProof/>
        </w:rPr>
        <w:t xml:space="preserve">the spatial </w:t>
      </w:r>
      <w:r w:rsidR="00300602">
        <w:rPr>
          <w:noProof/>
        </w:rPr>
        <w:t>dimensions</w:t>
      </w:r>
      <w:r w:rsidR="00FA0DA1">
        <w:rPr>
          <w:noProof/>
        </w:rPr>
        <w:t xml:space="preserve"> of social class. </w:t>
      </w:r>
      <w:r w:rsidR="001540A5">
        <w:rPr>
          <w:noProof/>
        </w:rPr>
        <w:t>Equally, varying social grades can</w:t>
      </w:r>
      <w:r w:rsidR="001540A5" w:rsidRPr="00DA5698">
        <w:rPr>
          <w:noProof/>
        </w:rPr>
        <w:t xml:space="preserve"> </w:t>
      </w:r>
      <w:r w:rsidR="001540A5">
        <w:rPr>
          <w:noProof/>
        </w:rPr>
        <w:t>be observed across different ethnic groups, with non-</w:t>
      </w:r>
      <w:r w:rsidR="00FA0DA1">
        <w:rPr>
          <w:noProof/>
        </w:rPr>
        <w:t>w</w:t>
      </w:r>
      <w:r w:rsidR="001540A5">
        <w:rPr>
          <w:noProof/>
        </w:rPr>
        <w:t xml:space="preserve">hite residents </w:t>
      </w:r>
      <w:r w:rsidR="00A401FE">
        <w:rPr>
          <w:noProof/>
        </w:rPr>
        <w:t>more likely to</w:t>
      </w:r>
      <w:r w:rsidR="001540A5">
        <w:rPr>
          <w:noProof/>
        </w:rPr>
        <w:t xml:space="preserve"> fall</w:t>
      </w:r>
      <w:r w:rsidR="00A401FE">
        <w:rPr>
          <w:noProof/>
        </w:rPr>
        <w:t xml:space="preserve"> </w:t>
      </w:r>
      <w:r w:rsidR="001540A5">
        <w:rPr>
          <w:noProof/>
        </w:rPr>
        <w:t>into the DE group.</w:t>
      </w:r>
    </w:p>
    <w:p w14:paraId="29165C40" w14:textId="64164135" w:rsidR="008076F7" w:rsidRPr="005823E8" w:rsidRDefault="00461248" w:rsidP="00300602">
      <w:pPr>
        <w:pStyle w:val="ListParagraph"/>
        <w:numPr>
          <w:ilvl w:val="0"/>
          <w:numId w:val="31"/>
        </w:numPr>
        <w:rPr>
          <w:rFonts w:eastAsiaTheme="minorEastAsia"/>
          <w:noProof/>
        </w:rPr>
      </w:pPr>
      <w:r>
        <w:rPr>
          <w:noProof/>
        </w:rPr>
        <w:t xml:space="preserve">There are also notable long-term trends across </w:t>
      </w:r>
      <w:r w:rsidR="005823E8">
        <w:rPr>
          <w:noProof/>
        </w:rPr>
        <w:t>the ‘middle’ social grades</w:t>
      </w:r>
      <w:r>
        <w:rPr>
          <w:noProof/>
        </w:rPr>
        <w:t xml:space="preserve">, particularly from 2011 to 2021. </w:t>
      </w:r>
      <w:r w:rsidR="005823E8">
        <w:rPr>
          <w:noProof/>
        </w:rPr>
        <w:t>Indeed,</w:t>
      </w:r>
      <w:r w:rsidR="00726693">
        <w:rPr>
          <w:noProof/>
        </w:rPr>
        <w:t xml:space="preserve"> the substantial rise of C1s over time</w:t>
      </w:r>
      <w:r>
        <w:rPr>
          <w:noProof/>
        </w:rPr>
        <w:t>, and fall of C2s</w:t>
      </w:r>
      <w:r w:rsidR="005823E8">
        <w:rPr>
          <w:noProof/>
        </w:rPr>
        <w:t xml:space="preserve">, is </w:t>
      </w:r>
      <w:r w:rsidR="000920C6">
        <w:rPr>
          <w:noProof/>
        </w:rPr>
        <w:t xml:space="preserve">probably </w:t>
      </w:r>
      <w:r w:rsidR="005823E8">
        <w:rPr>
          <w:noProof/>
        </w:rPr>
        <w:t xml:space="preserve">a reflection of broader economic trends; namely, the decline of </w:t>
      </w:r>
      <w:r w:rsidR="00726693">
        <w:rPr>
          <w:noProof/>
        </w:rPr>
        <w:t xml:space="preserve">industry and manufacturing across the city region (explaining the reduction of C2s), </w:t>
      </w:r>
      <w:r w:rsidR="005823E8">
        <w:rPr>
          <w:noProof/>
        </w:rPr>
        <w:t>combined with</w:t>
      </w:r>
      <w:r w:rsidR="00726693">
        <w:rPr>
          <w:noProof/>
        </w:rPr>
        <w:t xml:space="preserve"> a rise in services and sales</w:t>
      </w:r>
      <w:r w:rsidR="005823E8">
        <w:rPr>
          <w:noProof/>
        </w:rPr>
        <w:t xml:space="preserve"> industries</w:t>
      </w:r>
      <w:r w:rsidR="00726693">
        <w:rPr>
          <w:noProof/>
        </w:rPr>
        <w:t>, and with them, a</w:t>
      </w:r>
      <w:r w:rsidR="005823E8">
        <w:rPr>
          <w:noProof/>
        </w:rPr>
        <w:t xml:space="preserve">n increase </w:t>
      </w:r>
      <w:r w:rsidR="00726693">
        <w:rPr>
          <w:noProof/>
        </w:rPr>
        <w:t>of lower professional roles</w:t>
      </w:r>
      <w:r w:rsidR="005823E8">
        <w:rPr>
          <w:noProof/>
        </w:rPr>
        <w:t xml:space="preserve"> (explaining the rise of C1s)</w:t>
      </w:r>
      <w:r w:rsidR="00726693">
        <w:rPr>
          <w:noProof/>
        </w:rPr>
        <w:t>.</w:t>
      </w:r>
    </w:p>
    <w:p w14:paraId="12B43908" w14:textId="225ACD04" w:rsidR="006B2801" w:rsidRPr="00D54F79" w:rsidRDefault="00B66B8C" w:rsidP="00300602">
      <w:pPr>
        <w:pStyle w:val="ListParagraph"/>
        <w:numPr>
          <w:ilvl w:val="0"/>
          <w:numId w:val="31"/>
        </w:numPr>
        <w:rPr>
          <w:noProof/>
        </w:rPr>
      </w:pPr>
      <w:r w:rsidRPr="00D54F79">
        <w:rPr>
          <w:noProof/>
        </w:rPr>
        <w:t>Comparisons with England and the North West show that G</w:t>
      </w:r>
      <w:r w:rsidR="00D97025">
        <w:rPr>
          <w:noProof/>
        </w:rPr>
        <w:t xml:space="preserve">reater Manchester </w:t>
      </w:r>
      <w:r w:rsidRPr="00D54F79">
        <w:rPr>
          <w:noProof/>
        </w:rPr>
        <w:t>has a slightly higher proportion of C1s and significantly higher proportion of DEs. On the one hand</w:t>
      </w:r>
      <w:r w:rsidR="00917577" w:rsidRPr="00D54F79">
        <w:rPr>
          <w:noProof/>
        </w:rPr>
        <w:t>,</w:t>
      </w:r>
      <w:r w:rsidRPr="00D54F79">
        <w:rPr>
          <w:noProof/>
        </w:rPr>
        <w:t xml:space="preserve"> this </w:t>
      </w:r>
      <w:r w:rsidR="00726693">
        <w:rPr>
          <w:noProof/>
        </w:rPr>
        <w:t>could speak</w:t>
      </w:r>
      <w:r w:rsidRPr="00D54F79">
        <w:rPr>
          <w:noProof/>
        </w:rPr>
        <w:t xml:space="preserve"> to a </w:t>
      </w:r>
      <w:r w:rsidR="00A570C1">
        <w:rPr>
          <w:noProof/>
        </w:rPr>
        <w:t xml:space="preserve">slightly </w:t>
      </w:r>
      <w:r w:rsidRPr="00D54F79">
        <w:rPr>
          <w:noProof/>
        </w:rPr>
        <w:t>younger</w:t>
      </w:r>
      <w:r w:rsidR="009D4F41" w:rsidRPr="00D54F79">
        <w:rPr>
          <w:noProof/>
        </w:rPr>
        <w:t xml:space="preserve"> </w:t>
      </w:r>
      <w:r w:rsidRPr="00D54F79">
        <w:rPr>
          <w:noProof/>
        </w:rPr>
        <w:t xml:space="preserve">workforce </w:t>
      </w:r>
      <w:r w:rsidR="006B2801" w:rsidRPr="00D54F79">
        <w:rPr>
          <w:noProof/>
        </w:rPr>
        <w:t xml:space="preserve">that tends to be </w:t>
      </w:r>
      <w:r w:rsidR="009D4F41" w:rsidRPr="00D54F79">
        <w:rPr>
          <w:noProof/>
        </w:rPr>
        <w:t xml:space="preserve">in </w:t>
      </w:r>
      <w:r w:rsidR="00726693">
        <w:rPr>
          <w:noProof/>
        </w:rPr>
        <w:t xml:space="preserve">lower </w:t>
      </w:r>
      <w:r w:rsidR="009D4F41" w:rsidRPr="00D54F79">
        <w:rPr>
          <w:noProof/>
        </w:rPr>
        <w:t>professional occupations.</w:t>
      </w:r>
      <w:r w:rsidR="00D54F79" w:rsidRPr="00D54F79">
        <w:rPr>
          <w:noProof/>
        </w:rPr>
        <w:t xml:space="preserve"> </w:t>
      </w:r>
      <w:r w:rsidR="00414653" w:rsidRPr="00D54F79">
        <w:rPr>
          <w:noProof/>
        </w:rPr>
        <w:t xml:space="preserve">On the other hand, the high concentration of DEs in GM speaks to </w:t>
      </w:r>
      <w:r w:rsidR="006E2D0E" w:rsidRPr="00D54F79">
        <w:rPr>
          <w:noProof/>
        </w:rPr>
        <w:t>the prevalence of</w:t>
      </w:r>
      <w:r w:rsidR="001540A5">
        <w:rPr>
          <w:noProof/>
        </w:rPr>
        <w:t xml:space="preserve"> those</w:t>
      </w:r>
      <w:r w:rsidR="006E2D0E" w:rsidRPr="00D54F79">
        <w:rPr>
          <w:noProof/>
        </w:rPr>
        <w:t xml:space="preserve"> </w:t>
      </w:r>
      <w:r w:rsidR="00501FD5">
        <w:rPr>
          <w:noProof/>
        </w:rPr>
        <w:t>at the ‘bottom’ end of the labour market</w:t>
      </w:r>
      <w:r w:rsidR="005A40C9">
        <w:rPr>
          <w:noProof/>
        </w:rPr>
        <w:t xml:space="preserve"> – whether in work or unemployed</w:t>
      </w:r>
      <w:r w:rsidR="00D54F79" w:rsidRPr="00D54F79">
        <w:rPr>
          <w:noProof/>
        </w:rPr>
        <w:t>.</w:t>
      </w:r>
      <w:bookmarkEnd w:id="4"/>
    </w:p>
    <w:sectPr w:rsidR="006B2801" w:rsidRPr="00D54F79" w:rsidSect="00E97A2D">
      <w:headerReference w:type="default" r:id="rId29"/>
      <w:footerReference w:type="default" r:id="rId30"/>
      <w:footerReference w:type="first" r:id="rId31"/>
      <w:pgSz w:w="11906" w:h="16838" w:code="9"/>
      <w:pgMar w:top="1440" w:right="1440" w:bottom="1440" w:left="1440" w:header="709" w:footer="9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FD0E7E" w14:textId="77777777" w:rsidR="0011691F" w:rsidRDefault="0011691F">
      <w:pPr>
        <w:spacing w:after="0" w:line="240" w:lineRule="auto"/>
      </w:pPr>
      <w:r>
        <w:separator/>
      </w:r>
    </w:p>
  </w:endnote>
  <w:endnote w:type="continuationSeparator" w:id="0">
    <w:p w14:paraId="7CD863B5" w14:textId="77777777" w:rsidR="0011691F" w:rsidRDefault="0011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1117909"/>
      <w:docPartObj>
        <w:docPartGallery w:val="Page Numbers (Bottom of Page)"/>
        <w:docPartUnique/>
      </w:docPartObj>
    </w:sdtPr>
    <w:sdtEndPr/>
    <w:sdtContent>
      <w:p w14:paraId="5D5BCE77" w14:textId="77777777" w:rsidR="00574A3F" w:rsidRPr="00D31BB7" w:rsidRDefault="002F4BA4" w:rsidP="00915B8A">
        <w:pPr>
          <w:pStyle w:val="PageNumber1"/>
        </w:pPr>
        <w:r w:rsidRPr="00783EF6">
          <w:fldChar w:fldCharType="begin"/>
        </w:r>
        <w:r w:rsidRPr="00783EF6">
          <w:instrText xml:space="preserve"> PAGE   \* MERGEFORMAT </w:instrText>
        </w:r>
        <w:r w:rsidRPr="00783EF6">
          <w:fldChar w:fldCharType="separate"/>
        </w:r>
        <w:r w:rsidRPr="00783EF6">
          <w:t>2</w:t>
        </w:r>
        <w:r w:rsidRPr="00783EF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737260"/>
      <w:docPartObj>
        <w:docPartGallery w:val="Page Numbers (Bottom of Page)"/>
        <w:docPartUnique/>
      </w:docPartObj>
    </w:sdtPr>
    <w:sdtEndPr>
      <w:rPr>
        <w:rStyle w:val="PagenumberChar"/>
        <w:rFonts w:ascii="Arial" w:hAnsi="Arial"/>
        <w:b/>
        <w:color w:val="2C5060" w:themeColor="accent1"/>
        <w:sz w:val="28"/>
        <w:szCs w:val="24"/>
      </w:rPr>
    </w:sdtEndPr>
    <w:sdtContent>
      <w:p w14:paraId="494B75DB" w14:textId="77777777" w:rsidR="00B7462D" w:rsidRPr="00B7462D" w:rsidRDefault="00B7462D">
        <w:pPr>
          <w:pStyle w:val="Footer"/>
          <w:jc w:val="right"/>
          <w:rPr>
            <w:rStyle w:val="PagenumberChar"/>
          </w:rPr>
        </w:pPr>
        <w:r w:rsidRPr="00B7462D">
          <w:rPr>
            <w:rStyle w:val="PagenumberChar"/>
          </w:rPr>
          <w:fldChar w:fldCharType="begin"/>
        </w:r>
        <w:r w:rsidRPr="00B7462D">
          <w:rPr>
            <w:rStyle w:val="PagenumberChar"/>
          </w:rPr>
          <w:instrText xml:space="preserve"> PAGE   \* MERGEFORMAT </w:instrText>
        </w:r>
        <w:r w:rsidRPr="00B7462D">
          <w:rPr>
            <w:rStyle w:val="PagenumberChar"/>
          </w:rPr>
          <w:fldChar w:fldCharType="separate"/>
        </w:r>
        <w:r w:rsidRPr="00B7462D">
          <w:rPr>
            <w:rStyle w:val="PagenumberChar"/>
          </w:rPr>
          <w:t>2</w:t>
        </w:r>
        <w:r w:rsidRPr="00B7462D">
          <w:rPr>
            <w:rStyle w:val="PagenumberChar"/>
          </w:rPr>
          <w:fldChar w:fldCharType="end"/>
        </w:r>
      </w:p>
    </w:sdtContent>
  </w:sdt>
  <w:p w14:paraId="6EF5408D" w14:textId="77777777" w:rsidR="00B7462D" w:rsidRDefault="00B74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44A13F" w14:textId="77777777" w:rsidR="0011691F" w:rsidRDefault="0011691F">
      <w:pPr>
        <w:spacing w:after="0" w:line="240" w:lineRule="auto"/>
      </w:pPr>
      <w:r>
        <w:separator/>
      </w:r>
    </w:p>
  </w:footnote>
  <w:footnote w:type="continuationSeparator" w:id="0">
    <w:p w14:paraId="1359D1A8" w14:textId="77777777" w:rsidR="0011691F" w:rsidRDefault="0011691F">
      <w:pPr>
        <w:spacing w:after="0" w:line="240" w:lineRule="auto"/>
      </w:pPr>
      <w:r>
        <w:continuationSeparator/>
      </w:r>
    </w:p>
  </w:footnote>
  <w:footnote w:id="1">
    <w:p w14:paraId="39382054" w14:textId="77777777" w:rsidR="004D5C48" w:rsidRPr="00D675FA" w:rsidRDefault="004D5C48" w:rsidP="004D5C48">
      <w:pPr>
        <w:spacing w:line="240" w:lineRule="auto"/>
        <w:rPr>
          <w:rFonts w:ascii="Arial" w:hAnsi="Arial" w:cs="Arial"/>
          <w:sz w:val="24"/>
          <w:szCs w:val="24"/>
        </w:rPr>
      </w:pPr>
      <w:r>
        <w:rPr>
          <w:rStyle w:val="FootnoteReference"/>
        </w:rPr>
        <w:footnoteRef/>
      </w:r>
      <w:r>
        <w:t xml:space="preserve"> </w:t>
      </w:r>
      <w:r>
        <w:rPr>
          <w:rFonts w:ascii="Arial" w:hAnsi="Arial" w:cs="Arial"/>
          <w:sz w:val="20"/>
          <w:szCs w:val="20"/>
        </w:rPr>
        <w:t>Approximated Social Grade (ASG)</w:t>
      </w:r>
      <w:r w:rsidRPr="00D675FA">
        <w:rPr>
          <w:rFonts w:ascii="Arial" w:hAnsi="Arial" w:cs="Arial"/>
          <w:sz w:val="20"/>
          <w:szCs w:val="20"/>
        </w:rPr>
        <w:t xml:space="preserve"> in </w:t>
      </w:r>
      <w:r>
        <w:rPr>
          <w:rFonts w:ascii="Arial" w:hAnsi="Arial" w:cs="Arial"/>
          <w:sz w:val="20"/>
          <w:szCs w:val="20"/>
        </w:rPr>
        <w:t xml:space="preserve">2001, </w:t>
      </w:r>
      <w:r w:rsidRPr="00D675FA">
        <w:rPr>
          <w:rFonts w:ascii="Arial" w:hAnsi="Arial" w:cs="Arial"/>
          <w:sz w:val="20"/>
          <w:szCs w:val="20"/>
        </w:rPr>
        <w:t xml:space="preserve">2011 and 2021 </w:t>
      </w:r>
      <w:r>
        <w:rPr>
          <w:rFonts w:ascii="Arial" w:hAnsi="Arial" w:cs="Arial"/>
          <w:sz w:val="20"/>
          <w:szCs w:val="20"/>
        </w:rPr>
        <w:t>are</w:t>
      </w:r>
      <w:r w:rsidRPr="00D675FA">
        <w:rPr>
          <w:rFonts w:ascii="Arial" w:hAnsi="Arial" w:cs="Arial"/>
          <w:sz w:val="20"/>
          <w:szCs w:val="20"/>
        </w:rPr>
        <w:t xml:space="preserve"> broadly comparable. However, different methods were used to derive </w:t>
      </w:r>
      <w:r>
        <w:rPr>
          <w:rFonts w:ascii="Arial" w:hAnsi="Arial" w:cs="Arial"/>
          <w:sz w:val="20"/>
          <w:szCs w:val="20"/>
        </w:rPr>
        <w:t>ASG</w:t>
      </w:r>
      <w:r w:rsidRPr="00D675FA">
        <w:rPr>
          <w:rFonts w:ascii="Arial" w:hAnsi="Arial" w:cs="Arial"/>
          <w:sz w:val="20"/>
          <w:szCs w:val="20"/>
        </w:rPr>
        <w:t xml:space="preserve"> in 2021 compared with </w:t>
      </w:r>
      <w:r>
        <w:rPr>
          <w:rFonts w:ascii="Arial" w:hAnsi="Arial" w:cs="Arial"/>
          <w:sz w:val="20"/>
          <w:szCs w:val="20"/>
        </w:rPr>
        <w:t>previous years</w:t>
      </w:r>
      <w:r w:rsidRPr="00D675FA">
        <w:rPr>
          <w:rFonts w:ascii="Arial" w:hAnsi="Arial" w:cs="Arial"/>
          <w:sz w:val="20"/>
          <w:szCs w:val="20"/>
        </w:rPr>
        <w:t xml:space="preserve">. </w:t>
      </w:r>
      <w:r>
        <w:rPr>
          <w:rFonts w:ascii="Arial" w:hAnsi="Arial" w:cs="Arial"/>
          <w:sz w:val="20"/>
          <w:szCs w:val="20"/>
        </w:rPr>
        <w:t>As a result, a</w:t>
      </w:r>
      <w:r w:rsidRPr="00D675FA">
        <w:rPr>
          <w:rFonts w:ascii="Arial" w:hAnsi="Arial" w:cs="Arial"/>
          <w:sz w:val="20"/>
          <w:szCs w:val="20"/>
        </w:rPr>
        <w:t>ny change</w:t>
      </w:r>
      <w:r>
        <w:rPr>
          <w:rFonts w:ascii="Arial" w:hAnsi="Arial" w:cs="Arial"/>
          <w:sz w:val="20"/>
          <w:szCs w:val="20"/>
        </w:rPr>
        <w:t>s</w:t>
      </w:r>
      <w:r w:rsidRPr="00D675FA">
        <w:rPr>
          <w:rFonts w:ascii="Arial" w:hAnsi="Arial" w:cs="Arial"/>
          <w:sz w:val="20"/>
          <w:szCs w:val="20"/>
        </w:rPr>
        <w:t xml:space="preserve"> </w:t>
      </w:r>
      <w:r>
        <w:rPr>
          <w:rFonts w:ascii="Arial" w:hAnsi="Arial" w:cs="Arial"/>
          <w:sz w:val="20"/>
          <w:szCs w:val="20"/>
        </w:rPr>
        <w:t>in ASG distribution may be</w:t>
      </w:r>
      <w:r w:rsidRPr="00D675FA">
        <w:rPr>
          <w:rFonts w:ascii="Arial" w:hAnsi="Arial" w:cs="Arial"/>
          <w:sz w:val="20"/>
          <w:szCs w:val="20"/>
        </w:rPr>
        <w:t xml:space="preserve"> partly </w:t>
      </w:r>
      <w:r>
        <w:rPr>
          <w:rFonts w:ascii="Arial" w:hAnsi="Arial" w:cs="Arial"/>
          <w:sz w:val="20"/>
          <w:szCs w:val="20"/>
        </w:rPr>
        <w:t>due to methodology changes,</w:t>
      </w:r>
      <w:r w:rsidRPr="00D675FA">
        <w:rPr>
          <w:rFonts w:ascii="Arial" w:hAnsi="Arial" w:cs="Arial"/>
          <w:sz w:val="20"/>
          <w:szCs w:val="20"/>
        </w:rPr>
        <w:t xml:space="preserve"> and partly indicative of real change. Care should </w:t>
      </w:r>
      <w:r>
        <w:rPr>
          <w:rFonts w:ascii="Arial" w:hAnsi="Arial" w:cs="Arial"/>
          <w:sz w:val="20"/>
          <w:szCs w:val="20"/>
        </w:rPr>
        <w:t xml:space="preserve">therefore </w:t>
      </w:r>
      <w:r w:rsidRPr="00D675FA">
        <w:rPr>
          <w:rFonts w:ascii="Arial" w:hAnsi="Arial" w:cs="Arial"/>
          <w:sz w:val="20"/>
          <w:szCs w:val="20"/>
        </w:rPr>
        <w:t xml:space="preserve">be taken when using this data to assess trends over </w:t>
      </w:r>
      <w:r>
        <w:rPr>
          <w:rFonts w:ascii="Arial" w:hAnsi="Arial" w:cs="Arial"/>
          <w:sz w:val="20"/>
          <w:szCs w:val="20"/>
        </w:rPr>
        <w:t>time.</w:t>
      </w:r>
      <w:r w:rsidRPr="00D675FA">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08BFD" w14:textId="77777777" w:rsidR="00574A3F" w:rsidRDefault="00574A3F" w:rsidP="00380C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9498A"/>
    <w:multiLevelType w:val="hybridMultilevel"/>
    <w:tmpl w:val="D8827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F5FC3"/>
    <w:multiLevelType w:val="hybridMultilevel"/>
    <w:tmpl w:val="0B92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07721"/>
    <w:multiLevelType w:val="hybridMultilevel"/>
    <w:tmpl w:val="C9CE6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A0E02"/>
    <w:multiLevelType w:val="hybridMultilevel"/>
    <w:tmpl w:val="C88635F8"/>
    <w:lvl w:ilvl="0" w:tplc="F0ACB4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C2A42"/>
    <w:multiLevelType w:val="hybridMultilevel"/>
    <w:tmpl w:val="AF9A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729E7"/>
    <w:multiLevelType w:val="hybridMultilevel"/>
    <w:tmpl w:val="72CEB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905216"/>
    <w:multiLevelType w:val="hybridMultilevel"/>
    <w:tmpl w:val="2B641288"/>
    <w:lvl w:ilvl="0" w:tplc="8850FCC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109A6"/>
    <w:multiLevelType w:val="hybridMultilevel"/>
    <w:tmpl w:val="D5608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EB1617"/>
    <w:multiLevelType w:val="hybridMultilevel"/>
    <w:tmpl w:val="12361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B7687C"/>
    <w:multiLevelType w:val="hybridMultilevel"/>
    <w:tmpl w:val="7D22188C"/>
    <w:lvl w:ilvl="0" w:tplc="3586C31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0384A"/>
    <w:multiLevelType w:val="multilevel"/>
    <w:tmpl w:val="A1D6F89C"/>
    <w:lvl w:ilvl="0">
      <w:start w:val="4"/>
      <w:numFmt w:val="decimal"/>
      <w:lvlText w:val="%1"/>
      <w:lvlJc w:val="left"/>
      <w:pPr>
        <w:ind w:left="1530" w:hanging="851"/>
      </w:pPr>
      <w:rPr>
        <w:rFonts w:hint="default"/>
        <w:lang w:val="en-US" w:eastAsia="en-US" w:bidi="ar-SA"/>
      </w:rPr>
    </w:lvl>
    <w:lvl w:ilvl="1">
      <w:start w:val="1"/>
      <w:numFmt w:val="decimal"/>
      <w:lvlText w:val="%1.%2"/>
      <w:lvlJc w:val="left"/>
      <w:pPr>
        <w:ind w:left="1530" w:hanging="851"/>
        <w:jc w:val="right"/>
      </w:pPr>
      <w:rPr>
        <w:rFonts w:ascii="Arial" w:eastAsia="Arial" w:hAnsi="Arial" w:cs="Arial" w:hint="default"/>
        <w:b/>
        <w:bCs/>
        <w:color w:val="565555"/>
        <w:spacing w:val="-1"/>
        <w:w w:val="100"/>
        <w:sz w:val="24"/>
        <w:szCs w:val="24"/>
        <w:lang w:val="en-US" w:eastAsia="en-US" w:bidi="ar-SA"/>
      </w:rPr>
    </w:lvl>
    <w:lvl w:ilvl="2">
      <w:start w:val="1"/>
      <w:numFmt w:val="upperLetter"/>
      <w:lvlText w:val="%3."/>
      <w:lvlJc w:val="left"/>
      <w:pPr>
        <w:ind w:left="1387" w:hanging="480"/>
      </w:pPr>
      <w:rPr>
        <w:rFonts w:ascii="Arial" w:eastAsia="Arial" w:hAnsi="Arial" w:cs="Arial" w:hint="default"/>
        <w:w w:val="100"/>
        <w:sz w:val="24"/>
        <w:szCs w:val="24"/>
        <w:lang w:val="en-US" w:eastAsia="en-US" w:bidi="ar-SA"/>
      </w:rPr>
    </w:lvl>
    <w:lvl w:ilvl="3">
      <w:start w:val="1"/>
      <w:numFmt w:val="decimal"/>
      <w:lvlText w:val="%4."/>
      <w:lvlJc w:val="left"/>
      <w:pPr>
        <w:ind w:left="1387" w:hanging="480"/>
      </w:pPr>
      <w:rPr>
        <w:rFonts w:ascii="Arial" w:eastAsia="Arial" w:hAnsi="Arial" w:cs="Arial" w:hint="default"/>
        <w:spacing w:val="-1"/>
        <w:w w:val="100"/>
        <w:sz w:val="24"/>
        <w:szCs w:val="24"/>
        <w:lang w:val="en-US" w:eastAsia="en-US" w:bidi="ar-SA"/>
      </w:rPr>
    </w:lvl>
    <w:lvl w:ilvl="4">
      <w:numFmt w:val="bullet"/>
      <w:lvlText w:val="•"/>
      <w:lvlJc w:val="left"/>
      <w:pPr>
        <w:ind w:left="4768" w:hanging="480"/>
      </w:pPr>
      <w:rPr>
        <w:rFonts w:hint="default"/>
        <w:lang w:val="en-US" w:eastAsia="en-US" w:bidi="ar-SA"/>
      </w:rPr>
    </w:lvl>
    <w:lvl w:ilvl="5">
      <w:numFmt w:val="bullet"/>
      <w:lvlText w:val="•"/>
      <w:lvlJc w:val="left"/>
      <w:pPr>
        <w:ind w:left="5844" w:hanging="480"/>
      </w:pPr>
      <w:rPr>
        <w:rFonts w:hint="default"/>
        <w:lang w:val="en-US" w:eastAsia="en-US" w:bidi="ar-SA"/>
      </w:rPr>
    </w:lvl>
    <w:lvl w:ilvl="6">
      <w:numFmt w:val="bullet"/>
      <w:lvlText w:val="•"/>
      <w:lvlJc w:val="left"/>
      <w:pPr>
        <w:ind w:left="6920" w:hanging="480"/>
      </w:pPr>
      <w:rPr>
        <w:rFonts w:hint="default"/>
        <w:lang w:val="en-US" w:eastAsia="en-US" w:bidi="ar-SA"/>
      </w:rPr>
    </w:lvl>
    <w:lvl w:ilvl="7">
      <w:numFmt w:val="bullet"/>
      <w:lvlText w:val="•"/>
      <w:lvlJc w:val="left"/>
      <w:pPr>
        <w:ind w:left="7997" w:hanging="480"/>
      </w:pPr>
      <w:rPr>
        <w:rFonts w:hint="default"/>
        <w:lang w:val="en-US" w:eastAsia="en-US" w:bidi="ar-SA"/>
      </w:rPr>
    </w:lvl>
    <w:lvl w:ilvl="8">
      <w:numFmt w:val="bullet"/>
      <w:lvlText w:val="•"/>
      <w:lvlJc w:val="left"/>
      <w:pPr>
        <w:ind w:left="9073" w:hanging="480"/>
      </w:pPr>
      <w:rPr>
        <w:rFonts w:hint="default"/>
        <w:lang w:val="en-US" w:eastAsia="en-US" w:bidi="ar-SA"/>
      </w:rPr>
    </w:lvl>
  </w:abstractNum>
  <w:abstractNum w:abstractNumId="11" w15:restartNumberingAfterBreak="0">
    <w:nsid w:val="3D9B2B84"/>
    <w:multiLevelType w:val="hybridMultilevel"/>
    <w:tmpl w:val="995A9C6C"/>
    <w:lvl w:ilvl="0" w:tplc="345C3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B4633"/>
    <w:multiLevelType w:val="hybridMultilevel"/>
    <w:tmpl w:val="8EFE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E5656"/>
    <w:multiLevelType w:val="hybridMultilevel"/>
    <w:tmpl w:val="D56085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1A13C03"/>
    <w:multiLevelType w:val="hybridMultilevel"/>
    <w:tmpl w:val="D844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F0070"/>
    <w:multiLevelType w:val="hybridMultilevel"/>
    <w:tmpl w:val="008EC902"/>
    <w:lvl w:ilvl="0" w:tplc="C52498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A611C"/>
    <w:multiLevelType w:val="hybridMultilevel"/>
    <w:tmpl w:val="EE9C9012"/>
    <w:lvl w:ilvl="0" w:tplc="A88475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803A4"/>
    <w:multiLevelType w:val="hybridMultilevel"/>
    <w:tmpl w:val="991A121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800FA"/>
    <w:multiLevelType w:val="hybridMultilevel"/>
    <w:tmpl w:val="BDF28BE8"/>
    <w:lvl w:ilvl="0" w:tplc="E8744B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82603D"/>
    <w:multiLevelType w:val="hybridMultilevel"/>
    <w:tmpl w:val="C9CE6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B70A17"/>
    <w:multiLevelType w:val="multilevel"/>
    <w:tmpl w:val="A9BE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6B02D9"/>
    <w:multiLevelType w:val="multilevel"/>
    <w:tmpl w:val="C8F607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EFE25FC"/>
    <w:multiLevelType w:val="hybridMultilevel"/>
    <w:tmpl w:val="C736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5302846">
    <w:abstractNumId w:val="18"/>
  </w:num>
  <w:num w:numId="2" w16cid:durableId="181867866">
    <w:abstractNumId w:val="12"/>
  </w:num>
  <w:num w:numId="3" w16cid:durableId="1455128242">
    <w:abstractNumId w:val="5"/>
  </w:num>
  <w:num w:numId="4" w16cid:durableId="1173253089">
    <w:abstractNumId w:val="15"/>
  </w:num>
  <w:num w:numId="5" w16cid:durableId="349530051">
    <w:abstractNumId w:val="2"/>
  </w:num>
  <w:num w:numId="6" w16cid:durableId="1827822742">
    <w:abstractNumId w:val="15"/>
  </w:num>
  <w:num w:numId="7" w16cid:durableId="1105419359">
    <w:abstractNumId w:val="20"/>
  </w:num>
  <w:num w:numId="8" w16cid:durableId="188371055">
    <w:abstractNumId w:val="7"/>
  </w:num>
  <w:num w:numId="9" w16cid:durableId="1150514636">
    <w:abstractNumId w:val="15"/>
  </w:num>
  <w:num w:numId="10" w16cid:durableId="1445811392">
    <w:abstractNumId w:val="15"/>
  </w:num>
  <w:num w:numId="11" w16cid:durableId="2079933146">
    <w:abstractNumId w:val="15"/>
  </w:num>
  <w:num w:numId="12" w16cid:durableId="1609311781">
    <w:abstractNumId w:val="13"/>
  </w:num>
  <w:num w:numId="13" w16cid:durableId="768698567">
    <w:abstractNumId w:val="15"/>
  </w:num>
  <w:num w:numId="14" w16cid:durableId="226310108">
    <w:abstractNumId w:val="15"/>
  </w:num>
  <w:num w:numId="15" w16cid:durableId="2010253138">
    <w:abstractNumId w:val="8"/>
  </w:num>
  <w:num w:numId="16" w16cid:durableId="488135360">
    <w:abstractNumId w:val="15"/>
  </w:num>
  <w:num w:numId="17" w16cid:durableId="2040425884">
    <w:abstractNumId w:val="15"/>
  </w:num>
  <w:num w:numId="18" w16cid:durableId="1144783836">
    <w:abstractNumId w:val="15"/>
  </w:num>
  <w:num w:numId="19" w16cid:durableId="746268739">
    <w:abstractNumId w:val="15"/>
  </w:num>
  <w:num w:numId="20" w16cid:durableId="1200343">
    <w:abstractNumId w:val="10"/>
  </w:num>
  <w:num w:numId="21" w16cid:durableId="532772013">
    <w:abstractNumId w:val="11"/>
  </w:num>
  <w:num w:numId="22" w16cid:durableId="1549301583">
    <w:abstractNumId w:val="19"/>
  </w:num>
  <w:num w:numId="23" w16cid:durableId="1910068747">
    <w:abstractNumId w:val="22"/>
  </w:num>
  <w:num w:numId="24" w16cid:durableId="1965844683">
    <w:abstractNumId w:val="11"/>
  </w:num>
  <w:num w:numId="25" w16cid:durableId="812794020">
    <w:abstractNumId w:val="11"/>
  </w:num>
  <w:num w:numId="26" w16cid:durableId="2027946624">
    <w:abstractNumId w:val="3"/>
  </w:num>
  <w:num w:numId="27" w16cid:durableId="1552108393">
    <w:abstractNumId w:val="21"/>
  </w:num>
  <w:num w:numId="28" w16cid:durableId="1858614972">
    <w:abstractNumId w:val="3"/>
  </w:num>
  <w:num w:numId="29" w16cid:durableId="536351788">
    <w:abstractNumId w:val="0"/>
  </w:num>
  <w:num w:numId="30" w16cid:durableId="1842431329">
    <w:abstractNumId w:val="16"/>
  </w:num>
  <w:num w:numId="31" w16cid:durableId="1473674111">
    <w:abstractNumId w:val="1"/>
  </w:num>
  <w:num w:numId="32" w16cid:durableId="1646085979">
    <w:abstractNumId w:val="9"/>
  </w:num>
  <w:num w:numId="33" w16cid:durableId="232862607">
    <w:abstractNumId w:val="4"/>
  </w:num>
  <w:num w:numId="34" w16cid:durableId="1234125203">
    <w:abstractNumId w:val="14"/>
  </w:num>
  <w:num w:numId="35" w16cid:durableId="1787963426">
    <w:abstractNumId w:val="17"/>
  </w:num>
  <w:num w:numId="36" w16cid:durableId="536822010">
    <w:abstractNumId w:val="23"/>
  </w:num>
  <w:num w:numId="37" w16cid:durableId="1173226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E1"/>
    <w:rsid w:val="00004AA7"/>
    <w:rsid w:val="0000525B"/>
    <w:rsid w:val="00011DE7"/>
    <w:rsid w:val="00017058"/>
    <w:rsid w:val="0002263F"/>
    <w:rsid w:val="00023913"/>
    <w:rsid w:val="00024141"/>
    <w:rsid w:val="00032BFF"/>
    <w:rsid w:val="00035E2D"/>
    <w:rsid w:val="00041F04"/>
    <w:rsid w:val="00043426"/>
    <w:rsid w:val="00044F69"/>
    <w:rsid w:val="000476A4"/>
    <w:rsid w:val="00050E16"/>
    <w:rsid w:val="00051D1B"/>
    <w:rsid w:val="00054FAA"/>
    <w:rsid w:val="00056D2F"/>
    <w:rsid w:val="00056F0E"/>
    <w:rsid w:val="00060352"/>
    <w:rsid w:val="00065D73"/>
    <w:rsid w:val="000676E5"/>
    <w:rsid w:val="00070F98"/>
    <w:rsid w:val="000729BA"/>
    <w:rsid w:val="00073A0B"/>
    <w:rsid w:val="00075708"/>
    <w:rsid w:val="00081107"/>
    <w:rsid w:val="00091553"/>
    <w:rsid w:val="00091FF7"/>
    <w:rsid w:val="000920C6"/>
    <w:rsid w:val="00093142"/>
    <w:rsid w:val="000932B0"/>
    <w:rsid w:val="00093301"/>
    <w:rsid w:val="00095D00"/>
    <w:rsid w:val="000A5F95"/>
    <w:rsid w:val="000A686D"/>
    <w:rsid w:val="000A6A91"/>
    <w:rsid w:val="000A7A42"/>
    <w:rsid w:val="000B0C3B"/>
    <w:rsid w:val="000B0DA5"/>
    <w:rsid w:val="000B410C"/>
    <w:rsid w:val="000B7141"/>
    <w:rsid w:val="000C3197"/>
    <w:rsid w:val="000C3CF1"/>
    <w:rsid w:val="000C43F3"/>
    <w:rsid w:val="000C72BD"/>
    <w:rsid w:val="000D0CE7"/>
    <w:rsid w:val="000D108F"/>
    <w:rsid w:val="000D4E2B"/>
    <w:rsid w:val="000D50CF"/>
    <w:rsid w:val="000D5566"/>
    <w:rsid w:val="000D7FFE"/>
    <w:rsid w:val="000F4084"/>
    <w:rsid w:val="000F4837"/>
    <w:rsid w:val="000F4B6B"/>
    <w:rsid w:val="0010155F"/>
    <w:rsid w:val="00102BCE"/>
    <w:rsid w:val="00103921"/>
    <w:rsid w:val="00106250"/>
    <w:rsid w:val="00106D6F"/>
    <w:rsid w:val="00106E8A"/>
    <w:rsid w:val="00115E00"/>
    <w:rsid w:val="0011691F"/>
    <w:rsid w:val="00132088"/>
    <w:rsid w:val="00135F6B"/>
    <w:rsid w:val="00136029"/>
    <w:rsid w:val="001371C2"/>
    <w:rsid w:val="00140A2A"/>
    <w:rsid w:val="00140C94"/>
    <w:rsid w:val="00141E8A"/>
    <w:rsid w:val="00142DFB"/>
    <w:rsid w:val="00143F0A"/>
    <w:rsid w:val="001441A8"/>
    <w:rsid w:val="00153C30"/>
    <w:rsid w:val="001540A5"/>
    <w:rsid w:val="00156F03"/>
    <w:rsid w:val="001572D3"/>
    <w:rsid w:val="00164414"/>
    <w:rsid w:val="001650D5"/>
    <w:rsid w:val="00167D25"/>
    <w:rsid w:val="001739D5"/>
    <w:rsid w:val="001751C7"/>
    <w:rsid w:val="00175458"/>
    <w:rsid w:val="00175C23"/>
    <w:rsid w:val="00175F76"/>
    <w:rsid w:val="0018053A"/>
    <w:rsid w:val="00180FD6"/>
    <w:rsid w:val="00181498"/>
    <w:rsid w:val="00183F03"/>
    <w:rsid w:val="00185D6A"/>
    <w:rsid w:val="00186ABF"/>
    <w:rsid w:val="001879FF"/>
    <w:rsid w:val="00190207"/>
    <w:rsid w:val="00190447"/>
    <w:rsid w:val="0019276A"/>
    <w:rsid w:val="00194923"/>
    <w:rsid w:val="00194B74"/>
    <w:rsid w:val="00197B5A"/>
    <w:rsid w:val="001A75E7"/>
    <w:rsid w:val="001B42CA"/>
    <w:rsid w:val="001C098E"/>
    <w:rsid w:val="001C494F"/>
    <w:rsid w:val="001C595D"/>
    <w:rsid w:val="001C7FFC"/>
    <w:rsid w:val="001D000D"/>
    <w:rsid w:val="001D2657"/>
    <w:rsid w:val="001D494E"/>
    <w:rsid w:val="001D5079"/>
    <w:rsid w:val="001D6C15"/>
    <w:rsid w:val="001D6D74"/>
    <w:rsid w:val="001F1022"/>
    <w:rsid w:val="001F59BF"/>
    <w:rsid w:val="00200E9F"/>
    <w:rsid w:val="00203D8A"/>
    <w:rsid w:val="00207897"/>
    <w:rsid w:val="00211CBC"/>
    <w:rsid w:val="002168F8"/>
    <w:rsid w:val="002172E5"/>
    <w:rsid w:val="00217503"/>
    <w:rsid w:val="00224535"/>
    <w:rsid w:val="002276E1"/>
    <w:rsid w:val="0023087F"/>
    <w:rsid w:val="00233A67"/>
    <w:rsid w:val="00235F0C"/>
    <w:rsid w:val="00237BDC"/>
    <w:rsid w:val="002461E5"/>
    <w:rsid w:val="00252206"/>
    <w:rsid w:val="002524DB"/>
    <w:rsid w:val="0025686B"/>
    <w:rsid w:val="00262BAB"/>
    <w:rsid w:val="00263AD0"/>
    <w:rsid w:val="00267B87"/>
    <w:rsid w:val="002834B1"/>
    <w:rsid w:val="0028519A"/>
    <w:rsid w:val="00286C7C"/>
    <w:rsid w:val="002910E1"/>
    <w:rsid w:val="0029196A"/>
    <w:rsid w:val="002A0CA6"/>
    <w:rsid w:val="002A46DB"/>
    <w:rsid w:val="002B2845"/>
    <w:rsid w:val="002B62D2"/>
    <w:rsid w:val="002C10EB"/>
    <w:rsid w:val="002C5B71"/>
    <w:rsid w:val="002D23B8"/>
    <w:rsid w:val="002D2EF0"/>
    <w:rsid w:val="002D54DB"/>
    <w:rsid w:val="002E3DE9"/>
    <w:rsid w:val="002E6792"/>
    <w:rsid w:val="002F078F"/>
    <w:rsid w:val="002F092C"/>
    <w:rsid w:val="002F2B42"/>
    <w:rsid w:val="002F323C"/>
    <w:rsid w:val="002F4BA4"/>
    <w:rsid w:val="002F4E45"/>
    <w:rsid w:val="00300602"/>
    <w:rsid w:val="00302442"/>
    <w:rsid w:val="003038E1"/>
    <w:rsid w:val="0030441E"/>
    <w:rsid w:val="00304D3D"/>
    <w:rsid w:val="00305222"/>
    <w:rsid w:val="003132B6"/>
    <w:rsid w:val="00313921"/>
    <w:rsid w:val="00313D47"/>
    <w:rsid w:val="003148C2"/>
    <w:rsid w:val="00316B7E"/>
    <w:rsid w:val="00320BDD"/>
    <w:rsid w:val="00325C96"/>
    <w:rsid w:val="00326D7D"/>
    <w:rsid w:val="003312FC"/>
    <w:rsid w:val="00331564"/>
    <w:rsid w:val="00331753"/>
    <w:rsid w:val="003323AE"/>
    <w:rsid w:val="0034201C"/>
    <w:rsid w:val="003424E0"/>
    <w:rsid w:val="0034356E"/>
    <w:rsid w:val="00345E94"/>
    <w:rsid w:val="003465E8"/>
    <w:rsid w:val="00346C86"/>
    <w:rsid w:val="003505B4"/>
    <w:rsid w:val="00350CD6"/>
    <w:rsid w:val="0035195C"/>
    <w:rsid w:val="00353809"/>
    <w:rsid w:val="00356CC1"/>
    <w:rsid w:val="003606C7"/>
    <w:rsid w:val="003608D2"/>
    <w:rsid w:val="003628D0"/>
    <w:rsid w:val="0036569F"/>
    <w:rsid w:val="00370C07"/>
    <w:rsid w:val="00373221"/>
    <w:rsid w:val="00376B00"/>
    <w:rsid w:val="00380719"/>
    <w:rsid w:val="00380926"/>
    <w:rsid w:val="00380A3D"/>
    <w:rsid w:val="00380C64"/>
    <w:rsid w:val="00386BE2"/>
    <w:rsid w:val="003A0BEB"/>
    <w:rsid w:val="003A713B"/>
    <w:rsid w:val="003B2847"/>
    <w:rsid w:val="003B29BE"/>
    <w:rsid w:val="003B334E"/>
    <w:rsid w:val="003C15DF"/>
    <w:rsid w:val="003C1A1C"/>
    <w:rsid w:val="003C1AC9"/>
    <w:rsid w:val="003C3613"/>
    <w:rsid w:val="003D055E"/>
    <w:rsid w:val="003D323F"/>
    <w:rsid w:val="003D40D3"/>
    <w:rsid w:val="003D5204"/>
    <w:rsid w:val="003D609B"/>
    <w:rsid w:val="003D66C2"/>
    <w:rsid w:val="003D7755"/>
    <w:rsid w:val="003E1D44"/>
    <w:rsid w:val="003E1F5E"/>
    <w:rsid w:val="003E2647"/>
    <w:rsid w:val="003E4876"/>
    <w:rsid w:val="003E4A9B"/>
    <w:rsid w:val="003F78C0"/>
    <w:rsid w:val="00404F60"/>
    <w:rsid w:val="00406253"/>
    <w:rsid w:val="00407693"/>
    <w:rsid w:val="0041128C"/>
    <w:rsid w:val="0041454A"/>
    <w:rsid w:val="00414653"/>
    <w:rsid w:val="00417336"/>
    <w:rsid w:val="00417EA4"/>
    <w:rsid w:val="00432BDD"/>
    <w:rsid w:val="00433230"/>
    <w:rsid w:val="00433AE7"/>
    <w:rsid w:val="00436E0F"/>
    <w:rsid w:val="00437CAA"/>
    <w:rsid w:val="0044168A"/>
    <w:rsid w:val="004425C4"/>
    <w:rsid w:val="00444D39"/>
    <w:rsid w:val="004501CA"/>
    <w:rsid w:val="004502C1"/>
    <w:rsid w:val="004508FE"/>
    <w:rsid w:val="00451B30"/>
    <w:rsid w:val="00452CE3"/>
    <w:rsid w:val="00453DE7"/>
    <w:rsid w:val="00454A66"/>
    <w:rsid w:val="00455C48"/>
    <w:rsid w:val="00460B58"/>
    <w:rsid w:val="00461248"/>
    <w:rsid w:val="00472F24"/>
    <w:rsid w:val="00475615"/>
    <w:rsid w:val="00476456"/>
    <w:rsid w:val="00480362"/>
    <w:rsid w:val="0048066D"/>
    <w:rsid w:val="00481543"/>
    <w:rsid w:val="0048474E"/>
    <w:rsid w:val="00493377"/>
    <w:rsid w:val="004954A3"/>
    <w:rsid w:val="004A4188"/>
    <w:rsid w:val="004A4192"/>
    <w:rsid w:val="004B4419"/>
    <w:rsid w:val="004B5056"/>
    <w:rsid w:val="004B7704"/>
    <w:rsid w:val="004B78BF"/>
    <w:rsid w:val="004C2FF5"/>
    <w:rsid w:val="004C39CE"/>
    <w:rsid w:val="004C43D4"/>
    <w:rsid w:val="004C5FE1"/>
    <w:rsid w:val="004D0CDE"/>
    <w:rsid w:val="004D3606"/>
    <w:rsid w:val="004D3663"/>
    <w:rsid w:val="004D398E"/>
    <w:rsid w:val="004D5C48"/>
    <w:rsid w:val="004D6DDB"/>
    <w:rsid w:val="004E09F1"/>
    <w:rsid w:val="004E2333"/>
    <w:rsid w:val="004E2D6B"/>
    <w:rsid w:val="004E5E14"/>
    <w:rsid w:val="004E691D"/>
    <w:rsid w:val="004F121A"/>
    <w:rsid w:val="004F1584"/>
    <w:rsid w:val="004F257F"/>
    <w:rsid w:val="004F4236"/>
    <w:rsid w:val="004F4449"/>
    <w:rsid w:val="004F743A"/>
    <w:rsid w:val="00501FD5"/>
    <w:rsid w:val="005024C2"/>
    <w:rsid w:val="0050518D"/>
    <w:rsid w:val="00507909"/>
    <w:rsid w:val="00511D1F"/>
    <w:rsid w:val="005145C1"/>
    <w:rsid w:val="0051547D"/>
    <w:rsid w:val="005208B9"/>
    <w:rsid w:val="005242D1"/>
    <w:rsid w:val="0052512D"/>
    <w:rsid w:val="00531731"/>
    <w:rsid w:val="00544281"/>
    <w:rsid w:val="005448D7"/>
    <w:rsid w:val="00544A10"/>
    <w:rsid w:val="00544DBF"/>
    <w:rsid w:val="005506A3"/>
    <w:rsid w:val="00551E37"/>
    <w:rsid w:val="00555273"/>
    <w:rsid w:val="005576A8"/>
    <w:rsid w:val="00557800"/>
    <w:rsid w:val="00562408"/>
    <w:rsid w:val="00567A82"/>
    <w:rsid w:val="00567C44"/>
    <w:rsid w:val="00574A3F"/>
    <w:rsid w:val="00574DC5"/>
    <w:rsid w:val="00576A71"/>
    <w:rsid w:val="00576C74"/>
    <w:rsid w:val="005823E8"/>
    <w:rsid w:val="00591372"/>
    <w:rsid w:val="00593739"/>
    <w:rsid w:val="0059623B"/>
    <w:rsid w:val="00597997"/>
    <w:rsid w:val="005A1C08"/>
    <w:rsid w:val="005A40C9"/>
    <w:rsid w:val="005A5CA7"/>
    <w:rsid w:val="005A60AF"/>
    <w:rsid w:val="005A74B0"/>
    <w:rsid w:val="005B285B"/>
    <w:rsid w:val="005B375E"/>
    <w:rsid w:val="005B6E19"/>
    <w:rsid w:val="005C0945"/>
    <w:rsid w:val="005C18AF"/>
    <w:rsid w:val="005C1907"/>
    <w:rsid w:val="005C193F"/>
    <w:rsid w:val="005C38B0"/>
    <w:rsid w:val="005D30FB"/>
    <w:rsid w:val="005D31F1"/>
    <w:rsid w:val="005D4D7A"/>
    <w:rsid w:val="005E0C18"/>
    <w:rsid w:val="005E2B5C"/>
    <w:rsid w:val="005E4233"/>
    <w:rsid w:val="005F10D6"/>
    <w:rsid w:val="005F5EAA"/>
    <w:rsid w:val="00601477"/>
    <w:rsid w:val="0060287A"/>
    <w:rsid w:val="00604422"/>
    <w:rsid w:val="00605083"/>
    <w:rsid w:val="00607098"/>
    <w:rsid w:val="00610331"/>
    <w:rsid w:val="00610D1B"/>
    <w:rsid w:val="00614B91"/>
    <w:rsid w:val="00614F2A"/>
    <w:rsid w:val="0062291D"/>
    <w:rsid w:val="006232A6"/>
    <w:rsid w:val="00630D14"/>
    <w:rsid w:val="006344D7"/>
    <w:rsid w:val="00642743"/>
    <w:rsid w:val="00643FF9"/>
    <w:rsid w:val="006461BB"/>
    <w:rsid w:val="00646F74"/>
    <w:rsid w:val="006478FF"/>
    <w:rsid w:val="00650863"/>
    <w:rsid w:val="00650DCA"/>
    <w:rsid w:val="00652D87"/>
    <w:rsid w:val="006545CC"/>
    <w:rsid w:val="00657045"/>
    <w:rsid w:val="0066303C"/>
    <w:rsid w:val="00664705"/>
    <w:rsid w:val="006710F8"/>
    <w:rsid w:val="00671BD6"/>
    <w:rsid w:val="00671D63"/>
    <w:rsid w:val="00673641"/>
    <w:rsid w:val="0067478C"/>
    <w:rsid w:val="00674B65"/>
    <w:rsid w:val="006770E7"/>
    <w:rsid w:val="006856CD"/>
    <w:rsid w:val="00687DE3"/>
    <w:rsid w:val="0069680A"/>
    <w:rsid w:val="006974CD"/>
    <w:rsid w:val="006A051A"/>
    <w:rsid w:val="006A11EF"/>
    <w:rsid w:val="006A330E"/>
    <w:rsid w:val="006A5392"/>
    <w:rsid w:val="006A5FF1"/>
    <w:rsid w:val="006A7521"/>
    <w:rsid w:val="006B1298"/>
    <w:rsid w:val="006B159A"/>
    <w:rsid w:val="006B1EA0"/>
    <w:rsid w:val="006B2801"/>
    <w:rsid w:val="006B5563"/>
    <w:rsid w:val="006C69CC"/>
    <w:rsid w:val="006C6D5D"/>
    <w:rsid w:val="006D2F18"/>
    <w:rsid w:val="006D2F82"/>
    <w:rsid w:val="006D3B3B"/>
    <w:rsid w:val="006D6FCE"/>
    <w:rsid w:val="006E14F1"/>
    <w:rsid w:val="006E1E31"/>
    <w:rsid w:val="006E2D0E"/>
    <w:rsid w:val="006E3D7E"/>
    <w:rsid w:val="006E69FC"/>
    <w:rsid w:val="006E6C94"/>
    <w:rsid w:val="006E6E46"/>
    <w:rsid w:val="006F07CD"/>
    <w:rsid w:val="006F437D"/>
    <w:rsid w:val="00703075"/>
    <w:rsid w:val="007044F7"/>
    <w:rsid w:val="007120BA"/>
    <w:rsid w:val="00713B7C"/>
    <w:rsid w:val="00717FAE"/>
    <w:rsid w:val="00722422"/>
    <w:rsid w:val="00725701"/>
    <w:rsid w:val="00725D84"/>
    <w:rsid w:val="00726693"/>
    <w:rsid w:val="00731783"/>
    <w:rsid w:val="0073185E"/>
    <w:rsid w:val="00735548"/>
    <w:rsid w:val="00735AF0"/>
    <w:rsid w:val="0073601B"/>
    <w:rsid w:val="0074222F"/>
    <w:rsid w:val="00744469"/>
    <w:rsid w:val="007446B4"/>
    <w:rsid w:val="0074600A"/>
    <w:rsid w:val="007513D8"/>
    <w:rsid w:val="007518C4"/>
    <w:rsid w:val="0075241B"/>
    <w:rsid w:val="00755AAF"/>
    <w:rsid w:val="00756AEC"/>
    <w:rsid w:val="00756B6A"/>
    <w:rsid w:val="00757582"/>
    <w:rsid w:val="00757B41"/>
    <w:rsid w:val="0076034D"/>
    <w:rsid w:val="00762597"/>
    <w:rsid w:val="00763CD6"/>
    <w:rsid w:val="00764042"/>
    <w:rsid w:val="00771387"/>
    <w:rsid w:val="0077185F"/>
    <w:rsid w:val="00772F25"/>
    <w:rsid w:val="00774723"/>
    <w:rsid w:val="00777EAE"/>
    <w:rsid w:val="0078201E"/>
    <w:rsid w:val="00784569"/>
    <w:rsid w:val="0078524F"/>
    <w:rsid w:val="00786AE3"/>
    <w:rsid w:val="00787991"/>
    <w:rsid w:val="00787A37"/>
    <w:rsid w:val="00791253"/>
    <w:rsid w:val="00791E29"/>
    <w:rsid w:val="00792934"/>
    <w:rsid w:val="0079358A"/>
    <w:rsid w:val="00796432"/>
    <w:rsid w:val="007A15C2"/>
    <w:rsid w:val="007A3B94"/>
    <w:rsid w:val="007A402A"/>
    <w:rsid w:val="007A778B"/>
    <w:rsid w:val="007B14AE"/>
    <w:rsid w:val="007B6220"/>
    <w:rsid w:val="007B7147"/>
    <w:rsid w:val="007B7438"/>
    <w:rsid w:val="007C0D89"/>
    <w:rsid w:val="007C18C4"/>
    <w:rsid w:val="007C31C0"/>
    <w:rsid w:val="007C5138"/>
    <w:rsid w:val="007C5679"/>
    <w:rsid w:val="007D35C8"/>
    <w:rsid w:val="007D4B3E"/>
    <w:rsid w:val="007D5DC2"/>
    <w:rsid w:val="007D612B"/>
    <w:rsid w:val="007D66B1"/>
    <w:rsid w:val="007E1394"/>
    <w:rsid w:val="007E1DDA"/>
    <w:rsid w:val="007E276A"/>
    <w:rsid w:val="007E2B3C"/>
    <w:rsid w:val="007E3939"/>
    <w:rsid w:val="007E63D8"/>
    <w:rsid w:val="007E6A31"/>
    <w:rsid w:val="007F27F6"/>
    <w:rsid w:val="007F3423"/>
    <w:rsid w:val="007F78E0"/>
    <w:rsid w:val="00803202"/>
    <w:rsid w:val="00803D54"/>
    <w:rsid w:val="00806836"/>
    <w:rsid w:val="008076F7"/>
    <w:rsid w:val="008115CC"/>
    <w:rsid w:val="008116F9"/>
    <w:rsid w:val="008126B7"/>
    <w:rsid w:val="008134AF"/>
    <w:rsid w:val="00815B80"/>
    <w:rsid w:val="00821FD7"/>
    <w:rsid w:val="00822322"/>
    <w:rsid w:val="008337A8"/>
    <w:rsid w:val="00833AEE"/>
    <w:rsid w:val="008360D9"/>
    <w:rsid w:val="00853EE9"/>
    <w:rsid w:val="008542F4"/>
    <w:rsid w:val="008550C4"/>
    <w:rsid w:val="0085550B"/>
    <w:rsid w:val="00855846"/>
    <w:rsid w:val="0086157D"/>
    <w:rsid w:val="00862097"/>
    <w:rsid w:val="00865919"/>
    <w:rsid w:val="00871753"/>
    <w:rsid w:val="008724AF"/>
    <w:rsid w:val="008741F3"/>
    <w:rsid w:val="008775A9"/>
    <w:rsid w:val="00880246"/>
    <w:rsid w:val="00880C86"/>
    <w:rsid w:val="00880CCA"/>
    <w:rsid w:val="00881BB7"/>
    <w:rsid w:val="00881BFC"/>
    <w:rsid w:val="00885F17"/>
    <w:rsid w:val="00886547"/>
    <w:rsid w:val="008876F1"/>
    <w:rsid w:val="008970CD"/>
    <w:rsid w:val="0089722E"/>
    <w:rsid w:val="00897495"/>
    <w:rsid w:val="008A3553"/>
    <w:rsid w:val="008A6C60"/>
    <w:rsid w:val="008A70DC"/>
    <w:rsid w:val="008A75AD"/>
    <w:rsid w:val="008B2A6D"/>
    <w:rsid w:val="008B405F"/>
    <w:rsid w:val="008B6B0C"/>
    <w:rsid w:val="008C3573"/>
    <w:rsid w:val="008C5985"/>
    <w:rsid w:val="008C6F77"/>
    <w:rsid w:val="008D2874"/>
    <w:rsid w:val="008D549A"/>
    <w:rsid w:val="008D5F47"/>
    <w:rsid w:val="008D76C1"/>
    <w:rsid w:val="008F0BB5"/>
    <w:rsid w:val="008F0C38"/>
    <w:rsid w:val="008F6134"/>
    <w:rsid w:val="008F6BFD"/>
    <w:rsid w:val="00900114"/>
    <w:rsid w:val="00904A5D"/>
    <w:rsid w:val="009057D6"/>
    <w:rsid w:val="00914771"/>
    <w:rsid w:val="00915093"/>
    <w:rsid w:val="00915BB0"/>
    <w:rsid w:val="00917577"/>
    <w:rsid w:val="009202E0"/>
    <w:rsid w:val="00920E83"/>
    <w:rsid w:val="0092497A"/>
    <w:rsid w:val="0092533E"/>
    <w:rsid w:val="0092542A"/>
    <w:rsid w:val="00926454"/>
    <w:rsid w:val="00926502"/>
    <w:rsid w:val="00926FFE"/>
    <w:rsid w:val="009316DC"/>
    <w:rsid w:val="009322B7"/>
    <w:rsid w:val="00933222"/>
    <w:rsid w:val="0093420C"/>
    <w:rsid w:val="00937A23"/>
    <w:rsid w:val="00945DB2"/>
    <w:rsid w:val="00947059"/>
    <w:rsid w:val="009578E5"/>
    <w:rsid w:val="00957FB5"/>
    <w:rsid w:val="009613E7"/>
    <w:rsid w:val="00965C83"/>
    <w:rsid w:val="00967FA9"/>
    <w:rsid w:val="00970C0D"/>
    <w:rsid w:val="00972AAD"/>
    <w:rsid w:val="00980FBD"/>
    <w:rsid w:val="00983EB3"/>
    <w:rsid w:val="00984344"/>
    <w:rsid w:val="009A070E"/>
    <w:rsid w:val="009A1CE6"/>
    <w:rsid w:val="009A463C"/>
    <w:rsid w:val="009A7BE1"/>
    <w:rsid w:val="009B0D3B"/>
    <w:rsid w:val="009B1509"/>
    <w:rsid w:val="009B6DC2"/>
    <w:rsid w:val="009C164C"/>
    <w:rsid w:val="009C3E10"/>
    <w:rsid w:val="009C40C9"/>
    <w:rsid w:val="009C566C"/>
    <w:rsid w:val="009C667D"/>
    <w:rsid w:val="009C7E92"/>
    <w:rsid w:val="009D06ED"/>
    <w:rsid w:val="009D0DB5"/>
    <w:rsid w:val="009D208D"/>
    <w:rsid w:val="009D4F41"/>
    <w:rsid w:val="009E29D0"/>
    <w:rsid w:val="009E34D4"/>
    <w:rsid w:val="009E4C2D"/>
    <w:rsid w:val="009E72DC"/>
    <w:rsid w:val="009E7949"/>
    <w:rsid w:val="009F339C"/>
    <w:rsid w:val="009F3D74"/>
    <w:rsid w:val="009F3E12"/>
    <w:rsid w:val="009F486A"/>
    <w:rsid w:val="009F5FF8"/>
    <w:rsid w:val="009F61A3"/>
    <w:rsid w:val="00A01BCE"/>
    <w:rsid w:val="00A07363"/>
    <w:rsid w:val="00A15286"/>
    <w:rsid w:val="00A16485"/>
    <w:rsid w:val="00A1766C"/>
    <w:rsid w:val="00A1783B"/>
    <w:rsid w:val="00A2053C"/>
    <w:rsid w:val="00A23E15"/>
    <w:rsid w:val="00A24693"/>
    <w:rsid w:val="00A267DF"/>
    <w:rsid w:val="00A2735C"/>
    <w:rsid w:val="00A27881"/>
    <w:rsid w:val="00A315BA"/>
    <w:rsid w:val="00A31CA8"/>
    <w:rsid w:val="00A3516B"/>
    <w:rsid w:val="00A35645"/>
    <w:rsid w:val="00A376B8"/>
    <w:rsid w:val="00A3796D"/>
    <w:rsid w:val="00A37BBF"/>
    <w:rsid w:val="00A401FE"/>
    <w:rsid w:val="00A41A50"/>
    <w:rsid w:val="00A46CB9"/>
    <w:rsid w:val="00A4724E"/>
    <w:rsid w:val="00A54428"/>
    <w:rsid w:val="00A56904"/>
    <w:rsid w:val="00A570C1"/>
    <w:rsid w:val="00A609FD"/>
    <w:rsid w:val="00A61503"/>
    <w:rsid w:val="00A624BB"/>
    <w:rsid w:val="00A637E1"/>
    <w:rsid w:val="00A63CEC"/>
    <w:rsid w:val="00A65281"/>
    <w:rsid w:val="00A653AD"/>
    <w:rsid w:val="00A656D1"/>
    <w:rsid w:val="00A65DAD"/>
    <w:rsid w:val="00A66B1C"/>
    <w:rsid w:val="00A733C4"/>
    <w:rsid w:val="00A803BB"/>
    <w:rsid w:val="00A81B5B"/>
    <w:rsid w:val="00A85EC6"/>
    <w:rsid w:val="00A87C1D"/>
    <w:rsid w:val="00A9145E"/>
    <w:rsid w:val="00A93A75"/>
    <w:rsid w:val="00AA1D31"/>
    <w:rsid w:val="00AA25A6"/>
    <w:rsid w:val="00AA3649"/>
    <w:rsid w:val="00AA3B19"/>
    <w:rsid w:val="00AA3DCE"/>
    <w:rsid w:val="00AA63C7"/>
    <w:rsid w:val="00AB2F88"/>
    <w:rsid w:val="00AB3FD1"/>
    <w:rsid w:val="00AB5252"/>
    <w:rsid w:val="00AC03C9"/>
    <w:rsid w:val="00AD04FB"/>
    <w:rsid w:val="00AD3FAE"/>
    <w:rsid w:val="00AE1F4B"/>
    <w:rsid w:val="00AE2EB6"/>
    <w:rsid w:val="00AE5C5F"/>
    <w:rsid w:val="00AE77AD"/>
    <w:rsid w:val="00AF00B7"/>
    <w:rsid w:val="00AF21A3"/>
    <w:rsid w:val="00AF5891"/>
    <w:rsid w:val="00B025E7"/>
    <w:rsid w:val="00B02A45"/>
    <w:rsid w:val="00B04AC2"/>
    <w:rsid w:val="00B058A7"/>
    <w:rsid w:val="00B05BF5"/>
    <w:rsid w:val="00B072F7"/>
    <w:rsid w:val="00B1054F"/>
    <w:rsid w:val="00B13001"/>
    <w:rsid w:val="00B136C4"/>
    <w:rsid w:val="00B13B9A"/>
    <w:rsid w:val="00B15122"/>
    <w:rsid w:val="00B16AD2"/>
    <w:rsid w:val="00B17200"/>
    <w:rsid w:val="00B22889"/>
    <w:rsid w:val="00B2295F"/>
    <w:rsid w:val="00B31847"/>
    <w:rsid w:val="00B32635"/>
    <w:rsid w:val="00B32656"/>
    <w:rsid w:val="00B33C6E"/>
    <w:rsid w:val="00B351E1"/>
    <w:rsid w:val="00B410A2"/>
    <w:rsid w:val="00B42E3F"/>
    <w:rsid w:val="00B47228"/>
    <w:rsid w:val="00B64280"/>
    <w:rsid w:val="00B66B8C"/>
    <w:rsid w:val="00B7462D"/>
    <w:rsid w:val="00B7525E"/>
    <w:rsid w:val="00B82962"/>
    <w:rsid w:val="00B86AF6"/>
    <w:rsid w:val="00B86E5C"/>
    <w:rsid w:val="00B93560"/>
    <w:rsid w:val="00B94D6E"/>
    <w:rsid w:val="00B96091"/>
    <w:rsid w:val="00BA412A"/>
    <w:rsid w:val="00BA42C1"/>
    <w:rsid w:val="00BB01F0"/>
    <w:rsid w:val="00BB3B5E"/>
    <w:rsid w:val="00BB48E2"/>
    <w:rsid w:val="00BD2C0B"/>
    <w:rsid w:val="00BE2A44"/>
    <w:rsid w:val="00BE2E79"/>
    <w:rsid w:val="00BE38A3"/>
    <w:rsid w:val="00BE4572"/>
    <w:rsid w:val="00BE675F"/>
    <w:rsid w:val="00BF02AC"/>
    <w:rsid w:val="00BF421C"/>
    <w:rsid w:val="00BF5BE4"/>
    <w:rsid w:val="00BF70E3"/>
    <w:rsid w:val="00C03A51"/>
    <w:rsid w:val="00C044D8"/>
    <w:rsid w:val="00C1261E"/>
    <w:rsid w:val="00C15EDB"/>
    <w:rsid w:val="00C16E05"/>
    <w:rsid w:val="00C17A91"/>
    <w:rsid w:val="00C22228"/>
    <w:rsid w:val="00C2424C"/>
    <w:rsid w:val="00C27042"/>
    <w:rsid w:val="00C276C3"/>
    <w:rsid w:val="00C33AFC"/>
    <w:rsid w:val="00C34992"/>
    <w:rsid w:val="00C34BF0"/>
    <w:rsid w:val="00C37E4C"/>
    <w:rsid w:val="00C436A8"/>
    <w:rsid w:val="00C44390"/>
    <w:rsid w:val="00C463E2"/>
    <w:rsid w:val="00C46C0E"/>
    <w:rsid w:val="00C475D2"/>
    <w:rsid w:val="00C5140A"/>
    <w:rsid w:val="00C51943"/>
    <w:rsid w:val="00C547FC"/>
    <w:rsid w:val="00C6086D"/>
    <w:rsid w:val="00C61FB9"/>
    <w:rsid w:val="00C6388D"/>
    <w:rsid w:val="00C718F0"/>
    <w:rsid w:val="00C73F31"/>
    <w:rsid w:val="00C84087"/>
    <w:rsid w:val="00C973FC"/>
    <w:rsid w:val="00CA0993"/>
    <w:rsid w:val="00CB19E9"/>
    <w:rsid w:val="00CC2B54"/>
    <w:rsid w:val="00CC2DCA"/>
    <w:rsid w:val="00CC5CD0"/>
    <w:rsid w:val="00CC733E"/>
    <w:rsid w:val="00CD0012"/>
    <w:rsid w:val="00CD2504"/>
    <w:rsid w:val="00CD3A39"/>
    <w:rsid w:val="00CD4F7C"/>
    <w:rsid w:val="00CD51ED"/>
    <w:rsid w:val="00CD537C"/>
    <w:rsid w:val="00CE2DA9"/>
    <w:rsid w:val="00CE536B"/>
    <w:rsid w:val="00CF0A39"/>
    <w:rsid w:val="00CF1426"/>
    <w:rsid w:val="00CF190B"/>
    <w:rsid w:val="00CF5F90"/>
    <w:rsid w:val="00D02332"/>
    <w:rsid w:val="00D0418D"/>
    <w:rsid w:val="00D06E83"/>
    <w:rsid w:val="00D13896"/>
    <w:rsid w:val="00D14524"/>
    <w:rsid w:val="00D1586A"/>
    <w:rsid w:val="00D206D8"/>
    <w:rsid w:val="00D20873"/>
    <w:rsid w:val="00D20F54"/>
    <w:rsid w:val="00D2344A"/>
    <w:rsid w:val="00D312B6"/>
    <w:rsid w:val="00D336BF"/>
    <w:rsid w:val="00D33CCC"/>
    <w:rsid w:val="00D3601A"/>
    <w:rsid w:val="00D3695C"/>
    <w:rsid w:val="00D421D7"/>
    <w:rsid w:val="00D464BC"/>
    <w:rsid w:val="00D47A88"/>
    <w:rsid w:val="00D50EFE"/>
    <w:rsid w:val="00D54F79"/>
    <w:rsid w:val="00D558B7"/>
    <w:rsid w:val="00D600F9"/>
    <w:rsid w:val="00D63F57"/>
    <w:rsid w:val="00D64471"/>
    <w:rsid w:val="00D675FA"/>
    <w:rsid w:val="00D703D0"/>
    <w:rsid w:val="00D705C5"/>
    <w:rsid w:val="00D72A92"/>
    <w:rsid w:val="00D777A5"/>
    <w:rsid w:val="00D84D10"/>
    <w:rsid w:val="00D84E1E"/>
    <w:rsid w:val="00D87B99"/>
    <w:rsid w:val="00D87E8B"/>
    <w:rsid w:val="00D90961"/>
    <w:rsid w:val="00D91E25"/>
    <w:rsid w:val="00D92199"/>
    <w:rsid w:val="00D9435F"/>
    <w:rsid w:val="00D9464F"/>
    <w:rsid w:val="00D96C5E"/>
    <w:rsid w:val="00D97025"/>
    <w:rsid w:val="00D97661"/>
    <w:rsid w:val="00DA04EF"/>
    <w:rsid w:val="00DA1A93"/>
    <w:rsid w:val="00DA549D"/>
    <w:rsid w:val="00DA5698"/>
    <w:rsid w:val="00DB22F8"/>
    <w:rsid w:val="00DB4BAC"/>
    <w:rsid w:val="00DC3473"/>
    <w:rsid w:val="00DC36E8"/>
    <w:rsid w:val="00DC4ABC"/>
    <w:rsid w:val="00DC4CE1"/>
    <w:rsid w:val="00DC6012"/>
    <w:rsid w:val="00DC60B5"/>
    <w:rsid w:val="00DD03A0"/>
    <w:rsid w:val="00DD29AE"/>
    <w:rsid w:val="00DD322C"/>
    <w:rsid w:val="00DD4EA3"/>
    <w:rsid w:val="00DD52D7"/>
    <w:rsid w:val="00DD6114"/>
    <w:rsid w:val="00DD69A7"/>
    <w:rsid w:val="00DD7972"/>
    <w:rsid w:val="00DE22EA"/>
    <w:rsid w:val="00DE2502"/>
    <w:rsid w:val="00DF28AA"/>
    <w:rsid w:val="00DF6741"/>
    <w:rsid w:val="00DF7E21"/>
    <w:rsid w:val="00E06C97"/>
    <w:rsid w:val="00E1046D"/>
    <w:rsid w:val="00E15682"/>
    <w:rsid w:val="00E15B10"/>
    <w:rsid w:val="00E16004"/>
    <w:rsid w:val="00E24E3D"/>
    <w:rsid w:val="00E26418"/>
    <w:rsid w:val="00E26D19"/>
    <w:rsid w:val="00E275D9"/>
    <w:rsid w:val="00E27B2F"/>
    <w:rsid w:val="00E316C3"/>
    <w:rsid w:val="00E32802"/>
    <w:rsid w:val="00E347E9"/>
    <w:rsid w:val="00E36760"/>
    <w:rsid w:val="00E374D1"/>
    <w:rsid w:val="00E44728"/>
    <w:rsid w:val="00E45D16"/>
    <w:rsid w:val="00E503C6"/>
    <w:rsid w:val="00E540DC"/>
    <w:rsid w:val="00E57DB9"/>
    <w:rsid w:val="00E63327"/>
    <w:rsid w:val="00E6375F"/>
    <w:rsid w:val="00E647B7"/>
    <w:rsid w:val="00E65E0E"/>
    <w:rsid w:val="00E67683"/>
    <w:rsid w:val="00E706BB"/>
    <w:rsid w:val="00E713CB"/>
    <w:rsid w:val="00E73215"/>
    <w:rsid w:val="00E747DB"/>
    <w:rsid w:val="00E75C29"/>
    <w:rsid w:val="00E76A31"/>
    <w:rsid w:val="00E76ABD"/>
    <w:rsid w:val="00E823DE"/>
    <w:rsid w:val="00E82546"/>
    <w:rsid w:val="00E82BDE"/>
    <w:rsid w:val="00E83E0A"/>
    <w:rsid w:val="00E8663B"/>
    <w:rsid w:val="00E867EE"/>
    <w:rsid w:val="00E873A0"/>
    <w:rsid w:val="00E9035C"/>
    <w:rsid w:val="00E94180"/>
    <w:rsid w:val="00E97A2D"/>
    <w:rsid w:val="00EA26D2"/>
    <w:rsid w:val="00EA55F9"/>
    <w:rsid w:val="00EA7FD6"/>
    <w:rsid w:val="00EB1374"/>
    <w:rsid w:val="00EB6853"/>
    <w:rsid w:val="00EC0545"/>
    <w:rsid w:val="00EC0BA0"/>
    <w:rsid w:val="00EC1D13"/>
    <w:rsid w:val="00EC21C0"/>
    <w:rsid w:val="00EC5F03"/>
    <w:rsid w:val="00EC6D01"/>
    <w:rsid w:val="00ED2D5E"/>
    <w:rsid w:val="00ED4255"/>
    <w:rsid w:val="00EE113D"/>
    <w:rsid w:val="00EE24EC"/>
    <w:rsid w:val="00EE5508"/>
    <w:rsid w:val="00EE7DF5"/>
    <w:rsid w:val="00EF08E6"/>
    <w:rsid w:val="00EF2404"/>
    <w:rsid w:val="00F00B2A"/>
    <w:rsid w:val="00F0441A"/>
    <w:rsid w:val="00F072CB"/>
    <w:rsid w:val="00F1479B"/>
    <w:rsid w:val="00F16596"/>
    <w:rsid w:val="00F249AE"/>
    <w:rsid w:val="00F24AEE"/>
    <w:rsid w:val="00F2548D"/>
    <w:rsid w:val="00F3030D"/>
    <w:rsid w:val="00F3330A"/>
    <w:rsid w:val="00F34A51"/>
    <w:rsid w:val="00F34DDA"/>
    <w:rsid w:val="00F3797E"/>
    <w:rsid w:val="00F47DA3"/>
    <w:rsid w:val="00F537E4"/>
    <w:rsid w:val="00F5468C"/>
    <w:rsid w:val="00F54DC6"/>
    <w:rsid w:val="00F55087"/>
    <w:rsid w:val="00F56B68"/>
    <w:rsid w:val="00F5729C"/>
    <w:rsid w:val="00F605E1"/>
    <w:rsid w:val="00F60EEA"/>
    <w:rsid w:val="00F648C3"/>
    <w:rsid w:val="00F66ECC"/>
    <w:rsid w:val="00F722E6"/>
    <w:rsid w:val="00F73FD5"/>
    <w:rsid w:val="00F83685"/>
    <w:rsid w:val="00F86969"/>
    <w:rsid w:val="00F92400"/>
    <w:rsid w:val="00F973D1"/>
    <w:rsid w:val="00FA0D88"/>
    <w:rsid w:val="00FA0DA1"/>
    <w:rsid w:val="00FA35ED"/>
    <w:rsid w:val="00FA5603"/>
    <w:rsid w:val="00FB19F4"/>
    <w:rsid w:val="00FB42DF"/>
    <w:rsid w:val="00FB56BB"/>
    <w:rsid w:val="00FB5DE6"/>
    <w:rsid w:val="00FC4D08"/>
    <w:rsid w:val="00FC6DFC"/>
    <w:rsid w:val="00FC773A"/>
    <w:rsid w:val="00FD0D87"/>
    <w:rsid w:val="00FD1E47"/>
    <w:rsid w:val="00FD27DC"/>
    <w:rsid w:val="00FD7123"/>
    <w:rsid w:val="00FE6E61"/>
    <w:rsid w:val="00FF08D8"/>
    <w:rsid w:val="00FF09C0"/>
    <w:rsid w:val="00FF596F"/>
    <w:rsid w:val="00FF741E"/>
    <w:rsid w:val="00FF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A39F2"/>
  <w15:chartTrackingRefBased/>
  <w15:docId w15:val="{709031E1-063B-444E-9FAA-36E98455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0E3"/>
  </w:style>
  <w:style w:type="paragraph" w:styleId="Heading1">
    <w:name w:val="heading 1"/>
    <w:basedOn w:val="Normal"/>
    <w:next w:val="Normal"/>
    <w:link w:val="Heading1Char"/>
    <w:autoRedefine/>
    <w:uiPriority w:val="9"/>
    <w:qFormat/>
    <w:rsid w:val="00674B65"/>
    <w:pPr>
      <w:keepNext/>
      <w:keepLines/>
      <w:spacing w:before="3000" w:after="0" w:line="240" w:lineRule="auto"/>
      <w:outlineLvl w:val="0"/>
    </w:pPr>
    <w:rPr>
      <w:rFonts w:ascii="Arial" w:eastAsiaTheme="majorEastAsia" w:hAnsi="Arial"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300602"/>
    <w:pPr>
      <w:spacing w:after="240" w:line="240" w:lineRule="auto"/>
      <w:outlineLvl w:val="1"/>
    </w:pPr>
    <w:rPr>
      <w:rFonts w:ascii="Arial" w:hAnsi="Arial" w:cs="Arial"/>
      <w:b/>
      <w:bCs/>
      <w:color w:val="2C5060" w:themeColor="accent1"/>
      <w:sz w:val="52"/>
      <w:szCs w:val="52"/>
    </w:rPr>
  </w:style>
  <w:style w:type="paragraph" w:styleId="Heading3">
    <w:name w:val="heading 3"/>
    <w:basedOn w:val="Normal"/>
    <w:next w:val="Normal"/>
    <w:link w:val="Heading3Char"/>
    <w:autoRedefine/>
    <w:uiPriority w:val="9"/>
    <w:unhideWhenUsed/>
    <w:qFormat/>
    <w:rsid w:val="007E276A"/>
    <w:pPr>
      <w:spacing w:after="0" w:line="360" w:lineRule="auto"/>
      <w:outlineLvl w:val="2"/>
    </w:pPr>
    <w:rPr>
      <w:rFonts w:ascii="Arial" w:hAnsi="Arial" w:cs="Arial"/>
      <w:b/>
      <w:bCs/>
      <w:color w:val="595959" w:themeColor="text1" w:themeTint="A6"/>
      <w:sz w:val="28"/>
      <w:szCs w:val="28"/>
    </w:rPr>
  </w:style>
  <w:style w:type="paragraph" w:styleId="Heading4">
    <w:name w:val="heading 4"/>
    <w:basedOn w:val="Normal"/>
    <w:next w:val="Normal"/>
    <w:link w:val="Heading4Char"/>
    <w:autoRedefine/>
    <w:uiPriority w:val="9"/>
    <w:unhideWhenUsed/>
    <w:qFormat/>
    <w:rsid w:val="009A070E"/>
    <w:pPr>
      <w:spacing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unhideWhenUsed/>
    <w:qFormat/>
    <w:rsid w:val="009A070E"/>
    <w:pPr>
      <w:outlineLvl w:val="4"/>
    </w:pPr>
    <w:rPr>
      <w:rFonts w:cs="Arial"/>
      <w:b/>
      <w:bCs/>
      <w:color w:val="5C5B5A"/>
    </w:rPr>
  </w:style>
  <w:style w:type="character" w:default="1" w:styleId="DefaultParagraphFont">
    <w:name w:val="Default Paragraph Font"/>
    <w:uiPriority w:val="1"/>
    <w:semiHidden/>
    <w:unhideWhenUsed/>
    <w:rsid w:val="00BF70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70E3"/>
  </w:style>
  <w:style w:type="character" w:customStyle="1" w:styleId="Heading1Char">
    <w:name w:val="Heading 1 Char"/>
    <w:basedOn w:val="DefaultParagraphFont"/>
    <w:link w:val="Heading1"/>
    <w:uiPriority w:val="9"/>
    <w:rsid w:val="00674B65"/>
    <w:rPr>
      <w:rFonts w:ascii="Arial" w:eastAsiaTheme="majorEastAsia" w:hAnsi="Arial" w:cs="Arial"/>
      <w:b/>
      <w:bCs/>
      <w:noProof/>
      <w:color w:val="FFFFFF" w:themeColor="background1"/>
      <w:sz w:val="72"/>
      <w:szCs w:val="40"/>
    </w:rPr>
  </w:style>
  <w:style w:type="table" w:styleId="TableGrid">
    <w:name w:val="Table Grid"/>
    <w:aliases w:val="Kate table"/>
    <w:basedOn w:val="TableNormal"/>
    <w:uiPriority w:val="39"/>
    <w:rsid w:val="009A070E"/>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300602"/>
    <w:pPr>
      <w:numPr>
        <w:numId w:val="32"/>
      </w:numPr>
      <w:tabs>
        <w:tab w:val="left" w:pos="7320"/>
      </w:tabs>
      <w:spacing w:after="0" w:line="360" w:lineRule="auto"/>
      <w:contextualSpacing/>
      <w:jc w:val="both"/>
    </w:pPr>
    <w:rPr>
      <w:rFonts w:ascii="Arial" w:hAnsi="Arial" w:cs="Arial"/>
      <w:sz w:val="24"/>
      <w:szCs w:val="24"/>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300602"/>
    <w:rPr>
      <w:rFonts w:ascii="Arial" w:hAnsi="Arial" w:cs="Arial"/>
      <w:kern w:val="2"/>
      <w:sz w:val="24"/>
      <w:szCs w:val="24"/>
      <w14:ligatures w14:val="standardContextual"/>
    </w:rPr>
  </w:style>
  <w:style w:type="character" w:styleId="CommentReference">
    <w:name w:val="annotation reference"/>
    <w:basedOn w:val="DefaultParagraphFont"/>
    <w:uiPriority w:val="99"/>
    <w:semiHidden/>
    <w:unhideWhenUsed/>
    <w:rsid w:val="009A070E"/>
    <w:rPr>
      <w:sz w:val="16"/>
      <w:szCs w:val="16"/>
    </w:rPr>
  </w:style>
  <w:style w:type="paragraph" w:styleId="CommentText">
    <w:name w:val="annotation text"/>
    <w:basedOn w:val="Normal"/>
    <w:link w:val="CommentTextChar"/>
    <w:uiPriority w:val="99"/>
    <w:unhideWhenUsed/>
    <w:rsid w:val="009A070E"/>
    <w:pPr>
      <w:spacing w:line="240" w:lineRule="auto"/>
    </w:pPr>
    <w:rPr>
      <w:sz w:val="20"/>
      <w:szCs w:val="20"/>
    </w:rPr>
  </w:style>
  <w:style w:type="character" w:customStyle="1" w:styleId="CommentTextChar">
    <w:name w:val="Comment Text Char"/>
    <w:basedOn w:val="DefaultParagraphFont"/>
    <w:link w:val="CommentText"/>
    <w:uiPriority w:val="99"/>
    <w:rsid w:val="009A070E"/>
    <w:rPr>
      <w:rFonts w:ascii="Arial" w:hAnsi="Arial"/>
      <w:sz w:val="20"/>
      <w:szCs w:val="20"/>
    </w:rPr>
  </w:style>
  <w:style w:type="paragraph" w:styleId="Header">
    <w:name w:val="header"/>
    <w:basedOn w:val="Normal"/>
    <w:link w:val="HeaderChar"/>
    <w:uiPriority w:val="99"/>
    <w:unhideWhenUsed/>
    <w:rsid w:val="009A0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70E"/>
    <w:rPr>
      <w:rFonts w:ascii="Arial" w:hAnsi="Arial"/>
      <w:sz w:val="24"/>
      <w:szCs w:val="24"/>
    </w:rPr>
  </w:style>
  <w:style w:type="character" w:styleId="Hyperlink">
    <w:name w:val="Hyperlink"/>
    <w:basedOn w:val="DefaultParagraphFont"/>
    <w:uiPriority w:val="99"/>
    <w:unhideWhenUsed/>
    <w:qFormat/>
    <w:rsid w:val="009A070E"/>
    <w:rPr>
      <w:rFonts w:ascii="Arial" w:hAnsi="Arial"/>
      <w:b/>
      <w:color w:val="D5573B" w:themeColor="accent2"/>
      <w:u w:val="single"/>
    </w:rPr>
  </w:style>
  <w:style w:type="paragraph" w:customStyle="1" w:styleId="PageNumber1">
    <w:name w:val="Page Number1"/>
    <w:basedOn w:val="Footer"/>
    <w:link w:val="PagenumberChar"/>
    <w:qFormat/>
    <w:rsid w:val="009A070E"/>
    <w:pPr>
      <w:jc w:val="right"/>
    </w:pPr>
    <w:rPr>
      <w:b/>
      <w:color w:val="2C5060" w:themeColor="accent1"/>
      <w:sz w:val="28"/>
    </w:rPr>
  </w:style>
  <w:style w:type="character" w:customStyle="1" w:styleId="PagenumberChar">
    <w:name w:val="Page number Char"/>
    <w:basedOn w:val="FooterChar"/>
    <w:link w:val="PageNumber1"/>
    <w:rsid w:val="009A070E"/>
    <w:rPr>
      <w:rFonts w:ascii="Arial" w:hAnsi="Arial"/>
      <w:b/>
      <w:color w:val="2C5060" w:themeColor="accent1"/>
      <w:sz w:val="28"/>
      <w:szCs w:val="24"/>
    </w:rPr>
  </w:style>
  <w:style w:type="paragraph" w:styleId="Footer">
    <w:name w:val="footer"/>
    <w:basedOn w:val="Normal"/>
    <w:link w:val="FooterChar"/>
    <w:autoRedefine/>
    <w:uiPriority w:val="99"/>
    <w:unhideWhenUsed/>
    <w:qFormat/>
    <w:rsid w:val="009A070E"/>
    <w:pPr>
      <w:tabs>
        <w:tab w:val="center" w:pos="4513"/>
        <w:tab w:val="right" w:pos="9026"/>
      </w:tabs>
      <w:spacing w:before="120" w:after="0" w:line="240" w:lineRule="auto"/>
    </w:pPr>
    <w:rPr>
      <w:color w:val="D5573B" w:themeColor="accent2"/>
    </w:rPr>
  </w:style>
  <w:style w:type="character" w:customStyle="1" w:styleId="FooterChar">
    <w:name w:val="Footer Char"/>
    <w:basedOn w:val="DefaultParagraphFont"/>
    <w:link w:val="Footer"/>
    <w:uiPriority w:val="99"/>
    <w:rsid w:val="009A070E"/>
    <w:rPr>
      <w:rFonts w:ascii="Arial" w:hAnsi="Arial"/>
      <w:color w:val="D5573B" w:themeColor="accent2"/>
      <w:sz w:val="24"/>
      <w:szCs w:val="24"/>
    </w:rPr>
  </w:style>
  <w:style w:type="paragraph" w:styleId="Revision">
    <w:name w:val="Revision"/>
    <w:hidden/>
    <w:uiPriority w:val="99"/>
    <w:semiHidden/>
    <w:rsid w:val="009A070E"/>
    <w:pPr>
      <w:spacing w:after="0" w:line="240" w:lineRule="auto"/>
    </w:pPr>
    <w:rPr>
      <w:rFonts w:ascii="Arial" w:hAnsi="Arial"/>
      <w:color w:val="000000" w:themeColor="text1"/>
      <w:sz w:val="24"/>
    </w:rPr>
  </w:style>
  <w:style w:type="character" w:styleId="FollowedHyperlink">
    <w:name w:val="FollowedHyperlink"/>
    <w:basedOn w:val="DefaultParagraphFont"/>
    <w:uiPriority w:val="99"/>
    <w:semiHidden/>
    <w:unhideWhenUsed/>
    <w:qFormat/>
    <w:rsid w:val="009A070E"/>
    <w:rPr>
      <w:b/>
      <w:color w:val="323E4F" w:themeColor="text2" w:themeShade="BF"/>
      <w:u w:val="single"/>
    </w:rPr>
  </w:style>
  <w:style w:type="paragraph" w:styleId="CommentSubject">
    <w:name w:val="annotation subject"/>
    <w:basedOn w:val="CommentText"/>
    <w:next w:val="CommentText"/>
    <w:link w:val="CommentSubjectChar"/>
    <w:uiPriority w:val="99"/>
    <w:semiHidden/>
    <w:unhideWhenUsed/>
    <w:rsid w:val="009A070E"/>
    <w:rPr>
      <w:b/>
      <w:bCs/>
    </w:rPr>
  </w:style>
  <w:style w:type="character" w:customStyle="1" w:styleId="CommentSubjectChar">
    <w:name w:val="Comment Subject Char"/>
    <w:basedOn w:val="CommentTextChar"/>
    <w:link w:val="CommentSubject"/>
    <w:uiPriority w:val="99"/>
    <w:semiHidden/>
    <w:rsid w:val="009A070E"/>
    <w:rPr>
      <w:rFonts w:ascii="Arial" w:hAnsi="Arial"/>
      <w:b/>
      <w:bCs/>
      <w:sz w:val="20"/>
      <w:szCs w:val="20"/>
    </w:rPr>
  </w:style>
  <w:style w:type="character" w:customStyle="1" w:styleId="Heading2Char">
    <w:name w:val="Heading 2 Char"/>
    <w:basedOn w:val="DefaultParagraphFont"/>
    <w:link w:val="Heading2"/>
    <w:uiPriority w:val="9"/>
    <w:rsid w:val="00300602"/>
    <w:rPr>
      <w:rFonts w:ascii="Arial" w:hAnsi="Arial" w:cs="Arial"/>
      <w:b/>
      <w:bCs/>
      <w:color w:val="2C5060" w:themeColor="accent1"/>
      <w:kern w:val="2"/>
      <w:sz w:val="52"/>
      <w:szCs w:val="52"/>
      <w14:ligatures w14:val="standardContextual"/>
    </w:rPr>
  </w:style>
  <w:style w:type="character" w:customStyle="1" w:styleId="Heading3Char">
    <w:name w:val="Heading 3 Char"/>
    <w:basedOn w:val="DefaultParagraphFont"/>
    <w:link w:val="Heading3"/>
    <w:uiPriority w:val="9"/>
    <w:rsid w:val="007E276A"/>
    <w:rPr>
      <w:rFonts w:ascii="Arial" w:hAnsi="Arial" w:cs="Arial"/>
      <w:b/>
      <w:bCs/>
      <w:color w:val="595959" w:themeColor="text1" w:themeTint="A6"/>
      <w:kern w:val="2"/>
      <w:sz w:val="28"/>
      <w:szCs w:val="28"/>
      <w14:ligatures w14:val="standardContextual"/>
    </w:rPr>
  </w:style>
  <w:style w:type="character" w:customStyle="1" w:styleId="Heading4Char">
    <w:name w:val="Heading 4 Char"/>
    <w:basedOn w:val="DefaultParagraphFont"/>
    <w:link w:val="Heading4"/>
    <w:uiPriority w:val="9"/>
    <w:rsid w:val="009A070E"/>
    <w:rPr>
      <w:rFonts w:ascii="Arial" w:hAnsi="Arial" w:cstheme="minorHAnsi"/>
      <w:b/>
      <w:color w:val="5C5B5A"/>
      <w:sz w:val="28"/>
      <w:szCs w:val="24"/>
    </w:rPr>
  </w:style>
  <w:style w:type="character" w:customStyle="1" w:styleId="Heading5Char">
    <w:name w:val="Heading 5 Char"/>
    <w:basedOn w:val="DefaultParagraphFont"/>
    <w:link w:val="Heading5"/>
    <w:uiPriority w:val="9"/>
    <w:rsid w:val="009A070E"/>
    <w:rPr>
      <w:rFonts w:ascii="Arial" w:hAnsi="Arial" w:cs="Arial"/>
      <w:b/>
      <w:bCs/>
      <w:color w:val="5C5B5A"/>
      <w:sz w:val="24"/>
      <w:szCs w:val="24"/>
    </w:rPr>
  </w:style>
  <w:style w:type="paragraph" w:styleId="NoSpacing">
    <w:name w:val="No Spacing"/>
    <w:link w:val="NoSpacingChar"/>
    <w:autoRedefine/>
    <w:uiPriority w:val="1"/>
    <w:qFormat/>
    <w:rsid w:val="009A070E"/>
    <w:pPr>
      <w:spacing w:after="0" w:line="240" w:lineRule="auto"/>
    </w:pPr>
    <w:rPr>
      <w:rFonts w:ascii="Arial" w:hAnsi="Arial"/>
      <w:color w:val="262626" w:themeColor="text1" w:themeTint="D9"/>
      <w:sz w:val="24"/>
      <w:szCs w:val="24"/>
    </w:rPr>
  </w:style>
  <w:style w:type="paragraph" w:styleId="Title">
    <w:name w:val="Title"/>
    <w:basedOn w:val="Normal"/>
    <w:next w:val="Normal"/>
    <w:link w:val="TitleChar"/>
    <w:uiPriority w:val="10"/>
    <w:qFormat/>
    <w:rsid w:val="009A070E"/>
    <w:pPr>
      <w:spacing w:after="280" w:line="780" w:lineRule="exact"/>
    </w:pPr>
    <w:rPr>
      <w:color w:val="FFFFFF" w:themeColor="background1"/>
      <w:sz w:val="65"/>
      <w:szCs w:val="65"/>
    </w:rPr>
  </w:style>
  <w:style w:type="character" w:customStyle="1" w:styleId="TitleChar">
    <w:name w:val="Title Char"/>
    <w:basedOn w:val="DefaultParagraphFont"/>
    <w:link w:val="Title"/>
    <w:uiPriority w:val="10"/>
    <w:rsid w:val="009A070E"/>
    <w:rPr>
      <w:color w:val="FFFFFF" w:themeColor="background1"/>
      <w:sz w:val="65"/>
      <w:szCs w:val="65"/>
    </w:rPr>
  </w:style>
  <w:style w:type="paragraph" w:customStyle="1" w:styleId="Whitecoverelement">
    <w:name w:val="White cover element"/>
    <w:basedOn w:val="Normal"/>
    <w:link w:val="WhitecoverelementChar"/>
    <w:autoRedefine/>
    <w:rsid w:val="009A070E"/>
    <w:rPr>
      <w:b/>
      <w:color w:val="FFFFFF" w:themeColor="background1"/>
      <w:sz w:val="36"/>
    </w:rPr>
  </w:style>
  <w:style w:type="character" w:customStyle="1" w:styleId="WhitecoverelementChar">
    <w:name w:val="White cover element Char"/>
    <w:basedOn w:val="DefaultParagraphFont"/>
    <w:link w:val="Whitecoverelement"/>
    <w:rsid w:val="009A070E"/>
    <w:rPr>
      <w:rFonts w:ascii="Arial" w:hAnsi="Arial"/>
      <w:b/>
      <w:color w:val="FFFFFF" w:themeColor="background1"/>
      <w:sz w:val="36"/>
      <w:szCs w:val="24"/>
    </w:rPr>
  </w:style>
  <w:style w:type="paragraph" w:customStyle="1" w:styleId="Whitesmall">
    <w:name w:val="White small"/>
    <w:basedOn w:val="Normal"/>
    <w:link w:val="WhitesmallChar"/>
    <w:autoRedefine/>
    <w:rsid w:val="009A070E"/>
    <w:rPr>
      <w:color w:val="FFFFFF" w:themeColor="background1"/>
      <w:sz w:val="32"/>
    </w:rPr>
  </w:style>
  <w:style w:type="character" w:customStyle="1" w:styleId="WhitesmallChar">
    <w:name w:val="White small Char"/>
    <w:basedOn w:val="DefaultParagraphFont"/>
    <w:link w:val="Whitesmall"/>
    <w:rsid w:val="009A070E"/>
    <w:rPr>
      <w:rFonts w:ascii="Arial" w:hAnsi="Arial"/>
      <w:color w:val="FFFFFF" w:themeColor="background1"/>
      <w:sz w:val="32"/>
      <w:szCs w:val="24"/>
    </w:rPr>
  </w:style>
  <w:style w:type="character" w:styleId="FootnoteReference">
    <w:name w:val="footnote reference"/>
    <w:basedOn w:val="DefaultParagraphFont"/>
    <w:uiPriority w:val="99"/>
    <w:unhideWhenUsed/>
    <w:qFormat/>
    <w:rsid w:val="009A070E"/>
    <w:rPr>
      <w:rFonts w:ascii="Arial" w:hAnsi="Arial"/>
      <w:sz w:val="24"/>
      <w:bdr w:val="none" w:sz="0" w:space="0" w:color="auto"/>
      <w:vertAlign w:val="superscript"/>
    </w:rPr>
  </w:style>
  <w:style w:type="paragraph" w:styleId="BalloonText">
    <w:name w:val="Balloon Text"/>
    <w:basedOn w:val="Normal"/>
    <w:link w:val="BalloonTextChar"/>
    <w:uiPriority w:val="99"/>
    <w:semiHidden/>
    <w:unhideWhenUsed/>
    <w:rsid w:val="009A0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0E"/>
    <w:rPr>
      <w:rFonts w:ascii="Segoe UI" w:hAnsi="Segoe UI" w:cs="Segoe UI"/>
      <w:sz w:val="18"/>
      <w:szCs w:val="18"/>
    </w:rPr>
  </w:style>
  <w:style w:type="paragraph" w:customStyle="1" w:styleId="Default">
    <w:name w:val="Default"/>
    <w:rsid w:val="009A070E"/>
    <w:pPr>
      <w:autoSpaceDE w:val="0"/>
      <w:autoSpaceDN w:val="0"/>
      <w:adjustRightInd w:val="0"/>
      <w:spacing w:after="0" w:line="240" w:lineRule="auto"/>
    </w:pPr>
    <w:rPr>
      <w:rFonts w:ascii="FGAZL W+ Colfax" w:hAnsi="FGAZL W+ Colfax" w:cs="FGAZL W+ Colfax"/>
      <w:color w:val="000000"/>
      <w:sz w:val="24"/>
      <w:szCs w:val="24"/>
    </w:rPr>
  </w:style>
  <w:style w:type="character" w:styleId="EndnoteReference">
    <w:name w:val="endnote reference"/>
    <w:basedOn w:val="DefaultParagraphFont"/>
    <w:uiPriority w:val="99"/>
    <w:semiHidden/>
    <w:unhideWhenUsed/>
    <w:rsid w:val="009A070E"/>
    <w:rPr>
      <w:vertAlign w:val="superscript"/>
    </w:rPr>
  </w:style>
  <w:style w:type="paragraph" w:styleId="EndnoteText">
    <w:name w:val="endnote text"/>
    <w:basedOn w:val="Normal"/>
    <w:link w:val="EndnoteTextChar"/>
    <w:uiPriority w:val="99"/>
    <w:semiHidden/>
    <w:unhideWhenUsed/>
    <w:rsid w:val="009A07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070E"/>
    <w:rPr>
      <w:rFonts w:ascii="Arial" w:hAnsi="Arial"/>
      <w:sz w:val="20"/>
      <w:szCs w:val="20"/>
    </w:rPr>
  </w:style>
  <w:style w:type="character" w:customStyle="1" w:styleId="eop">
    <w:name w:val="eop"/>
    <w:basedOn w:val="DefaultParagraphFont"/>
    <w:rsid w:val="009A070E"/>
  </w:style>
  <w:style w:type="paragraph" w:styleId="FootnoteText">
    <w:name w:val="footnote text"/>
    <w:basedOn w:val="Normal"/>
    <w:link w:val="FootnoteTextChar"/>
    <w:uiPriority w:val="99"/>
    <w:unhideWhenUsed/>
    <w:rsid w:val="009A070E"/>
    <w:pPr>
      <w:spacing w:after="0" w:line="240" w:lineRule="auto"/>
    </w:pPr>
    <w:rPr>
      <w:sz w:val="20"/>
      <w:szCs w:val="20"/>
    </w:rPr>
  </w:style>
  <w:style w:type="character" w:customStyle="1" w:styleId="FootnoteTextChar">
    <w:name w:val="Footnote Text Char"/>
    <w:basedOn w:val="DefaultParagraphFont"/>
    <w:link w:val="FootnoteText"/>
    <w:uiPriority w:val="99"/>
    <w:rsid w:val="009A070E"/>
    <w:rPr>
      <w:rFonts w:ascii="Arial" w:hAnsi="Arial"/>
      <w:sz w:val="20"/>
      <w:szCs w:val="20"/>
    </w:rPr>
  </w:style>
  <w:style w:type="paragraph" w:styleId="NormalWeb">
    <w:name w:val="Normal (Web)"/>
    <w:aliases w:val="Numbered paragraphs"/>
    <w:basedOn w:val="Normal"/>
    <w:autoRedefine/>
    <w:uiPriority w:val="99"/>
    <w:unhideWhenUsed/>
    <w:rsid w:val="009A070E"/>
    <w:pPr>
      <w:numPr>
        <w:numId w:val="22"/>
      </w:numPr>
      <w:shd w:val="clear" w:color="auto" w:fill="FFFFFF"/>
      <w:spacing w:after="225"/>
    </w:pPr>
    <w:rPr>
      <w:rFonts w:eastAsia="Times New Roman"/>
      <w:lang w:eastAsia="en-GB"/>
    </w:rPr>
  </w:style>
  <w:style w:type="character" w:customStyle="1" w:styleId="normaltextrun">
    <w:name w:val="normaltextrun"/>
    <w:basedOn w:val="DefaultParagraphFont"/>
    <w:rsid w:val="009A070E"/>
  </w:style>
  <w:style w:type="paragraph" w:customStyle="1" w:styleId="paragraph">
    <w:name w:val="paragraph"/>
    <w:basedOn w:val="Normal"/>
    <w:rsid w:val="009A070E"/>
    <w:pPr>
      <w:spacing w:before="100" w:beforeAutospacing="1" w:after="100" w:afterAutospacing="1" w:line="240" w:lineRule="auto"/>
    </w:pPr>
    <w:rPr>
      <w:rFonts w:ascii="Times New Roman" w:eastAsia="Times New Roman" w:hAnsi="Times New Roman"/>
      <w:lang w:eastAsia="en-GB"/>
    </w:rPr>
  </w:style>
  <w:style w:type="table" w:styleId="PlainTable1">
    <w:name w:val="Plain Table 1"/>
    <w:basedOn w:val="TableNormal"/>
    <w:uiPriority w:val="41"/>
    <w:rsid w:val="009A070E"/>
    <w:pPr>
      <w:spacing w:after="0" w:line="240" w:lineRule="auto"/>
    </w:pPr>
    <w:rPr>
      <w:rFonts w:ascii="Arial" w:hAnsi="Arial"/>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rsid w:val="009A070E"/>
    <w:rPr>
      <w:b/>
      <w:bCs/>
    </w:rPr>
  </w:style>
  <w:style w:type="paragraph" w:styleId="Subtitle">
    <w:name w:val="Subtitle"/>
    <w:basedOn w:val="Normal"/>
    <w:next w:val="Normal"/>
    <w:link w:val="SubtitleChar"/>
    <w:uiPriority w:val="11"/>
    <w:qFormat/>
    <w:rsid w:val="009A070E"/>
    <w:rPr>
      <w:b/>
      <w:bCs/>
      <w:color w:val="FFFFFF" w:themeColor="background1"/>
      <w:sz w:val="32"/>
      <w:szCs w:val="28"/>
    </w:rPr>
  </w:style>
  <w:style w:type="character" w:customStyle="1" w:styleId="SubtitleChar">
    <w:name w:val="Subtitle Char"/>
    <w:basedOn w:val="DefaultParagraphFont"/>
    <w:link w:val="Subtitle"/>
    <w:uiPriority w:val="11"/>
    <w:rsid w:val="009A070E"/>
    <w:rPr>
      <w:rFonts w:ascii="Arial" w:hAnsi="Arial"/>
      <w:b/>
      <w:bCs/>
      <w:color w:val="FFFFFF" w:themeColor="background1"/>
      <w:sz w:val="32"/>
      <w:szCs w:val="28"/>
    </w:rPr>
  </w:style>
  <w:style w:type="paragraph" w:styleId="TOC1">
    <w:name w:val="toc 1"/>
    <w:basedOn w:val="Normal"/>
    <w:next w:val="Normal"/>
    <w:autoRedefine/>
    <w:uiPriority w:val="39"/>
    <w:unhideWhenUsed/>
    <w:rsid w:val="009A070E"/>
    <w:pPr>
      <w:tabs>
        <w:tab w:val="right" w:leader="dot" w:pos="9016"/>
      </w:tabs>
      <w:spacing w:after="100"/>
    </w:pPr>
    <w:rPr>
      <w:rFonts w:eastAsiaTheme="minorEastAsia"/>
      <w:bCs/>
      <w:noProof/>
      <w:lang w:val="en-US"/>
    </w:rPr>
  </w:style>
  <w:style w:type="paragraph" w:styleId="TOC2">
    <w:name w:val="toc 2"/>
    <w:basedOn w:val="Normal"/>
    <w:next w:val="Normal"/>
    <w:autoRedefine/>
    <w:uiPriority w:val="39"/>
    <w:unhideWhenUsed/>
    <w:rsid w:val="009A070E"/>
    <w:pPr>
      <w:spacing w:after="100"/>
    </w:pPr>
    <w:rPr>
      <w:rFonts w:eastAsiaTheme="minorEastAsia"/>
      <w:lang w:val="en-US"/>
    </w:rPr>
  </w:style>
  <w:style w:type="paragraph" w:styleId="TOC3">
    <w:name w:val="toc 3"/>
    <w:basedOn w:val="Normal"/>
    <w:next w:val="Normal"/>
    <w:autoRedefine/>
    <w:uiPriority w:val="39"/>
    <w:unhideWhenUsed/>
    <w:rsid w:val="009A070E"/>
    <w:pPr>
      <w:spacing w:after="100"/>
    </w:pPr>
    <w:rPr>
      <w:rFonts w:eastAsiaTheme="minorEastAsia"/>
      <w:lang w:val="en-US"/>
    </w:rPr>
  </w:style>
  <w:style w:type="paragraph" w:styleId="TOCHeading">
    <w:name w:val="TOC Heading"/>
    <w:basedOn w:val="Heading1"/>
    <w:next w:val="Normal"/>
    <w:uiPriority w:val="39"/>
    <w:unhideWhenUsed/>
    <w:rsid w:val="009A070E"/>
    <w:pPr>
      <w:outlineLvl w:val="9"/>
    </w:pPr>
    <w:rPr>
      <w:rFonts w:asciiTheme="majorHAnsi" w:hAnsiTheme="majorHAnsi" w:cstheme="majorBidi"/>
      <w:b w:val="0"/>
      <w:bCs w:val="0"/>
      <w:noProof w:val="0"/>
      <w:color w:val="213B47" w:themeColor="accent1" w:themeShade="BF"/>
      <w:sz w:val="32"/>
      <w:lang w:val="en-US"/>
    </w:rPr>
  </w:style>
  <w:style w:type="character" w:styleId="UnresolvedMention">
    <w:name w:val="Unresolved Mention"/>
    <w:basedOn w:val="DefaultParagraphFont"/>
    <w:uiPriority w:val="99"/>
    <w:semiHidden/>
    <w:unhideWhenUsed/>
    <w:rsid w:val="009A070E"/>
    <w:rPr>
      <w:color w:val="605E5C"/>
      <w:shd w:val="clear" w:color="auto" w:fill="E1DFDD"/>
    </w:rPr>
  </w:style>
  <w:style w:type="table" w:customStyle="1" w:styleId="Katestable">
    <w:name w:val="Kate's table"/>
    <w:basedOn w:val="TableNormal"/>
    <w:uiPriority w:val="99"/>
    <w:rsid w:val="009A070E"/>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lineimageindent">
    <w:name w:val="Inline image indent"/>
    <w:basedOn w:val="Normal"/>
    <w:link w:val="InlineimageindentChar"/>
    <w:autoRedefine/>
    <w:rsid w:val="009A070E"/>
    <w:pPr>
      <w:ind w:left="709"/>
    </w:pPr>
    <w:rPr>
      <w:rFonts w:cs="Arial"/>
    </w:rPr>
  </w:style>
  <w:style w:type="character" w:customStyle="1" w:styleId="InlineimageindentChar">
    <w:name w:val="Inline image indent Char"/>
    <w:basedOn w:val="DefaultParagraphFont"/>
    <w:link w:val="Inlineimageindent"/>
    <w:rsid w:val="009A070E"/>
    <w:rPr>
      <w:rFonts w:ascii="Arial" w:hAnsi="Arial" w:cs="Arial"/>
      <w:sz w:val="24"/>
      <w:szCs w:val="24"/>
    </w:rPr>
  </w:style>
  <w:style w:type="paragraph" w:styleId="BodyText">
    <w:name w:val="Body Text"/>
    <w:basedOn w:val="Normal"/>
    <w:link w:val="BodyTextChar"/>
    <w:uiPriority w:val="99"/>
    <w:semiHidden/>
    <w:unhideWhenUsed/>
    <w:rsid w:val="009A070E"/>
    <w:pPr>
      <w:spacing w:after="120"/>
    </w:pPr>
  </w:style>
  <w:style w:type="character" w:customStyle="1" w:styleId="BodyTextChar">
    <w:name w:val="Body Text Char"/>
    <w:basedOn w:val="DefaultParagraphFont"/>
    <w:link w:val="BodyText"/>
    <w:uiPriority w:val="99"/>
    <w:semiHidden/>
    <w:rsid w:val="009A070E"/>
    <w:rPr>
      <w:rFonts w:ascii="Arial" w:hAnsi="Arial"/>
      <w:sz w:val="24"/>
      <w:szCs w:val="24"/>
    </w:rPr>
  </w:style>
  <w:style w:type="character" w:customStyle="1" w:styleId="NoSpacingChar">
    <w:name w:val="No Spacing Char"/>
    <w:basedOn w:val="DefaultParagraphFont"/>
    <w:link w:val="NoSpacing"/>
    <w:uiPriority w:val="1"/>
    <w:rsid w:val="009A070E"/>
    <w:rPr>
      <w:rFonts w:ascii="Arial" w:hAnsi="Arial"/>
      <w:color w:val="262626" w:themeColor="text1" w:themeTint="D9"/>
      <w:sz w:val="24"/>
      <w:szCs w:val="24"/>
    </w:rPr>
  </w:style>
  <w:style w:type="table" w:customStyle="1" w:styleId="KL-table">
    <w:name w:val="KL-table"/>
    <w:basedOn w:val="TableNormal"/>
    <w:uiPriority w:val="99"/>
    <w:rsid w:val="009A070E"/>
    <w:pPr>
      <w:spacing w:after="0" w:line="240" w:lineRule="auto"/>
    </w:pPr>
    <w:rPr>
      <w:rFonts w:ascii="Arial" w:hAnsi="Arial"/>
      <w:sz w:val="24"/>
      <w:szCs w:val="24"/>
    </w:rPr>
    <w:tblPr/>
  </w:style>
  <w:style w:type="table" w:styleId="GridTable5Dark-Accent1">
    <w:name w:val="Grid Table 5 Dark Accent 1"/>
    <w:basedOn w:val="TableNormal"/>
    <w:uiPriority w:val="50"/>
    <w:rsid w:val="009A07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F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06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06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06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060" w:themeFill="accent1"/>
      </w:tcPr>
    </w:tblStylePr>
    <w:tblStylePr w:type="band1Vert">
      <w:tblPr/>
      <w:tcPr>
        <w:shd w:val="clear" w:color="auto" w:fill="99BFD0" w:themeFill="accent1" w:themeFillTint="66"/>
      </w:tcPr>
    </w:tblStylePr>
    <w:tblStylePr w:type="band1Horz">
      <w:tblPr/>
      <w:tcPr>
        <w:shd w:val="clear" w:color="auto" w:fill="99BFD0" w:themeFill="accent1" w:themeFillTint="66"/>
      </w:tcPr>
    </w:tblStylePr>
  </w:style>
  <w:style w:type="paragraph" w:customStyle="1" w:styleId="Frontpagesub-title">
    <w:name w:val="Front page sub-title"/>
    <w:basedOn w:val="Normal"/>
    <w:link w:val="Frontpagesub-titleChar"/>
    <w:autoRedefine/>
    <w:qFormat/>
    <w:rsid w:val="009A070E"/>
    <w:pPr>
      <w:spacing w:before="1200" w:line="240" w:lineRule="auto"/>
      <w:contextualSpacing/>
    </w:pPr>
    <w:rPr>
      <w:color w:val="FFFFFF" w:themeColor="background1"/>
      <w:sz w:val="36"/>
      <w:szCs w:val="32"/>
    </w:rPr>
  </w:style>
  <w:style w:type="character" w:customStyle="1" w:styleId="Frontpagesub-titleChar">
    <w:name w:val="Front page sub-title Char"/>
    <w:basedOn w:val="DefaultParagraphFont"/>
    <w:link w:val="Frontpagesub-title"/>
    <w:rsid w:val="009A070E"/>
    <w:rPr>
      <w:rFonts w:ascii="Arial" w:hAnsi="Arial"/>
      <w:color w:val="FFFFFF" w:themeColor="background1"/>
      <w:sz w:val="36"/>
      <w:szCs w:val="32"/>
    </w:rPr>
  </w:style>
  <w:style w:type="paragraph" w:customStyle="1" w:styleId="pf0">
    <w:name w:val="pf0"/>
    <w:basedOn w:val="Normal"/>
    <w:rsid w:val="00DC4CE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f01">
    <w:name w:val="cf01"/>
    <w:basedOn w:val="DefaultParagraphFont"/>
    <w:rsid w:val="00DC4C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352449">
      <w:bodyDiv w:val="1"/>
      <w:marLeft w:val="0"/>
      <w:marRight w:val="0"/>
      <w:marTop w:val="0"/>
      <w:marBottom w:val="0"/>
      <w:divBdr>
        <w:top w:val="none" w:sz="0" w:space="0" w:color="auto"/>
        <w:left w:val="none" w:sz="0" w:space="0" w:color="auto"/>
        <w:bottom w:val="none" w:sz="0" w:space="0" w:color="auto"/>
        <w:right w:val="none" w:sz="0" w:space="0" w:color="auto"/>
      </w:divBdr>
    </w:div>
    <w:div w:id="488324770">
      <w:bodyDiv w:val="1"/>
      <w:marLeft w:val="0"/>
      <w:marRight w:val="0"/>
      <w:marTop w:val="0"/>
      <w:marBottom w:val="0"/>
      <w:divBdr>
        <w:top w:val="none" w:sz="0" w:space="0" w:color="auto"/>
        <w:left w:val="none" w:sz="0" w:space="0" w:color="auto"/>
        <w:bottom w:val="none" w:sz="0" w:space="0" w:color="auto"/>
        <w:right w:val="none" w:sz="0" w:space="0" w:color="auto"/>
      </w:divBdr>
    </w:div>
    <w:div w:id="725227269">
      <w:bodyDiv w:val="1"/>
      <w:marLeft w:val="0"/>
      <w:marRight w:val="0"/>
      <w:marTop w:val="0"/>
      <w:marBottom w:val="0"/>
      <w:divBdr>
        <w:top w:val="none" w:sz="0" w:space="0" w:color="auto"/>
        <w:left w:val="none" w:sz="0" w:space="0" w:color="auto"/>
        <w:bottom w:val="none" w:sz="0" w:space="0" w:color="auto"/>
        <w:right w:val="none" w:sz="0" w:space="0" w:color="auto"/>
      </w:divBdr>
    </w:div>
    <w:div w:id="838040175">
      <w:bodyDiv w:val="1"/>
      <w:marLeft w:val="0"/>
      <w:marRight w:val="0"/>
      <w:marTop w:val="0"/>
      <w:marBottom w:val="0"/>
      <w:divBdr>
        <w:top w:val="none" w:sz="0" w:space="0" w:color="auto"/>
        <w:left w:val="none" w:sz="0" w:space="0" w:color="auto"/>
        <w:bottom w:val="none" w:sz="0" w:space="0" w:color="auto"/>
        <w:right w:val="none" w:sz="0" w:space="0" w:color="auto"/>
      </w:divBdr>
      <w:divsChild>
        <w:div w:id="1537350556">
          <w:marLeft w:val="274"/>
          <w:marRight w:val="0"/>
          <w:marTop w:val="0"/>
          <w:marBottom w:val="0"/>
          <w:divBdr>
            <w:top w:val="none" w:sz="0" w:space="0" w:color="auto"/>
            <w:left w:val="none" w:sz="0" w:space="0" w:color="auto"/>
            <w:bottom w:val="none" w:sz="0" w:space="0" w:color="auto"/>
            <w:right w:val="none" w:sz="0" w:space="0" w:color="auto"/>
          </w:divBdr>
        </w:div>
      </w:divsChild>
    </w:div>
    <w:div w:id="1408265473">
      <w:bodyDiv w:val="1"/>
      <w:marLeft w:val="0"/>
      <w:marRight w:val="0"/>
      <w:marTop w:val="0"/>
      <w:marBottom w:val="0"/>
      <w:divBdr>
        <w:top w:val="none" w:sz="0" w:space="0" w:color="auto"/>
        <w:left w:val="none" w:sz="0" w:space="0" w:color="auto"/>
        <w:bottom w:val="none" w:sz="0" w:space="0" w:color="auto"/>
        <w:right w:val="none" w:sz="0" w:space="0" w:color="auto"/>
      </w:divBdr>
    </w:div>
    <w:div w:id="1507746599">
      <w:bodyDiv w:val="1"/>
      <w:marLeft w:val="0"/>
      <w:marRight w:val="0"/>
      <w:marTop w:val="0"/>
      <w:marBottom w:val="0"/>
      <w:divBdr>
        <w:top w:val="none" w:sz="0" w:space="0" w:color="auto"/>
        <w:left w:val="none" w:sz="0" w:space="0" w:color="auto"/>
        <w:bottom w:val="none" w:sz="0" w:space="0" w:color="auto"/>
        <w:right w:val="none" w:sz="0" w:space="0" w:color="auto"/>
      </w:divBdr>
    </w:div>
    <w:div w:id="1512404167">
      <w:bodyDiv w:val="1"/>
      <w:marLeft w:val="0"/>
      <w:marRight w:val="0"/>
      <w:marTop w:val="0"/>
      <w:marBottom w:val="0"/>
      <w:divBdr>
        <w:top w:val="none" w:sz="0" w:space="0" w:color="auto"/>
        <w:left w:val="none" w:sz="0" w:space="0" w:color="auto"/>
        <w:bottom w:val="none" w:sz="0" w:space="0" w:color="auto"/>
        <w:right w:val="none" w:sz="0" w:space="0" w:color="auto"/>
      </w:divBdr>
    </w:div>
    <w:div w:id="1990475807">
      <w:bodyDiv w:val="1"/>
      <w:marLeft w:val="0"/>
      <w:marRight w:val="0"/>
      <w:marTop w:val="0"/>
      <w:marBottom w:val="0"/>
      <w:divBdr>
        <w:top w:val="none" w:sz="0" w:space="0" w:color="auto"/>
        <w:left w:val="none" w:sz="0" w:space="0" w:color="auto"/>
        <w:bottom w:val="none" w:sz="0" w:space="0" w:color="auto"/>
        <w:right w:val="none" w:sz="0" w:space="0" w:color="auto"/>
      </w:divBdr>
    </w:div>
    <w:div w:id="1991443244">
      <w:bodyDiv w:val="1"/>
      <w:marLeft w:val="0"/>
      <w:marRight w:val="0"/>
      <w:marTop w:val="0"/>
      <w:marBottom w:val="0"/>
      <w:divBdr>
        <w:top w:val="none" w:sz="0" w:space="0" w:color="auto"/>
        <w:left w:val="none" w:sz="0" w:space="0" w:color="auto"/>
        <w:bottom w:val="none" w:sz="0" w:space="0" w:color="auto"/>
        <w:right w:val="none" w:sz="0" w:space="0" w:color="auto"/>
      </w:divBdr>
    </w:div>
    <w:div w:id="211806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s.gov.uk/employmentandlabourmarket/peopleinwork/employmentandemployeetypes/bulletins/approximatedsocialgradeenglandandwales/census2021" TargetMode="External"/><Relationship Id="rId18" Type="http://schemas.openxmlformats.org/officeDocument/2006/relationships/hyperlink" Target="https://www.nomisweb.co.uk/query/construct/summary.asp?mode=construct&amp;version=0&amp;dataset=2320" TargetMode="External"/><Relationship Id="rId26"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hyperlink" Target="https://www.nomisweb.co.uk/query/construct/summary.asp?mode=construct&amp;version=0&amp;dataset=2320" TargetMode="External"/><Relationship Id="rId7" Type="http://schemas.openxmlformats.org/officeDocument/2006/relationships/settings" Target="settings.xml"/><Relationship Id="rId12" Type="http://schemas.openxmlformats.org/officeDocument/2006/relationships/hyperlink" Target="https://www.ons.gov.uk/employmentandlabourmarket/peopleinwork/employmentandemployeetypes/bulletins/approximatedsocialgradeenglandandwales/census2021" TargetMode="External"/><Relationship Id="rId17" Type="http://schemas.openxmlformats.org/officeDocument/2006/relationships/chart" Target="charts/chart2.xml"/><Relationship Id="rId25" Type="http://schemas.openxmlformats.org/officeDocument/2006/relationships/hyperlink" Target="https://www.nomisweb.co.uk/datasets/c2021rm10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omisweb.co.uk/datasets/c2021rm102" TargetMode="External"/><Relationship Id="rId20" Type="http://schemas.openxmlformats.org/officeDocument/2006/relationships/chart" Target="charts/chart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omisweb.co.uk/query/construct/summary.asp?mode=construct&amp;version=0&amp;dataset=232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omisweb.co.uk/query/construct/summary.asp?mode=construct&amp;version=0&amp;dataset=2320" TargetMode="External"/><Relationship Id="rId23" Type="http://schemas.openxmlformats.org/officeDocument/2006/relationships/chart" Target="charts/chart4.xml"/><Relationship Id="rId28" Type="http://schemas.openxmlformats.org/officeDocument/2006/relationships/hyperlink" Target="https://www.nomisweb.co.uk/datasets/c2021rm102" TargetMode="External"/><Relationship Id="rId10" Type="http://schemas.openxmlformats.org/officeDocument/2006/relationships/endnotes" Target="endnotes.xml"/><Relationship Id="rId19" Type="http://schemas.openxmlformats.org/officeDocument/2006/relationships/hyperlink" Target="https://www.nomisweb.co.uk/datasets/c2021rm102"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yperlink" Target="https://www.nomisweb.co.uk/datasets/c2021rm102" TargetMode="External"/><Relationship Id="rId27" Type="http://schemas.openxmlformats.org/officeDocument/2006/relationships/hyperlink" Target="https://www.nomisweb.co.uk/query/construct/summary.asp?mode=construct&amp;version=0&amp;dataset=2316" TargetMode="External"/><Relationship Id="rId30" Type="http://schemas.openxmlformats.org/officeDocument/2006/relationships/footer" Target="footer1.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https://greatermanchesterca-my.sharepoint.com/personal/william_phillips_greatermanchester-ca_gov_uk/Documents/Employment%20and%20skills/Census/ASG/Data%20mast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greatermanchesterca-my.sharepoint.com/personal/william_phillips_greatermanchester-ca_gov_uk/Documents/Employment%20and%20skills/Census/ASG/Data%20mast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greatermanchesterca-my.sharepoint.com/personal/william_phillips_greatermanchester-ca_gov_uk/Documents/Employment%20and%20skills/Census/ASG/Data%20maste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greatermanchesterca-my.sharepoint.com/personal/william_phillips_greatermanchester-ca_gov_uk/Documents/Employment%20and%20skills/Census/ASG/Data%20maste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greatermanchesterca-my.sharepoint.com/personal/william_phillips_greatermanchester-ca_gov_uk/Documents/Employment%20and%20skills/Census/ASG/Data%20master.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4813007392467"/>
          <c:y val="5.146198830409357E-2"/>
          <c:w val="0.78507792885295502"/>
          <c:h val="0.69986720081042508"/>
        </c:manualLayout>
      </c:layout>
      <c:barChart>
        <c:barDir val="bar"/>
        <c:grouping val="clustered"/>
        <c:varyColors val="0"/>
        <c:ser>
          <c:idx val="0"/>
          <c:order val="0"/>
          <c:tx>
            <c:strRef>
              <c:f>Charts!$B$24</c:f>
              <c:strCache>
                <c:ptCount val="1"/>
                <c:pt idx="0">
                  <c:v>#</c:v>
                </c:pt>
              </c:strCache>
            </c:strRef>
          </c:tx>
          <c:spPr>
            <a:solidFill>
              <a:schemeClr val="accent1"/>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1-DC42-456C-9605-7F1EC80D693B}"/>
              </c:ext>
            </c:extLst>
          </c:dPt>
          <c:dPt>
            <c:idx val="1"/>
            <c:invertIfNegative val="0"/>
            <c:bubble3D val="0"/>
            <c:spPr>
              <a:solidFill>
                <a:schemeClr val="accent3"/>
              </a:solidFill>
              <a:ln>
                <a:noFill/>
              </a:ln>
              <a:effectLst/>
            </c:spPr>
            <c:extLst>
              <c:ext xmlns:c16="http://schemas.microsoft.com/office/drawing/2014/chart" uri="{C3380CC4-5D6E-409C-BE32-E72D297353CC}">
                <c16:uniqueId val="{00000002-DC42-456C-9605-7F1EC80D693B}"/>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3-DC42-456C-9605-7F1EC80D693B}"/>
              </c:ext>
            </c:extLst>
          </c:dPt>
          <c:dPt>
            <c:idx val="3"/>
            <c:invertIfNegative val="0"/>
            <c:bubble3D val="0"/>
            <c:spPr>
              <a:solidFill>
                <a:schemeClr val="accent5"/>
              </a:solidFill>
              <a:ln>
                <a:noFill/>
              </a:ln>
              <a:effectLst/>
            </c:spPr>
            <c:extLst>
              <c:ext xmlns:c16="http://schemas.microsoft.com/office/drawing/2014/chart" uri="{C3380CC4-5D6E-409C-BE32-E72D297353CC}">
                <c16:uniqueId val="{00000006-DAEC-4EB6-8A01-1708E9AE59BB}"/>
              </c:ext>
            </c:extLst>
          </c:dPt>
          <c:dLbls>
            <c:dLbl>
              <c:idx val="3"/>
              <c:numFmt formatCode="#,##0" sourceLinked="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6-DAEC-4EB6-8A01-1708E9AE59BB}"/>
                </c:ext>
              </c:extLst>
            </c:dLbl>
            <c:numFmt formatCode="#,##0" sourceLinked="0"/>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Charts!$A$25:$A$28</c:f>
              <c:strCache>
                <c:ptCount val="4"/>
                <c:pt idx="0">
                  <c:v>DE</c:v>
                </c:pt>
                <c:pt idx="1">
                  <c:v>C2</c:v>
                </c:pt>
                <c:pt idx="2">
                  <c:v>C1</c:v>
                </c:pt>
                <c:pt idx="3">
                  <c:v>AB</c:v>
                </c:pt>
              </c:strCache>
            </c:strRef>
          </c:cat>
          <c:val>
            <c:numRef>
              <c:f>Charts!$B$25:$B$28</c:f>
              <c:numCache>
                <c:formatCode>General</c:formatCode>
                <c:ptCount val="4"/>
                <c:pt idx="0">
                  <c:v>449501</c:v>
                </c:pt>
                <c:pt idx="1">
                  <c:v>343454</c:v>
                </c:pt>
                <c:pt idx="2">
                  <c:v>582780</c:v>
                </c:pt>
                <c:pt idx="3">
                  <c:v>345637</c:v>
                </c:pt>
              </c:numCache>
            </c:numRef>
          </c:val>
          <c:extLst>
            <c:ext xmlns:c16="http://schemas.microsoft.com/office/drawing/2014/chart" uri="{C3380CC4-5D6E-409C-BE32-E72D297353CC}">
              <c16:uniqueId val="{00000000-DC42-456C-9605-7F1EC80D693B}"/>
            </c:ext>
          </c:extLst>
        </c:ser>
        <c:dLbls>
          <c:showLegendKey val="0"/>
          <c:showVal val="0"/>
          <c:showCatName val="0"/>
          <c:showSerName val="0"/>
          <c:showPercent val="0"/>
          <c:showBubbleSize val="0"/>
        </c:dLbls>
        <c:gapWidth val="182"/>
        <c:axId val="1345007775"/>
        <c:axId val="1590949887"/>
      </c:barChart>
      <c:catAx>
        <c:axId val="1345007775"/>
        <c:scaling>
          <c:orientation val="minMax"/>
        </c:scaling>
        <c:delete val="0"/>
        <c:axPos val="l"/>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b="1"/>
                  <a:t>Social Grade</a:t>
                </a:r>
              </a:p>
            </c:rich>
          </c:tx>
          <c:layout>
            <c:manualLayout>
              <c:xMode val="edge"/>
              <c:yMode val="edge"/>
              <c:x val="2.8805672501661866E-2"/>
              <c:y val="0.28589842059216281"/>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90949887"/>
        <c:crosses val="autoZero"/>
        <c:auto val="1"/>
        <c:lblAlgn val="ctr"/>
        <c:lblOffset val="100"/>
        <c:noMultiLvlLbl val="0"/>
      </c:catAx>
      <c:valAx>
        <c:axId val="159094988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b="1"/>
                  <a:t>Number</a:t>
                </a:r>
                <a:r>
                  <a:rPr lang="en-GB" sz="1200" b="1" baseline="0"/>
                  <a:t> of people</a:t>
                </a:r>
                <a:endParaRPr lang="en-GB" sz="1200" b="1"/>
              </a:p>
            </c:rich>
          </c:tx>
          <c:layout>
            <c:manualLayout>
              <c:xMode val="edge"/>
              <c:yMode val="edge"/>
              <c:x val="0.46949843932925178"/>
              <c:y val="0.87368421052631584"/>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450077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31714785651794"/>
          <c:y val="9.2592592592592587E-2"/>
          <c:w val="0.85212729658792663"/>
          <c:h val="0.67669445563047814"/>
        </c:manualLayout>
      </c:layout>
      <c:barChart>
        <c:barDir val="col"/>
        <c:grouping val="clustered"/>
        <c:varyColors val="0"/>
        <c:ser>
          <c:idx val="0"/>
          <c:order val="0"/>
          <c:tx>
            <c:strRef>
              <c:f>Charts!$B$31</c:f>
              <c:strCache>
                <c:ptCount val="1"/>
                <c:pt idx="0">
                  <c:v>AB</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Charts!$A$32:$A$34</c:f>
              <c:strCache>
                <c:ptCount val="3"/>
                <c:pt idx="0">
                  <c:v>England</c:v>
                </c:pt>
                <c:pt idx="1">
                  <c:v>North West</c:v>
                </c:pt>
                <c:pt idx="2">
                  <c:v>Greater Manchester</c:v>
                </c:pt>
              </c:strCache>
            </c:strRef>
          </c:cat>
          <c:val>
            <c:numRef>
              <c:f>Charts!$B$32:$B$34</c:f>
              <c:numCache>
                <c:formatCode>0.0%</c:formatCode>
                <c:ptCount val="3"/>
                <c:pt idx="0">
                  <c:v>0.23400920593551641</c:v>
                </c:pt>
                <c:pt idx="1">
                  <c:v>0.20431976847456448</c:v>
                </c:pt>
                <c:pt idx="2">
                  <c:v>0.20079157788089966</c:v>
                </c:pt>
              </c:numCache>
            </c:numRef>
          </c:val>
          <c:extLst>
            <c:ext xmlns:c16="http://schemas.microsoft.com/office/drawing/2014/chart" uri="{C3380CC4-5D6E-409C-BE32-E72D297353CC}">
              <c16:uniqueId val="{00000000-8B97-4C5C-915F-38A24CEF5837}"/>
            </c:ext>
          </c:extLst>
        </c:ser>
        <c:ser>
          <c:idx val="1"/>
          <c:order val="1"/>
          <c:tx>
            <c:strRef>
              <c:f>Charts!$C$31</c:f>
              <c:strCache>
                <c:ptCount val="1"/>
                <c:pt idx="0">
                  <c:v>C1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Charts!$A$32:$A$34</c:f>
              <c:strCache>
                <c:ptCount val="3"/>
                <c:pt idx="0">
                  <c:v>England</c:v>
                </c:pt>
                <c:pt idx="1">
                  <c:v>North West</c:v>
                </c:pt>
                <c:pt idx="2">
                  <c:v>Greater Manchester</c:v>
                </c:pt>
              </c:strCache>
            </c:strRef>
          </c:cat>
          <c:val>
            <c:numRef>
              <c:f>Charts!$C$32:$C$34</c:f>
              <c:numCache>
                <c:formatCode>0.0%</c:formatCode>
                <c:ptCount val="3"/>
                <c:pt idx="0">
                  <c:v>0.33534049350540168</c:v>
                </c:pt>
                <c:pt idx="1">
                  <c:v>0.33704902291225436</c:v>
                </c:pt>
                <c:pt idx="2">
                  <c:v>0.33855552431432601</c:v>
                </c:pt>
              </c:numCache>
            </c:numRef>
          </c:val>
          <c:extLst>
            <c:ext xmlns:c16="http://schemas.microsoft.com/office/drawing/2014/chart" uri="{C3380CC4-5D6E-409C-BE32-E72D297353CC}">
              <c16:uniqueId val="{00000001-8B97-4C5C-915F-38A24CEF5837}"/>
            </c:ext>
          </c:extLst>
        </c:ser>
        <c:ser>
          <c:idx val="2"/>
          <c:order val="2"/>
          <c:tx>
            <c:strRef>
              <c:f>Charts!$D$31</c:f>
              <c:strCache>
                <c:ptCount val="1"/>
                <c:pt idx="0">
                  <c:v>C2</c:v>
                </c:pt>
              </c:strCache>
            </c:strRef>
          </c:tx>
          <c:spPr>
            <a:solidFill>
              <a:schemeClr val="accent3"/>
            </a:solidFill>
            <a:ln>
              <a:noFill/>
            </a:ln>
            <a:effectLst/>
          </c:spPr>
          <c:invertIfNegative val="0"/>
          <c:dLbls>
            <c:dLbl>
              <c:idx val="0"/>
              <c:layout>
                <c:manualLayout>
                  <c:x val="-9.479796184382036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B97-4C5C-915F-38A24CEF583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Charts!$A$32:$A$34</c:f>
              <c:strCache>
                <c:ptCount val="3"/>
                <c:pt idx="0">
                  <c:v>England</c:v>
                </c:pt>
                <c:pt idx="1">
                  <c:v>North West</c:v>
                </c:pt>
                <c:pt idx="2">
                  <c:v>Greater Manchester</c:v>
                </c:pt>
              </c:strCache>
            </c:strRef>
          </c:cat>
          <c:val>
            <c:numRef>
              <c:f>Charts!$D$32:$D$34</c:f>
              <c:numCache>
                <c:formatCode>0.0%</c:formatCode>
                <c:ptCount val="3"/>
                <c:pt idx="0">
                  <c:v>0.21334956732703592</c:v>
                </c:pt>
                <c:pt idx="1">
                  <c:v>0.21237579202705245</c:v>
                </c:pt>
                <c:pt idx="2">
                  <c:v>0.19952340342471006</c:v>
                </c:pt>
              </c:numCache>
            </c:numRef>
          </c:val>
          <c:extLst>
            <c:ext xmlns:c16="http://schemas.microsoft.com/office/drawing/2014/chart" uri="{C3380CC4-5D6E-409C-BE32-E72D297353CC}">
              <c16:uniqueId val="{00000002-8B97-4C5C-915F-38A24CEF5837}"/>
            </c:ext>
          </c:extLst>
        </c:ser>
        <c:ser>
          <c:idx val="3"/>
          <c:order val="3"/>
          <c:tx>
            <c:strRef>
              <c:f>Charts!$E$31</c:f>
              <c:strCache>
                <c:ptCount val="1"/>
                <c:pt idx="0">
                  <c:v>DE</c:v>
                </c:pt>
              </c:strCache>
            </c:strRef>
          </c:tx>
          <c:spPr>
            <a:solidFill>
              <a:schemeClr val="accent4"/>
            </a:solidFill>
            <a:ln>
              <a:noFill/>
            </a:ln>
            <a:effectLst/>
          </c:spPr>
          <c:invertIfNegative val="0"/>
          <c:dLbls>
            <c:dLbl>
              <c:idx val="0"/>
              <c:layout>
                <c:manualLayout>
                  <c:x val="2.3699490460955045E-2"/>
                  <c:y val="3.641660597232337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B97-4C5C-915F-38A24CEF583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Charts!$A$32:$A$34</c:f>
              <c:strCache>
                <c:ptCount val="3"/>
                <c:pt idx="0">
                  <c:v>England</c:v>
                </c:pt>
                <c:pt idx="1">
                  <c:v>North West</c:v>
                </c:pt>
                <c:pt idx="2">
                  <c:v>Greater Manchester</c:v>
                </c:pt>
              </c:strCache>
            </c:strRef>
          </c:cat>
          <c:val>
            <c:numRef>
              <c:f>Charts!$E$32:$E$34</c:f>
              <c:numCache>
                <c:formatCode>0.0%</c:formatCode>
                <c:ptCount val="3"/>
                <c:pt idx="0">
                  <c:v>0.21730073323204602</c:v>
                </c:pt>
                <c:pt idx="1">
                  <c:v>0.24625541658612871</c:v>
                </c:pt>
                <c:pt idx="2">
                  <c:v>0.26112949438006428</c:v>
                </c:pt>
              </c:numCache>
            </c:numRef>
          </c:val>
          <c:extLst>
            <c:ext xmlns:c16="http://schemas.microsoft.com/office/drawing/2014/chart" uri="{C3380CC4-5D6E-409C-BE32-E72D297353CC}">
              <c16:uniqueId val="{00000003-8B97-4C5C-915F-38A24CEF5837}"/>
            </c:ext>
          </c:extLst>
        </c:ser>
        <c:dLbls>
          <c:dLblPos val="outEnd"/>
          <c:showLegendKey val="0"/>
          <c:showVal val="1"/>
          <c:showCatName val="0"/>
          <c:showSerName val="0"/>
          <c:showPercent val="0"/>
          <c:showBubbleSize val="0"/>
        </c:dLbls>
        <c:gapWidth val="219"/>
        <c:overlap val="-27"/>
        <c:axId val="1371042399"/>
        <c:axId val="489917791"/>
      </c:barChart>
      <c:catAx>
        <c:axId val="1371042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89917791"/>
        <c:crosses val="autoZero"/>
        <c:auto val="1"/>
        <c:lblAlgn val="ctr"/>
        <c:lblOffset val="100"/>
        <c:noMultiLvlLbl val="0"/>
      </c:catAx>
      <c:valAx>
        <c:axId val="4899177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710423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368963835272806E-2"/>
          <c:y val="9.755233157525138E-2"/>
          <c:w val="0.88529475297888649"/>
          <c:h val="0.61740205639432677"/>
        </c:manualLayout>
      </c:layout>
      <c:barChart>
        <c:barDir val="col"/>
        <c:grouping val="stacked"/>
        <c:varyColors val="0"/>
        <c:ser>
          <c:idx val="0"/>
          <c:order val="0"/>
          <c:tx>
            <c:strRef>
              <c:f>Charts!$B$2</c:f>
              <c:strCache>
                <c:ptCount val="1"/>
                <c:pt idx="0">
                  <c:v>AB</c:v>
                </c:pt>
              </c:strCache>
            </c:strRef>
          </c:tx>
          <c:spPr>
            <a:solidFill>
              <a:schemeClr val="accent5"/>
            </a:solidFill>
            <a:ln>
              <a:noFill/>
            </a:ln>
            <a:effectLst/>
          </c:spPr>
          <c:invertIfNegative val="0"/>
          <c:dLbls>
            <c:dLbl>
              <c:idx val="1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F8D-47D1-8835-04BAD31D5C8D}"/>
                </c:ext>
              </c:extLst>
            </c:dLbl>
            <c:dLbl>
              <c:idx val="1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F8D-47D1-8835-04BAD31D5C8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Charts!$A$3:$A$15</c:f>
              <c:strCache>
                <c:ptCount val="13"/>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North West</c:v>
                </c:pt>
                <c:pt idx="12">
                  <c:v>England</c:v>
                </c:pt>
              </c:strCache>
            </c:strRef>
          </c:cat>
          <c:val>
            <c:numRef>
              <c:f>Charts!$B$3:$B$15</c:f>
              <c:numCache>
                <c:formatCode>0.0%</c:formatCode>
                <c:ptCount val="13"/>
                <c:pt idx="0">
                  <c:v>0.16591470557533722</c:v>
                </c:pt>
                <c:pt idx="1">
                  <c:v>0.22488000352283236</c:v>
                </c:pt>
                <c:pt idx="2">
                  <c:v>0.19225609946315081</c:v>
                </c:pt>
                <c:pt idx="3">
                  <c:v>0.14013752344149571</c:v>
                </c:pt>
                <c:pt idx="4">
                  <c:v>0.15129103313243797</c:v>
                </c:pt>
                <c:pt idx="5">
                  <c:v>0.19846664001316996</c:v>
                </c:pt>
                <c:pt idx="6">
                  <c:v>0.28584502745576573</c:v>
                </c:pt>
                <c:pt idx="7">
                  <c:v>0.14682205848224647</c:v>
                </c:pt>
                <c:pt idx="8">
                  <c:v>0.35207792019276829</c:v>
                </c:pt>
                <c:pt idx="9">
                  <c:v>0.16897386203997089</c:v>
                </c:pt>
                <c:pt idx="10">
                  <c:v>0.20079157788089966</c:v>
                </c:pt>
                <c:pt idx="11">
                  <c:v>0.20431976847456448</c:v>
                </c:pt>
                <c:pt idx="12">
                  <c:v>0.23400920593551641</c:v>
                </c:pt>
              </c:numCache>
            </c:numRef>
          </c:val>
          <c:extLst>
            <c:ext xmlns:c16="http://schemas.microsoft.com/office/drawing/2014/chart" uri="{C3380CC4-5D6E-409C-BE32-E72D297353CC}">
              <c16:uniqueId val="{00000000-668A-4064-A52E-BC1D97D92502}"/>
            </c:ext>
          </c:extLst>
        </c:ser>
        <c:ser>
          <c:idx val="1"/>
          <c:order val="1"/>
          <c:tx>
            <c:strRef>
              <c:f>Charts!$C$2</c:f>
              <c:strCache>
                <c:ptCount val="1"/>
                <c:pt idx="0">
                  <c:v>C1</c:v>
                </c:pt>
              </c:strCache>
            </c:strRef>
          </c:tx>
          <c:spPr>
            <a:solidFill>
              <a:schemeClr val="accent2"/>
            </a:solidFill>
            <a:ln>
              <a:noFill/>
            </a:ln>
            <a:effectLst/>
          </c:spPr>
          <c:invertIfNegative val="0"/>
          <c:dLbls>
            <c:dLbl>
              <c:idx val="1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F8D-47D1-8835-04BAD31D5C8D}"/>
                </c:ext>
              </c:extLst>
            </c:dLbl>
            <c:dLbl>
              <c:idx val="1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C9-4016-BCEB-DC5E613EB5D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Charts!$A$3:$A$15</c:f>
              <c:strCache>
                <c:ptCount val="13"/>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North West</c:v>
                </c:pt>
                <c:pt idx="12">
                  <c:v>England</c:v>
                </c:pt>
              </c:strCache>
            </c:strRef>
          </c:cat>
          <c:val>
            <c:numRef>
              <c:f>Charts!$C$3:$C$15</c:f>
              <c:numCache>
                <c:formatCode>0.0%</c:formatCode>
                <c:ptCount val="13"/>
                <c:pt idx="0">
                  <c:v>0.31767939781254712</c:v>
                </c:pt>
                <c:pt idx="1">
                  <c:v>0.35102382315381569</c:v>
                </c:pt>
                <c:pt idx="2">
                  <c:v>0.34494474111844997</c:v>
                </c:pt>
                <c:pt idx="3">
                  <c:v>0.30002983463090299</c:v>
                </c:pt>
                <c:pt idx="4">
                  <c:v>0.30800471135313734</c:v>
                </c:pt>
                <c:pt idx="5">
                  <c:v>0.37069330448484278</c:v>
                </c:pt>
                <c:pt idx="6">
                  <c:v>0.35800441169568686</c:v>
                </c:pt>
                <c:pt idx="7">
                  <c:v>0.34650585982826643</c:v>
                </c:pt>
                <c:pt idx="8">
                  <c:v>0.34008796504623245</c:v>
                </c:pt>
                <c:pt idx="9">
                  <c:v>0.33476379446478194</c:v>
                </c:pt>
                <c:pt idx="10">
                  <c:v>0.33855552431432601</c:v>
                </c:pt>
                <c:pt idx="11">
                  <c:v>0.33704902291225436</c:v>
                </c:pt>
                <c:pt idx="12">
                  <c:v>0.33534049350540168</c:v>
                </c:pt>
              </c:numCache>
            </c:numRef>
          </c:val>
          <c:extLst>
            <c:ext xmlns:c16="http://schemas.microsoft.com/office/drawing/2014/chart" uri="{C3380CC4-5D6E-409C-BE32-E72D297353CC}">
              <c16:uniqueId val="{00000001-668A-4064-A52E-BC1D97D92502}"/>
            </c:ext>
          </c:extLst>
        </c:ser>
        <c:ser>
          <c:idx val="2"/>
          <c:order val="2"/>
          <c:tx>
            <c:strRef>
              <c:f>Charts!$D$2</c:f>
              <c:strCache>
                <c:ptCount val="1"/>
                <c:pt idx="0">
                  <c:v>C2</c:v>
                </c:pt>
              </c:strCache>
            </c:strRef>
          </c:tx>
          <c:spPr>
            <a:solidFill>
              <a:schemeClr val="accent3"/>
            </a:solidFill>
            <a:ln>
              <a:noFill/>
            </a:ln>
            <a:effectLst/>
          </c:spPr>
          <c:invertIfNegative val="0"/>
          <c:dLbls>
            <c:dLbl>
              <c:idx val="1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F8D-47D1-8835-04BAD31D5C8D}"/>
                </c:ext>
              </c:extLst>
            </c:dLbl>
            <c:dLbl>
              <c:idx val="1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C9-4016-BCEB-DC5E613EB5D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Charts!$A$3:$A$15</c:f>
              <c:strCache>
                <c:ptCount val="13"/>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North West</c:v>
                </c:pt>
                <c:pt idx="12">
                  <c:v>England</c:v>
                </c:pt>
              </c:strCache>
            </c:strRef>
          </c:cat>
          <c:val>
            <c:numRef>
              <c:f>Charts!$D$3:$D$15</c:f>
              <c:numCache>
                <c:formatCode>0.0%</c:formatCode>
                <c:ptCount val="13"/>
                <c:pt idx="0">
                  <c:v>0.213044688525731</c:v>
                </c:pt>
                <c:pt idx="1">
                  <c:v>0.20102162138359242</c:v>
                </c:pt>
                <c:pt idx="2">
                  <c:v>0.16198495234151888</c:v>
                </c:pt>
                <c:pt idx="3">
                  <c:v>0.23273853497755298</c:v>
                </c:pt>
                <c:pt idx="4">
                  <c:v>0.2300838253740019</c:v>
                </c:pt>
                <c:pt idx="5">
                  <c:v>0.17808259448272618</c:v>
                </c:pt>
                <c:pt idx="6">
                  <c:v>0.17737128643168912</c:v>
                </c:pt>
                <c:pt idx="7">
                  <c:v>0.24287102576003713</c:v>
                </c:pt>
                <c:pt idx="8">
                  <c:v>0.14768982886008333</c:v>
                </c:pt>
                <c:pt idx="9">
                  <c:v>0.25412987971821455</c:v>
                </c:pt>
                <c:pt idx="10">
                  <c:v>0.19952340342471006</c:v>
                </c:pt>
                <c:pt idx="11">
                  <c:v>0.21237579202705245</c:v>
                </c:pt>
                <c:pt idx="12">
                  <c:v>0.21334956732703592</c:v>
                </c:pt>
              </c:numCache>
            </c:numRef>
          </c:val>
          <c:extLst>
            <c:ext xmlns:c16="http://schemas.microsoft.com/office/drawing/2014/chart" uri="{C3380CC4-5D6E-409C-BE32-E72D297353CC}">
              <c16:uniqueId val="{00000002-668A-4064-A52E-BC1D97D92502}"/>
            </c:ext>
          </c:extLst>
        </c:ser>
        <c:ser>
          <c:idx val="3"/>
          <c:order val="3"/>
          <c:tx>
            <c:strRef>
              <c:f>Charts!$E$2</c:f>
              <c:strCache>
                <c:ptCount val="1"/>
                <c:pt idx="0">
                  <c:v>DE</c:v>
                </c:pt>
              </c:strCache>
            </c:strRef>
          </c:tx>
          <c:spPr>
            <a:solidFill>
              <a:schemeClr val="accent4"/>
            </a:solidFill>
            <a:ln>
              <a:noFill/>
            </a:ln>
            <a:effectLst/>
          </c:spPr>
          <c:invertIfNegative val="0"/>
          <c:dLbls>
            <c:dLbl>
              <c:idx val="1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F8D-47D1-8835-04BAD31D5C8D}"/>
                </c:ext>
              </c:extLst>
            </c:dLbl>
            <c:dLbl>
              <c:idx val="1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F8D-47D1-8835-04BAD31D5C8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Charts!$A$3:$A$15</c:f>
              <c:strCache>
                <c:ptCount val="13"/>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North West</c:v>
                </c:pt>
                <c:pt idx="12">
                  <c:v>England</c:v>
                </c:pt>
              </c:strCache>
            </c:strRef>
          </c:cat>
          <c:val>
            <c:numRef>
              <c:f>Charts!$E$3:$E$15</c:f>
              <c:numCache>
                <c:formatCode>0.0%</c:formatCode>
                <c:ptCount val="13"/>
                <c:pt idx="0">
                  <c:v>0.30336120808638467</c:v>
                </c:pt>
                <c:pt idx="1">
                  <c:v>0.22307455193975956</c:v>
                </c:pt>
                <c:pt idx="2">
                  <c:v>0.30081420707688034</c:v>
                </c:pt>
                <c:pt idx="3">
                  <c:v>0.32709410695004831</c:v>
                </c:pt>
                <c:pt idx="4">
                  <c:v>0.31062043014042279</c:v>
                </c:pt>
                <c:pt idx="5">
                  <c:v>0.25275746101926105</c:v>
                </c:pt>
                <c:pt idx="6">
                  <c:v>0.17877927441685831</c:v>
                </c:pt>
                <c:pt idx="7">
                  <c:v>0.26380105592944997</c:v>
                </c:pt>
                <c:pt idx="8">
                  <c:v>0.16014428590091595</c:v>
                </c:pt>
                <c:pt idx="9">
                  <c:v>0.24213246377703265</c:v>
                </c:pt>
                <c:pt idx="10">
                  <c:v>0.26112949438006428</c:v>
                </c:pt>
                <c:pt idx="11">
                  <c:v>0.24625541658612871</c:v>
                </c:pt>
                <c:pt idx="12">
                  <c:v>0.21730073323204602</c:v>
                </c:pt>
              </c:numCache>
            </c:numRef>
          </c:val>
          <c:extLst>
            <c:ext xmlns:c16="http://schemas.microsoft.com/office/drawing/2014/chart" uri="{C3380CC4-5D6E-409C-BE32-E72D297353CC}">
              <c16:uniqueId val="{00000003-668A-4064-A52E-BC1D97D92502}"/>
            </c:ext>
          </c:extLst>
        </c:ser>
        <c:dLbls>
          <c:dLblPos val="ctr"/>
          <c:showLegendKey val="0"/>
          <c:showVal val="1"/>
          <c:showCatName val="0"/>
          <c:showSerName val="0"/>
          <c:showPercent val="0"/>
          <c:showBubbleSize val="0"/>
        </c:dLbls>
        <c:gapWidth val="150"/>
        <c:overlap val="100"/>
        <c:axId val="767311263"/>
        <c:axId val="833982239"/>
      </c:barChart>
      <c:catAx>
        <c:axId val="767311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crossAx val="833982239"/>
        <c:crosses val="autoZero"/>
        <c:auto val="1"/>
        <c:lblAlgn val="ctr"/>
        <c:lblOffset val="100"/>
        <c:noMultiLvlLbl val="0"/>
      </c:catAx>
      <c:valAx>
        <c:axId val="833982239"/>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crossAx val="767311263"/>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lumMod val="75000"/>
              <a:lumOff val="25000"/>
            </a:schemeClr>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54007864630747"/>
          <c:y val="7.9610718303069261E-2"/>
          <c:w val="0.81568280573986651"/>
          <c:h val="0.71107042342598736"/>
        </c:manualLayout>
      </c:layout>
      <c:barChart>
        <c:barDir val="col"/>
        <c:grouping val="clustered"/>
        <c:varyColors val="0"/>
        <c:ser>
          <c:idx val="0"/>
          <c:order val="0"/>
          <c:tx>
            <c:strRef>
              <c:f>Charts!$A$19</c:f>
              <c:strCache>
                <c:ptCount val="1"/>
                <c:pt idx="0">
                  <c:v>2001</c:v>
                </c:pt>
              </c:strCache>
            </c:strRef>
          </c:tx>
          <c:spPr>
            <a:solidFill>
              <a:schemeClr val="accent4"/>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5-7BDC-4772-BC18-41543CAD4460}"/>
                </c:ext>
              </c:extLst>
            </c:dLbl>
            <c:dLbl>
              <c:idx val="2"/>
              <c:delete val="1"/>
              <c:extLst>
                <c:ext xmlns:c15="http://schemas.microsoft.com/office/drawing/2012/chart" uri="{CE6537A1-D6FC-4f65-9D91-7224C49458BB}"/>
                <c:ext xmlns:c16="http://schemas.microsoft.com/office/drawing/2014/chart" uri="{C3380CC4-5D6E-409C-BE32-E72D297353CC}">
                  <c16:uniqueId val="{00000002-7BDC-4772-BC18-41543CAD446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Charts!$B$18:$E$18</c:f>
              <c:strCache>
                <c:ptCount val="4"/>
                <c:pt idx="0">
                  <c:v>AB</c:v>
                </c:pt>
                <c:pt idx="1">
                  <c:v>C1</c:v>
                </c:pt>
                <c:pt idx="2">
                  <c:v>C2</c:v>
                </c:pt>
                <c:pt idx="3">
                  <c:v>DE</c:v>
                </c:pt>
              </c:strCache>
            </c:strRef>
          </c:cat>
          <c:val>
            <c:numRef>
              <c:f>Charts!$B$19:$E$19</c:f>
              <c:numCache>
                <c:formatCode>0.0%</c:formatCode>
                <c:ptCount val="4"/>
                <c:pt idx="0">
                  <c:v>0.21863010232120628</c:v>
                </c:pt>
                <c:pt idx="1">
                  <c:v>0.28670450566051242</c:v>
                </c:pt>
                <c:pt idx="2">
                  <c:v>0.18475585285990712</c:v>
                </c:pt>
                <c:pt idx="3">
                  <c:v>0.30990953915837421</c:v>
                </c:pt>
              </c:numCache>
            </c:numRef>
          </c:val>
          <c:extLst>
            <c:ext xmlns:c16="http://schemas.microsoft.com/office/drawing/2014/chart" uri="{C3380CC4-5D6E-409C-BE32-E72D297353CC}">
              <c16:uniqueId val="{00000000-A7D9-4E47-9351-1A54C51DF401}"/>
            </c:ext>
          </c:extLst>
        </c:ser>
        <c:ser>
          <c:idx val="1"/>
          <c:order val="1"/>
          <c:tx>
            <c:strRef>
              <c:f>Charts!$A$20</c:f>
              <c:strCache>
                <c:ptCount val="1"/>
                <c:pt idx="0">
                  <c:v>2011</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6-7BDC-4772-BC18-41543CAD4460}"/>
                </c:ext>
              </c:extLst>
            </c:dLbl>
            <c:dLbl>
              <c:idx val="2"/>
              <c:delete val="1"/>
              <c:extLst>
                <c:ext xmlns:c15="http://schemas.microsoft.com/office/drawing/2012/chart" uri="{CE6537A1-D6FC-4f65-9D91-7224C49458BB}"/>
                <c:ext xmlns:c16="http://schemas.microsoft.com/office/drawing/2014/chart" uri="{C3380CC4-5D6E-409C-BE32-E72D297353CC}">
                  <c16:uniqueId val="{00000003-7BDC-4772-BC18-41543CAD4460}"/>
                </c:ext>
              </c:extLst>
            </c:dLbl>
            <c:dLbl>
              <c:idx val="3"/>
              <c:layout>
                <c:manualLayout>
                  <c:x val="2.5673940949933931E-3"/>
                  <c:y val="5.94579894380671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BDC-4772-BC18-41543CAD446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Charts!$B$18:$E$18</c:f>
              <c:strCache>
                <c:ptCount val="4"/>
                <c:pt idx="0">
                  <c:v>AB</c:v>
                </c:pt>
                <c:pt idx="1">
                  <c:v>C1</c:v>
                </c:pt>
                <c:pt idx="2">
                  <c:v>C2</c:v>
                </c:pt>
                <c:pt idx="3">
                  <c:v>DE</c:v>
                </c:pt>
              </c:strCache>
            </c:strRef>
          </c:cat>
          <c:val>
            <c:numRef>
              <c:f>Charts!$B$20:$E$20</c:f>
              <c:numCache>
                <c:formatCode>0.0%</c:formatCode>
                <c:ptCount val="4"/>
                <c:pt idx="0">
                  <c:v>0.19103328596714569</c:v>
                </c:pt>
                <c:pt idx="1">
                  <c:v>0.30573496855513094</c:v>
                </c:pt>
                <c:pt idx="2">
                  <c:v>0.21024693020296575</c:v>
                </c:pt>
                <c:pt idx="3">
                  <c:v>0.29298481527475762</c:v>
                </c:pt>
              </c:numCache>
            </c:numRef>
          </c:val>
          <c:extLst>
            <c:ext xmlns:c16="http://schemas.microsoft.com/office/drawing/2014/chart" uri="{C3380CC4-5D6E-409C-BE32-E72D297353CC}">
              <c16:uniqueId val="{00000001-A7D9-4E47-9351-1A54C51DF401}"/>
            </c:ext>
          </c:extLst>
        </c:ser>
        <c:ser>
          <c:idx val="2"/>
          <c:order val="2"/>
          <c:tx>
            <c:strRef>
              <c:f>Charts!$A$21</c:f>
              <c:strCache>
                <c:ptCount val="1"/>
                <c:pt idx="0">
                  <c:v>2021</c:v>
                </c:pt>
              </c:strCache>
            </c:strRef>
          </c:tx>
          <c:spPr>
            <a:solidFill>
              <a:schemeClr val="accent3"/>
            </a:solidFill>
            <a:ln>
              <a:noFill/>
            </a:ln>
            <a:effectLst/>
          </c:spPr>
          <c:invertIfNegative val="0"/>
          <c:dLbls>
            <c:dLbl>
              <c:idx val="0"/>
              <c:layout>
                <c:manualLayout>
                  <c:x val="7.7021822849807449E-3"/>
                  <c:y val="4.016064257028112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DC-4772-BC18-41543CAD4460}"/>
                </c:ext>
              </c:extLst>
            </c:dLbl>
            <c:dLbl>
              <c:idx val="1"/>
              <c:delete val="1"/>
              <c:extLst>
                <c:ext xmlns:c15="http://schemas.microsoft.com/office/drawing/2012/chart" uri="{CE6537A1-D6FC-4f65-9D91-7224C49458BB}"/>
                <c:ext xmlns:c16="http://schemas.microsoft.com/office/drawing/2014/chart" uri="{C3380CC4-5D6E-409C-BE32-E72D297353CC}">
                  <c16:uniqueId val="{00000000-748C-4B0F-9865-1DB2D1D3D60D}"/>
                </c:ext>
              </c:extLst>
            </c:dLbl>
            <c:dLbl>
              <c:idx val="2"/>
              <c:delete val="1"/>
              <c:extLst>
                <c:ext xmlns:c15="http://schemas.microsoft.com/office/drawing/2012/chart" uri="{CE6537A1-D6FC-4f65-9D91-7224C49458BB}"/>
                <c:ext xmlns:c16="http://schemas.microsoft.com/office/drawing/2014/chart" uri="{C3380CC4-5D6E-409C-BE32-E72D297353CC}">
                  <c16:uniqueId val="{00000004-7BDC-4772-BC18-41543CAD4460}"/>
                </c:ext>
              </c:extLst>
            </c:dLbl>
            <c:dLbl>
              <c:idx val="3"/>
              <c:layout>
                <c:manualLayout>
                  <c:x val="5.1347881899871627E-3"/>
                  <c:y val="8.03212851405622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DC-4772-BC18-41543CAD446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Charts!$B$18:$E$18</c:f>
              <c:strCache>
                <c:ptCount val="4"/>
                <c:pt idx="0">
                  <c:v>AB</c:v>
                </c:pt>
                <c:pt idx="1">
                  <c:v>C1</c:v>
                </c:pt>
                <c:pt idx="2">
                  <c:v>C2</c:v>
                </c:pt>
                <c:pt idx="3">
                  <c:v>DE</c:v>
                </c:pt>
              </c:strCache>
            </c:strRef>
          </c:cat>
          <c:val>
            <c:numRef>
              <c:f>Charts!$B$21:$E$21</c:f>
              <c:numCache>
                <c:formatCode>0.0%</c:formatCode>
                <c:ptCount val="4"/>
                <c:pt idx="0">
                  <c:v>0.20079157788089966</c:v>
                </c:pt>
                <c:pt idx="1">
                  <c:v>0.33855552431432601</c:v>
                </c:pt>
                <c:pt idx="2">
                  <c:v>0.19952340342471006</c:v>
                </c:pt>
                <c:pt idx="3">
                  <c:v>0.26112949438006428</c:v>
                </c:pt>
              </c:numCache>
            </c:numRef>
          </c:val>
          <c:extLst>
            <c:ext xmlns:c16="http://schemas.microsoft.com/office/drawing/2014/chart" uri="{C3380CC4-5D6E-409C-BE32-E72D297353CC}">
              <c16:uniqueId val="{00000002-A7D9-4E47-9351-1A54C51DF401}"/>
            </c:ext>
          </c:extLst>
        </c:ser>
        <c:dLbls>
          <c:dLblPos val="outEnd"/>
          <c:showLegendKey val="0"/>
          <c:showVal val="1"/>
          <c:showCatName val="0"/>
          <c:showSerName val="0"/>
          <c:showPercent val="0"/>
          <c:showBubbleSize val="0"/>
        </c:dLbls>
        <c:gapWidth val="219"/>
        <c:overlap val="-27"/>
        <c:axId val="764422111"/>
        <c:axId val="766995391"/>
      </c:barChart>
      <c:catAx>
        <c:axId val="764422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66995391"/>
        <c:crosses val="autoZero"/>
        <c:auto val="1"/>
        <c:lblAlgn val="ctr"/>
        <c:lblOffset val="100"/>
        <c:noMultiLvlLbl val="0"/>
      </c:catAx>
      <c:valAx>
        <c:axId val="7669953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64422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221635746973758"/>
          <c:y val="5.3617056670733076E-2"/>
          <c:w val="0.45216578031754673"/>
          <c:h val="0.7437103183331133"/>
        </c:manualLayout>
      </c:layout>
      <c:barChart>
        <c:barDir val="bar"/>
        <c:grouping val="stacked"/>
        <c:varyColors val="0"/>
        <c:ser>
          <c:idx val="0"/>
          <c:order val="0"/>
          <c:tx>
            <c:strRef>
              <c:f>'Ethnicity charts'!$B$1</c:f>
              <c:strCache>
                <c:ptCount val="1"/>
                <c:pt idx="0">
                  <c:v>AB</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 charts'!$A$2:$A$7</c:f>
              <c:strCache>
                <c:ptCount val="6"/>
                <c:pt idx="0">
                  <c:v>White</c:v>
                </c:pt>
                <c:pt idx="1">
                  <c:v>Total</c:v>
                </c:pt>
                <c:pt idx="2">
                  <c:v>Other ethnic group</c:v>
                </c:pt>
                <c:pt idx="3">
                  <c:v>Mixed or Multiple ethnic groups</c:v>
                </c:pt>
                <c:pt idx="4">
                  <c:v>Black, Black British, Black Welsh, Caribbean or African</c:v>
                </c:pt>
                <c:pt idx="5">
                  <c:v>Asian, Asian British or Asian Welsh</c:v>
                </c:pt>
              </c:strCache>
            </c:strRef>
          </c:cat>
          <c:val>
            <c:numRef>
              <c:f>'Ethnicity charts'!$B$2:$B$7</c:f>
              <c:numCache>
                <c:formatCode>0.0%</c:formatCode>
                <c:ptCount val="6"/>
                <c:pt idx="0">
                  <c:v>0.21092274416620971</c:v>
                </c:pt>
                <c:pt idx="1">
                  <c:v>0.19984665641517346</c:v>
                </c:pt>
                <c:pt idx="2">
                  <c:v>0.18786470022443091</c:v>
                </c:pt>
                <c:pt idx="3">
                  <c:v>0.20654742228914924</c:v>
                </c:pt>
                <c:pt idx="4">
                  <c:v>0.13214654692839545</c:v>
                </c:pt>
                <c:pt idx="5">
                  <c:v>0.17116351094530866</c:v>
                </c:pt>
              </c:numCache>
            </c:numRef>
          </c:val>
          <c:extLst>
            <c:ext xmlns:c16="http://schemas.microsoft.com/office/drawing/2014/chart" uri="{C3380CC4-5D6E-409C-BE32-E72D297353CC}">
              <c16:uniqueId val="{00000000-F617-4490-9A9F-A727B1FE3CEF}"/>
            </c:ext>
          </c:extLst>
        </c:ser>
        <c:ser>
          <c:idx val="1"/>
          <c:order val="1"/>
          <c:tx>
            <c:strRef>
              <c:f>'Ethnicity charts'!$C$1</c:f>
              <c:strCache>
                <c:ptCount val="1"/>
                <c:pt idx="0">
                  <c:v>C1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 charts'!$A$2:$A$7</c:f>
              <c:strCache>
                <c:ptCount val="6"/>
                <c:pt idx="0">
                  <c:v>White</c:v>
                </c:pt>
                <c:pt idx="1">
                  <c:v>Total</c:v>
                </c:pt>
                <c:pt idx="2">
                  <c:v>Other ethnic group</c:v>
                </c:pt>
                <c:pt idx="3">
                  <c:v>Mixed or Multiple ethnic groups</c:v>
                </c:pt>
                <c:pt idx="4">
                  <c:v>Black, Black British, Black Welsh, Caribbean or African</c:v>
                </c:pt>
                <c:pt idx="5">
                  <c:v>Asian, Asian British or Asian Welsh</c:v>
                </c:pt>
              </c:strCache>
            </c:strRef>
          </c:cat>
          <c:val>
            <c:numRef>
              <c:f>'Ethnicity charts'!$C$2:$C$7</c:f>
              <c:numCache>
                <c:formatCode>0.0%</c:formatCode>
                <c:ptCount val="6"/>
                <c:pt idx="0">
                  <c:v>0.34529149032896062</c:v>
                </c:pt>
                <c:pt idx="1">
                  <c:v>0.3294399957461735</c:v>
                </c:pt>
                <c:pt idx="2">
                  <c:v>0.26005129849310676</c:v>
                </c:pt>
                <c:pt idx="3">
                  <c:v>0.33763053831368373</c:v>
                </c:pt>
                <c:pt idx="4">
                  <c:v>0.2914249384089645</c:v>
                </c:pt>
                <c:pt idx="5">
                  <c:v>0.2770296332793693</c:v>
                </c:pt>
              </c:numCache>
            </c:numRef>
          </c:val>
          <c:extLst>
            <c:ext xmlns:c16="http://schemas.microsoft.com/office/drawing/2014/chart" uri="{C3380CC4-5D6E-409C-BE32-E72D297353CC}">
              <c16:uniqueId val="{00000001-F617-4490-9A9F-A727B1FE3CEF}"/>
            </c:ext>
          </c:extLst>
        </c:ser>
        <c:ser>
          <c:idx val="2"/>
          <c:order val="2"/>
          <c:tx>
            <c:strRef>
              <c:f>'Ethnicity charts'!$D$1</c:f>
              <c:strCache>
                <c:ptCount val="1"/>
                <c:pt idx="0">
                  <c:v>C2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 charts'!$A$2:$A$7</c:f>
              <c:strCache>
                <c:ptCount val="6"/>
                <c:pt idx="0">
                  <c:v>White</c:v>
                </c:pt>
                <c:pt idx="1">
                  <c:v>Total</c:v>
                </c:pt>
                <c:pt idx="2">
                  <c:v>Other ethnic group</c:v>
                </c:pt>
                <c:pt idx="3">
                  <c:v>Mixed or Multiple ethnic groups</c:v>
                </c:pt>
                <c:pt idx="4">
                  <c:v>Black, Black British, Black Welsh, Caribbean or African</c:v>
                </c:pt>
                <c:pt idx="5">
                  <c:v>Asian, Asian British or Asian Welsh</c:v>
                </c:pt>
              </c:strCache>
            </c:strRef>
          </c:cat>
          <c:val>
            <c:numRef>
              <c:f>'Ethnicity charts'!$D$2:$D$7</c:f>
              <c:numCache>
                <c:formatCode>0.0%</c:formatCode>
                <c:ptCount val="6"/>
                <c:pt idx="0">
                  <c:v>0.21037791338010675</c:v>
                </c:pt>
                <c:pt idx="1">
                  <c:v>0.19836253407992563</c:v>
                </c:pt>
                <c:pt idx="2">
                  <c:v>0.1381372234690606</c:v>
                </c:pt>
                <c:pt idx="3">
                  <c:v>0.15140607974926851</c:v>
                </c:pt>
                <c:pt idx="4">
                  <c:v>0.19384089644758801</c:v>
                </c:pt>
                <c:pt idx="5">
                  <c:v>0.1635954107130288</c:v>
                </c:pt>
              </c:numCache>
            </c:numRef>
          </c:val>
          <c:extLst>
            <c:ext xmlns:c16="http://schemas.microsoft.com/office/drawing/2014/chart" uri="{C3380CC4-5D6E-409C-BE32-E72D297353CC}">
              <c16:uniqueId val="{00000002-F617-4490-9A9F-A727B1FE3CEF}"/>
            </c:ext>
          </c:extLst>
        </c:ser>
        <c:ser>
          <c:idx val="3"/>
          <c:order val="3"/>
          <c:tx>
            <c:strRef>
              <c:f>'Ethnicity charts'!$E$1</c:f>
              <c:strCache>
                <c:ptCount val="1"/>
                <c:pt idx="0">
                  <c:v>DE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 charts'!$A$2:$A$7</c:f>
              <c:strCache>
                <c:ptCount val="6"/>
                <c:pt idx="0">
                  <c:v>White</c:v>
                </c:pt>
                <c:pt idx="1">
                  <c:v>Total</c:v>
                </c:pt>
                <c:pt idx="2">
                  <c:v>Other ethnic group</c:v>
                </c:pt>
                <c:pt idx="3">
                  <c:v>Mixed or Multiple ethnic groups</c:v>
                </c:pt>
                <c:pt idx="4">
                  <c:v>Black, Black British, Black Welsh, Caribbean or African</c:v>
                </c:pt>
                <c:pt idx="5">
                  <c:v>Asian, Asian British or Asian Welsh</c:v>
                </c:pt>
              </c:strCache>
            </c:strRef>
          </c:cat>
          <c:val>
            <c:numRef>
              <c:f>'Ethnicity charts'!$E$2:$E$7</c:f>
              <c:numCache>
                <c:formatCode>0.0%</c:formatCode>
                <c:ptCount val="6"/>
                <c:pt idx="0">
                  <c:v>0.2334078521247229</c:v>
                </c:pt>
                <c:pt idx="1">
                  <c:v>0.27235081375872744</c:v>
                </c:pt>
                <c:pt idx="2">
                  <c:v>0.41394677781340172</c:v>
                </c:pt>
                <c:pt idx="3">
                  <c:v>0.30441595964789853</c:v>
                </c:pt>
                <c:pt idx="4">
                  <c:v>0.38258761821505205</c:v>
                </c:pt>
                <c:pt idx="5">
                  <c:v>0.38821144506229321</c:v>
                </c:pt>
              </c:numCache>
            </c:numRef>
          </c:val>
          <c:extLst>
            <c:ext xmlns:c16="http://schemas.microsoft.com/office/drawing/2014/chart" uri="{C3380CC4-5D6E-409C-BE32-E72D297353CC}">
              <c16:uniqueId val="{00000003-F617-4490-9A9F-A727B1FE3CEF}"/>
            </c:ext>
          </c:extLst>
        </c:ser>
        <c:dLbls>
          <c:dLblPos val="ctr"/>
          <c:showLegendKey val="0"/>
          <c:showVal val="1"/>
          <c:showCatName val="0"/>
          <c:showSerName val="0"/>
          <c:showPercent val="0"/>
          <c:showBubbleSize val="0"/>
        </c:dLbls>
        <c:gapWidth val="150"/>
        <c:overlap val="100"/>
        <c:axId val="1596680992"/>
        <c:axId val="928197696"/>
      </c:barChart>
      <c:catAx>
        <c:axId val="1596680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28197696"/>
        <c:crosses val="autoZero"/>
        <c:auto val="1"/>
        <c:lblAlgn val="ctr"/>
        <c:lblOffset val="100"/>
        <c:noMultiLvlLbl val="0"/>
      </c:catAx>
      <c:valAx>
        <c:axId val="92819769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96680992"/>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6e983a-f1d7-4d3c-91db-252f29f3e159">
      <Terms xmlns="http://schemas.microsoft.com/office/infopath/2007/PartnerControls"/>
    </lcf76f155ced4ddcb4097134ff3c332f>
    <_ip_UnifiedCompliancePolicyUIAction xmlns="http://schemas.microsoft.com/sharepoint/v3" xsi:nil="true"/>
    <TaxCatchAll xmlns="2e35a3c0-6932-4795-bc29-a2b24e509738"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8" ma:contentTypeDescription="Create a new document." ma:contentTypeScope="" ma:versionID="e7330d75805c6de7540ed961e9006a17">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7ef6cc727cb884e4b2fe2387fab48d2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1f7bd27-d9e4-4e62-be6c-eaf418590226}" ma:internalName="TaxCatchAll" ma:showField="CatchAllData" ma:web="2e35a3c0-6932-4795-bc29-a2b24e509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987E2-D33B-44BA-98B0-5EF3668E9A72}">
  <ds:schemaRefs>
    <ds:schemaRef ds:uri="http://schemas.microsoft.com/sharepoint/v3/contenttype/forms"/>
  </ds:schemaRefs>
</ds:datastoreItem>
</file>

<file path=customXml/itemProps2.xml><?xml version="1.0" encoding="utf-8"?>
<ds:datastoreItem xmlns:ds="http://schemas.openxmlformats.org/officeDocument/2006/customXml" ds:itemID="{081F4DF2-493F-49D8-95B0-ACA97CAD4612}">
  <ds:schemaRefs>
    <ds:schemaRef ds:uri="http://schemas.microsoft.com/office/2006/metadata/properties"/>
    <ds:schemaRef ds:uri="http://schemas.microsoft.com/office/infopath/2007/PartnerControls"/>
    <ds:schemaRef ds:uri="066e983a-f1d7-4d3c-91db-252f29f3e159"/>
    <ds:schemaRef ds:uri="http://schemas.microsoft.com/sharepoint/v3"/>
    <ds:schemaRef ds:uri="2e35a3c0-6932-4795-bc29-a2b24e509738"/>
  </ds:schemaRefs>
</ds:datastoreItem>
</file>

<file path=customXml/itemProps3.xml><?xml version="1.0" encoding="utf-8"?>
<ds:datastoreItem xmlns:ds="http://schemas.openxmlformats.org/officeDocument/2006/customXml" ds:itemID="{1FD1B3CA-8735-4730-992F-778E94FC32A0}">
  <ds:schemaRefs>
    <ds:schemaRef ds:uri="http://schemas.openxmlformats.org/officeDocument/2006/bibliography"/>
  </ds:schemaRefs>
</ds:datastoreItem>
</file>

<file path=customXml/itemProps4.xml><?xml version="1.0" encoding="utf-8"?>
<ds:datastoreItem xmlns:ds="http://schemas.openxmlformats.org/officeDocument/2006/customXml" ds:itemID="{268EF0EE-AFE3-4CE6-820D-B22B949A5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Ottiwell, David</dc:creator>
  <cp:keywords/>
  <dc:description/>
  <cp:lastModifiedBy>Overell, Stephen</cp:lastModifiedBy>
  <cp:revision>2</cp:revision>
  <dcterms:created xsi:type="dcterms:W3CDTF">2024-06-26T08:37:00Z</dcterms:created>
  <dcterms:modified xsi:type="dcterms:W3CDTF">2024-06-26T08:37:00Z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