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29CF3" w14:textId="712BA41B" w:rsidR="004948D5" w:rsidRPr="0007572B" w:rsidRDefault="00FE3698" w:rsidP="006F1659">
      <w:pPr>
        <w:pStyle w:val="BodyText"/>
        <w:spacing w:line="360" w:lineRule="auto"/>
        <w:rPr>
          <w:sz w:val="48"/>
          <w:szCs w:val="48"/>
        </w:rPr>
      </w:pPr>
      <w:bookmarkStart w:id="0" w:name="_Hlk126926403"/>
      <w:bookmarkEnd w:id="0"/>
      <w:r w:rsidRPr="0007572B">
        <w:rPr>
          <w:sz w:val="48"/>
          <w:szCs w:val="48"/>
        </w:rPr>
        <w:t xml:space="preserve"> </w:t>
      </w:r>
    </w:p>
    <w:p w14:paraId="761CFB49" w14:textId="77777777" w:rsidR="00D64FA5" w:rsidRPr="0007572B" w:rsidRDefault="00D64FA5" w:rsidP="006F1659">
      <w:pPr>
        <w:pStyle w:val="BodyText"/>
        <w:spacing w:line="360" w:lineRule="auto"/>
        <w:jc w:val="center"/>
        <w:rPr>
          <w:sz w:val="48"/>
          <w:szCs w:val="48"/>
        </w:rPr>
      </w:pPr>
    </w:p>
    <w:p w14:paraId="50E10BF1" w14:textId="77777777" w:rsidR="00D64FA5" w:rsidRPr="0007572B" w:rsidRDefault="00D64FA5" w:rsidP="006F1659">
      <w:pPr>
        <w:pStyle w:val="BodyText"/>
        <w:spacing w:line="360" w:lineRule="auto"/>
        <w:jc w:val="center"/>
        <w:rPr>
          <w:sz w:val="48"/>
          <w:szCs w:val="48"/>
        </w:rPr>
      </w:pPr>
      <w:r w:rsidRPr="0007572B">
        <w:rPr>
          <w:noProof/>
          <w:sz w:val="48"/>
          <w:szCs w:val="48"/>
          <w:lang w:eastAsia="en-GB"/>
        </w:rPr>
        <w:drawing>
          <wp:inline distT="0" distB="0" distL="0" distR="0" wp14:anchorId="7552A856" wp14:editId="088FC370">
            <wp:extent cx="3378835" cy="1082675"/>
            <wp:effectExtent l="0" t="0" r="0" b="3175"/>
            <wp:docPr id="26" name="Picture 26" descr="GMCA Black logo expa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CA Black logo expand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8835" cy="1082675"/>
                    </a:xfrm>
                    <a:prstGeom prst="rect">
                      <a:avLst/>
                    </a:prstGeom>
                    <a:noFill/>
                  </pic:spPr>
                </pic:pic>
              </a:graphicData>
            </a:graphic>
          </wp:inline>
        </w:drawing>
      </w:r>
    </w:p>
    <w:p w14:paraId="6493F018" w14:textId="77777777" w:rsidR="00D64FA5" w:rsidRPr="0007572B" w:rsidRDefault="00D64FA5" w:rsidP="006F1659">
      <w:pPr>
        <w:pStyle w:val="BodyText"/>
        <w:spacing w:line="360" w:lineRule="auto"/>
        <w:jc w:val="center"/>
        <w:rPr>
          <w:sz w:val="48"/>
          <w:szCs w:val="48"/>
        </w:rPr>
      </w:pPr>
    </w:p>
    <w:p w14:paraId="1A6EB6DE" w14:textId="4AEC723D" w:rsidR="00D64FA5" w:rsidRDefault="00D64FA5" w:rsidP="006F1659">
      <w:pPr>
        <w:pStyle w:val="BodyText"/>
        <w:spacing w:line="360" w:lineRule="auto"/>
        <w:jc w:val="center"/>
        <w:rPr>
          <w:sz w:val="48"/>
          <w:szCs w:val="48"/>
        </w:rPr>
      </w:pPr>
    </w:p>
    <w:p w14:paraId="6BE77363" w14:textId="77777777" w:rsidR="0049058A" w:rsidRPr="0007572B" w:rsidRDefault="0049058A" w:rsidP="006F1659">
      <w:pPr>
        <w:pStyle w:val="BodyText"/>
        <w:spacing w:line="360" w:lineRule="auto"/>
        <w:jc w:val="center"/>
        <w:rPr>
          <w:sz w:val="48"/>
          <w:szCs w:val="48"/>
        </w:rPr>
      </w:pPr>
    </w:p>
    <w:p w14:paraId="39F21254" w14:textId="16B5EFF2" w:rsidR="008A40F2" w:rsidRPr="0007572B" w:rsidRDefault="008A40F2" w:rsidP="006F1659">
      <w:pPr>
        <w:spacing w:line="360" w:lineRule="auto"/>
        <w:rPr>
          <w:rFonts w:ascii="Arial" w:hAnsi="Arial" w:cs="Arial"/>
        </w:rPr>
      </w:pPr>
    </w:p>
    <w:p w14:paraId="5CC2C42B" w14:textId="36EC9ABC" w:rsidR="008A40F2" w:rsidRPr="0007572B" w:rsidRDefault="008A40F2" w:rsidP="006F1659">
      <w:pPr>
        <w:spacing w:line="360" w:lineRule="auto"/>
        <w:rPr>
          <w:rFonts w:ascii="Arial" w:hAnsi="Arial" w:cs="Arial"/>
        </w:rPr>
      </w:pPr>
    </w:p>
    <w:p w14:paraId="2DF8F477" w14:textId="42C74EB9" w:rsidR="008A40F2" w:rsidRPr="0007572B" w:rsidRDefault="008A40F2" w:rsidP="006F1659">
      <w:pPr>
        <w:spacing w:line="360" w:lineRule="auto"/>
        <w:rPr>
          <w:rFonts w:ascii="Arial" w:hAnsi="Arial" w:cs="Arial"/>
        </w:rPr>
      </w:pPr>
    </w:p>
    <w:p w14:paraId="7323F2B6" w14:textId="77777777" w:rsidR="008A40F2" w:rsidRPr="0007572B" w:rsidRDefault="008A40F2" w:rsidP="006F1659">
      <w:pPr>
        <w:spacing w:line="360" w:lineRule="auto"/>
        <w:rPr>
          <w:rFonts w:ascii="Arial" w:hAnsi="Arial" w:cs="Arial"/>
        </w:rPr>
      </w:pPr>
    </w:p>
    <w:p w14:paraId="76FC0757" w14:textId="77777777" w:rsidR="00D64FA5" w:rsidRPr="0007572B" w:rsidRDefault="00D64FA5" w:rsidP="006F1659">
      <w:pPr>
        <w:spacing w:line="360" w:lineRule="auto"/>
        <w:rPr>
          <w:rFonts w:ascii="Arial" w:hAnsi="Arial" w:cs="Arial"/>
        </w:rPr>
      </w:pPr>
    </w:p>
    <w:p w14:paraId="6470906C" w14:textId="758D04DF" w:rsidR="00F21EA7" w:rsidRDefault="00EE520C" w:rsidP="006F1659">
      <w:pPr>
        <w:pStyle w:val="Heading1"/>
        <w:spacing w:line="360" w:lineRule="auto"/>
        <w:jc w:val="center"/>
      </w:pPr>
      <w:bookmarkStart w:id="1" w:name="_Toc92895135"/>
      <w:bookmarkStart w:id="2" w:name="_Toc109160253"/>
      <w:r>
        <w:t>UNAUDITED</w:t>
      </w:r>
    </w:p>
    <w:p w14:paraId="5F1F507E" w14:textId="77777777" w:rsidR="00F21EA7" w:rsidRDefault="00F21EA7" w:rsidP="006F1659">
      <w:pPr>
        <w:pStyle w:val="Heading1"/>
        <w:spacing w:line="360" w:lineRule="auto"/>
        <w:jc w:val="center"/>
      </w:pPr>
    </w:p>
    <w:p w14:paraId="3DB28B71" w14:textId="2F154C5D" w:rsidR="00D64FA5" w:rsidRPr="0007572B" w:rsidRDefault="00D64FA5" w:rsidP="006F1659">
      <w:pPr>
        <w:pStyle w:val="Heading1"/>
        <w:spacing w:line="360" w:lineRule="auto"/>
        <w:jc w:val="center"/>
      </w:pPr>
      <w:bookmarkStart w:id="3" w:name="_Toc109922574"/>
      <w:r w:rsidRPr="0007572B">
        <w:t xml:space="preserve">Annual Statement </w:t>
      </w:r>
      <w:r w:rsidR="00A136CF">
        <w:br/>
      </w:r>
      <w:r w:rsidRPr="0007572B">
        <w:t>of Accounts</w:t>
      </w:r>
      <w:bookmarkEnd w:id="1"/>
      <w:bookmarkEnd w:id="2"/>
      <w:bookmarkEnd w:id="3"/>
      <w:r w:rsidR="00B86CD5">
        <w:br/>
      </w:r>
    </w:p>
    <w:p w14:paraId="57FD41CF" w14:textId="78A120A9" w:rsidR="00D64FA5" w:rsidRDefault="00D64FA5" w:rsidP="006F1659">
      <w:pPr>
        <w:pStyle w:val="Heading1"/>
        <w:spacing w:line="360" w:lineRule="auto"/>
        <w:jc w:val="center"/>
      </w:pPr>
      <w:bookmarkStart w:id="4" w:name="_Toc92895136"/>
      <w:bookmarkStart w:id="5" w:name="_Toc109160254"/>
      <w:bookmarkStart w:id="6" w:name="_Toc109922575"/>
      <w:r w:rsidRPr="0007572B">
        <w:t>Year ended 31 March 202</w:t>
      </w:r>
      <w:bookmarkEnd w:id="4"/>
      <w:bookmarkEnd w:id="5"/>
      <w:bookmarkEnd w:id="6"/>
      <w:r w:rsidR="00D1125B">
        <w:t>4</w:t>
      </w:r>
    </w:p>
    <w:p w14:paraId="27833190" w14:textId="77777777" w:rsidR="008E544B" w:rsidRPr="008E544B" w:rsidRDefault="008E544B" w:rsidP="006F1659">
      <w:pPr>
        <w:spacing w:line="360" w:lineRule="auto"/>
      </w:pPr>
    </w:p>
    <w:p w14:paraId="29D28615" w14:textId="77777777" w:rsidR="00D64FA5" w:rsidRPr="0007572B" w:rsidRDefault="00D64FA5" w:rsidP="006F1659">
      <w:pPr>
        <w:spacing w:line="360" w:lineRule="auto"/>
        <w:jc w:val="center"/>
        <w:rPr>
          <w:rFonts w:ascii="Arial" w:hAnsi="Arial" w:cs="Arial"/>
          <w:sz w:val="48"/>
          <w:szCs w:val="48"/>
        </w:rPr>
      </w:pPr>
    </w:p>
    <w:p w14:paraId="66A327B9" w14:textId="55052341" w:rsidR="00932C40" w:rsidRPr="0007572B" w:rsidRDefault="00932C40" w:rsidP="006F1659">
      <w:pPr>
        <w:pStyle w:val="BodyText2"/>
        <w:spacing w:line="360" w:lineRule="auto"/>
        <w:rPr>
          <w:rFonts w:ascii="Arial" w:hAnsi="Arial" w:cs="Arial"/>
          <w:sz w:val="22"/>
          <w:szCs w:val="22"/>
        </w:rPr>
        <w:sectPr w:rsidR="00932C40" w:rsidRPr="0007572B" w:rsidSect="004833A2">
          <w:footerReference w:type="even" r:id="rId9"/>
          <w:footerReference w:type="default" r:id="rId10"/>
          <w:pgSz w:w="11906" w:h="16838" w:code="9"/>
          <w:pgMar w:top="851" w:right="1286" w:bottom="1021" w:left="1440" w:header="709" w:footer="567" w:gutter="0"/>
          <w:pgNumType w:start="1"/>
          <w:cols w:space="708"/>
          <w:docGrid w:linePitch="360"/>
        </w:sectPr>
      </w:pPr>
    </w:p>
    <w:p w14:paraId="0616F38F" w14:textId="5E2FC645" w:rsidR="005F371A" w:rsidRPr="005F371A" w:rsidRDefault="005F371A" w:rsidP="006F1659">
      <w:pPr>
        <w:pStyle w:val="Heading2green"/>
        <w:spacing w:line="360" w:lineRule="auto"/>
      </w:pPr>
      <w:bookmarkStart w:id="7" w:name="_Toc92895137"/>
      <w:bookmarkStart w:id="8" w:name="_Toc109160255"/>
      <w:bookmarkStart w:id="9" w:name="_Toc109922576"/>
      <w:r w:rsidRPr="005F371A">
        <w:lastRenderedPageBreak/>
        <w:t>Contents Page</w:t>
      </w:r>
      <w:bookmarkEnd w:id="7"/>
      <w:bookmarkEnd w:id="8"/>
      <w:bookmarkEnd w:id="9"/>
    </w:p>
    <w:sdt>
      <w:sdtPr>
        <w:id w:val="-2081669147"/>
        <w:docPartObj>
          <w:docPartGallery w:val="Table of Contents"/>
          <w:docPartUnique/>
        </w:docPartObj>
      </w:sdtPr>
      <w:sdtEndPr>
        <w:rPr>
          <w:b/>
          <w:bCs/>
          <w:noProof/>
        </w:rPr>
      </w:sdtEndPr>
      <w:sdtContent>
        <w:p w14:paraId="21B2B7A5" w14:textId="77777777" w:rsidR="009E4264" w:rsidRPr="003B46BF" w:rsidRDefault="009E4264" w:rsidP="006F1659">
          <w:pPr>
            <w:pStyle w:val="TOC1"/>
            <w:tabs>
              <w:tab w:val="right" w:leader="dot" w:pos="9016"/>
            </w:tabs>
            <w:spacing w:line="360" w:lineRule="auto"/>
          </w:pPr>
        </w:p>
        <w:p w14:paraId="68C3B52B" w14:textId="4E173804" w:rsidR="00A16F1A" w:rsidRPr="006355FF" w:rsidRDefault="0074597D" w:rsidP="006F1659">
          <w:pPr>
            <w:pStyle w:val="TOC1"/>
            <w:tabs>
              <w:tab w:val="right" w:leader="dot" w:pos="9016"/>
            </w:tabs>
            <w:spacing w:line="360" w:lineRule="auto"/>
            <w:rPr>
              <w:rFonts w:ascii="Arial" w:hAnsi="Arial"/>
              <w:noProof/>
            </w:rPr>
          </w:pPr>
          <w:r w:rsidRPr="003B46BF">
            <w:rPr>
              <w:rFonts w:ascii="Arial" w:eastAsiaTheme="majorEastAsia" w:hAnsi="Arial" w:cs="Arial"/>
              <w:color w:val="2E74B5" w:themeColor="accent1" w:themeShade="BF"/>
              <w:lang w:val="en-US"/>
            </w:rPr>
            <w:fldChar w:fldCharType="begin"/>
          </w:r>
          <w:r w:rsidRPr="003B46BF">
            <w:rPr>
              <w:rFonts w:ascii="Arial" w:hAnsi="Arial" w:cs="Arial"/>
            </w:rPr>
            <w:instrText xml:space="preserve"> TOC \o "1-3" \h \z \u </w:instrText>
          </w:r>
          <w:r w:rsidRPr="003B46BF">
            <w:rPr>
              <w:rFonts w:ascii="Arial" w:eastAsiaTheme="majorEastAsia" w:hAnsi="Arial" w:cs="Arial"/>
              <w:color w:val="2E74B5" w:themeColor="accent1" w:themeShade="BF"/>
              <w:lang w:val="en-US"/>
            </w:rPr>
            <w:fldChar w:fldCharType="separate"/>
          </w:r>
          <w:hyperlink w:anchor="_Toc109922577" w:history="1">
            <w:r w:rsidR="005764D1" w:rsidRPr="006355FF">
              <w:rPr>
                <w:rStyle w:val="Hyperlink"/>
                <w:rFonts w:ascii="Arial" w:hAnsi="Arial"/>
                <w:noProof/>
              </w:rPr>
              <w:t>Narrative Report by the Authority Treasurer</w:t>
            </w:r>
            <w:r w:rsidR="005764D1" w:rsidRPr="006355FF">
              <w:rPr>
                <w:rFonts w:ascii="Arial" w:hAnsi="Arial"/>
                <w:noProof/>
                <w:webHidden/>
              </w:rPr>
              <w:tab/>
            </w:r>
            <w:r w:rsidR="00A16F1A" w:rsidRPr="006355FF">
              <w:rPr>
                <w:rFonts w:ascii="Arial" w:hAnsi="Arial"/>
                <w:noProof/>
                <w:webHidden/>
              </w:rPr>
              <w:t>3</w:t>
            </w:r>
          </w:hyperlink>
        </w:p>
        <w:p w14:paraId="604C0D2A" w14:textId="2CC4D538" w:rsidR="005764D1" w:rsidRPr="006355FF" w:rsidRDefault="00DD2F61" w:rsidP="006F1659">
          <w:pPr>
            <w:pStyle w:val="TOC2"/>
            <w:tabs>
              <w:tab w:val="right" w:leader="dot" w:pos="9016"/>
            </w:tabs>
            <w:spacing w:line="360" w:lineRule="auto"/>
            <w:ind w:left="0"/>
            <w:rPr>
              <w:rFonts w:ascii="Arial" w:eastAsiaTheme="minorEastAsia" w:hAnsi="Arial" w:cstheme="minorBidi"/>
              <w:noProof/>
              <w:szCs w:val="22"/>
              <w:lang w:eastAsia="en-GB"/>
            </w:rPr>
          </w:pPr>
          <w:hyperlink w:anchor="_Toc109922596" w:history="1">
            <w:r w:rsidR="005764D1" w:rsidRPr="006355FF">
              <w:rPr>
                <w:rStyle w:val="Hyperlink"/>
                <w:rFonts w:ascii="Arial" w:hAnsi="Arial"/>
                <w:noProof/>
              </w:rPr>
              <w:t>Statement of Responsibilities for the Statement of Accounts</w:t>
            </w:r>
            <w:r w:rsidR="005764D1" w:rsidRPr="006355FF">
              <w:rPr>
                <w:rFonts w:ascii="Arial" w:hAnsi="Arial"/>
                <w:noProof/>
                <w:webHidden/>
              </w:rPr>
              <w:tab/>
            </w:r>
          </w:hyperlink>
          <w:r w:rsidR="008F1A79" w:rsidRPr="006355FF">
            <w:rPr>
              <w:rFonts w:ascii="Arial" w:hAnsi="Arial"/>
              <w:noProof/>
            </w:rPr>
            <w:t>51</w:t>
          </w:r>
        </w:p>
        <w:p w14:paraId="7DC84A54" w14:textId="78C382A9" w:rsidR="005764D1" w:rsidRPr="006355FF" w:rsidRDefault="00DD2F61" w:rsidP="006F1659">
          <w:pPr>
            <w:pStyle w:val="TOC1"/>
            <w:tabs>
              <w:tab w:val="right" w:leader="dot" w:pos="9016"/>
            </w:tabs>
            <w:spacing w:line="360" w:lineRule="auto"/>
            <w:rPr>
              <w:rFonts w:ascii="Arial" w:eastAsiaTheme="minorEastAsia" w:hAnsi="Arial" w:cstheme="minorBidi"/>
              <w:noProof/>
              <w:szCs w:val="22"/>
              <w:lang w:eastAsia="en-GB"/>
            </w:rPr>
          </w:pPr>
          <w:hyperlink w:anchor="_Toc109922602" w:history="1">
            <w:r w:rsidR="005764D1" w:rsidRPr="006355FF">
              <w:rPr>
                <w:rStyle w:val="Hyperlink"/>
                <w:rFonts w:ascii="Arial" w:hAnsi="Arial"/>
                <w:noProof/>
              </w:rPr>
              <w:t>Greater Manchester Combined Authority Single Entity Accounts</w:t>
            </w:r>
            <w:r w:rsidR="005764D1" w:rsidRPr="006355FF">
              <w:rPr>
                <w:rFonts w:ascii="Arial" w:hAnsi="Arial"/>
                <w:noProof/>
                <w:webHidden/>
              </w:rPr>
              <w:tab/>
            </w:r>
          </w:hyperlink>
          <w:r w:rsidR="008F1A79" w:rsidRPr="006355FF">
            <w:rPr>
              <w:rFonts w:ascii="Arial" w:hAnsi="Arial"/>
              <w:noProof/>
            </w:rPr>
            <w:t>53</w:t>
          </w:r>
        </w:p>
        <w:p w14:paraId="07D866AA" w14:textId="4ED178D8" w:rsidR="005764D1" w:rsidRPr="006355FF" w:rsidRDefault="00DD2F61" w:rsidP="006F1659">
          <w:pPr>
            <w:pStyle w:val="TOC2"/>
            <w:tabs>
              <w:tab w:val="right" w:leader="dot" w:pos="9016"/>
            </w:tabs>
            <w:spacing w:line="360" w:lineRule="auto"/>
            <w:rPr>
              <w:rFonts w:ascii="Arial" w:eastAsiaTheme="minorEastAsia" w:hAnsi="Arial" w:cstheme="minorBidi"/>
              <w:noProof/>
              <w:szCs w:val="22"/>
              <w:lang w:eastAsia="en-GB"/>
            </w:rPr>
          </w:pPr>
          <w:hyperlink w:anchor="_Toc109922603" w:history="1">
            <w:r w:rsidR="005764D1" w:rsidRPr="006355FF">
              <w:rPr>
                <w:rStyle w:val="Hyperlink"/>
                <w:rFonts w:ascii="Arial" w:hAnsi="Arial"/>
                <w:noProof/>
              </w:rPr>
              <w:t>Financial Statements</w:t>
            </w:r>
            <w:r w:rsidR="005764D1" w:rsidRPr="006355FF">
              <w:rPr>
                <w:rFonts w:ascii="Arial" w:hAnsi="Arial"/>
                <w:noProof/>
                <w:webHidden/>
              </w:rPr>
              <w:tab/>
            </w:r>
          </w:hyperlink>
          <w:r w:rsidR="008F1A79" w:rsidRPr="006355FF">
            <w:rPr>
              <w:rFonts w:ascii="Arial" w:hAnsi="Arial"/>
              <w:noProof/>
            </w:rPr>
            <w:t>53</w:t>
          </w:r>
        </w:p>
        <w:p w14:paraId="13E73BD6" w14:textId="445A908A" w:rsidR="005764D1" w:rsidRPr="006355FF" w:rsidRDefault="00DD2F61" w:rsidP="006F1659">
          <w:pPr>
            <w:pStyle w:val="TOC2"/>
            <w:tabs>
              <w:tab w:val="right" w:leader="dot" w:pos="9016"/>
            </w:tabs>
            <w:spacing w:line="360" w:lineRule="auto"/>
            <w:rPr>
              <w:rFonts w:ascii="Arial" w:eastAsiaTheme="minorEastAsia" w:hAnsi="Arial" w:cstheme="minorBidi"/>
              <w:noProof/>
              <w:szCs w:val="22"/>
              <w:lang w:eastAsia="en-GB"/>
            </w:rPr>
          </w:pPr>
          <w:hyperlink w:anchor="_Toc109922604" w:history="1">
            <w:r w:rsidR="005764D1" w:rsidRPr="006355FF">
              <w:rPr>
                <w:rStyle w:val="Hyperlink"/>
                <w:rFonts w:ascii="Arial" w:hAnsi="Arial"/>
                <w:noProof/>
              </w:rPr>
              <w:t>Comprehensive Income and Expenditure Statement</w:t>
            </w:r>
            <w:r w:rsidR="005764D1" w:rsidRPr="006355FF">
              <w:rPr>
                <w:rFonts w:ascii="Arial" w:hAnsi="Arial"/>
                <w:noProof/>
                <w:webHidden/>
              </w:rPr>
              <w:tab/>
            </w:r>
          </w:hyperlink>
          <w:r w:rsidR="008F1A79" w:rsidRPr="006355FF">
            <w:rPr>
              <w:rFonts w:ascii="Arial" w:hAnsi="Arial"/>
              <w:noProof/>
            </w:rPr>
            <w:t>54</w:t>
          </w:r>
        </w:p>
        <w:p w14:paraId="28EF3D70" w14:textId="67458398" w:rsidR="005764D1" w:rsidRPr="006355FF" w:rsidRDefault="00DD2F61" w:rsidP="006F1659">
          <w:pPr>
            <w:pStyle w:val="TOC2"/>
            <w:tabs>
              <w:tab w:val="right" w:leader="dot" w:pos="9016"/>
            </w:tabs>
            <w:spacing w:line="360" w:lineRule="auto"/>
            <w:rPr>
              <w:rFonts w:ascii="Arial" w:eastAsiaTheme="minorEastAsia" w:hAnsi="Arial" w:cstheme="minorBidi"/>
              <w:noProof/>
              <w:szCs w:val="22"/>
              <w:lang w:eastAsia="en-GB"/>
            </w:rPr>
          </w:pPr>
          <w:hyperlink w:anchor="_Toc109922605" w:history="1">
            <w:r w:rsidR="005764D1" w:rsidRPr="006355FF">
              <w:rPr>
                <w:rStyle w:val="Hyperlink"/>
                <w:rFonts w:ascii="Arial" w:hAnsi="Arial"/>
                <w:noProof/>
              </w:rPr>
              <w:t>Movement in Reserves Statement</w:t>
            </w:r>
            <w:r w:rsidR="005764D1" w:rsidRPr="006355FF">
              <w:rPr>
                <w:rFonts w:ascii="Arial" w:hAnsi="Arial"/>
                <w:noProof/>
                <w:webHidden/>
              </w:rPr>
              <w:tab/>
            </w:r>
          </w:hyperlink>
          <w:r w:rsidR="008F1A79" w:rsidRPr="006355FF">
            <w:rPr>
              <w:rFonts w:ascii="Arial" w:hAnsi="Arial"/>
              <w:noProof/>
            </w:rPr>
            <w:t>56</w:t>
          </w:r>
        </w:p>
        <w:p w14:paraId="7D14AA1B" w14:textId="67425153" w:rsidR="005764D1" w:rsidRPr="006355FF" w:rsidRDefault="00DD2F61" w:rsidP="006F1659">
          <w:pPr>
            <w:pStyle w:val="TOC2"/>
            <w:tabs>
              <w:tab w:val="right" w:leader="dot" w:pos="9016"/>
            </w:tabs>
            <w:spacing w:line="360" w:lineRule="auto"/>
            <w:rPr>
              <w:rFonts w:ascii="Arial" w:eastAsiaTheme="minorEastAsia" w:hAnsi="Arial" w:cstheme="minorBidi"/>
              <w:noProof/>
              <w:szCs w:val="22"/>
              <w:lang w:eastAsia="en-GB"/>
            </w:rPr>
          </w:pPr>
          <w:hyperlink w:anchor="_Toc109922606" w:history="1">
            <w:r w:rsidR="005764D1" w:rsidRPr="006355FF">
              <w:rPr>
                <w:rStyle w:val="Hyperlink"/>
                <w:rFonts w:ascii="Arial" w:hAnsi="Arial"/>
                <w:noProof/>
              </w:rPr>
              <w:t>Balance Sheet</w:t>
            </w:r>
            <w:r w:rsidR="005764D1" w:rsidRPr="006355FF">
              <w:rPr>
                <w:rFonts w:ascii="Arial" w:hAnsi="Arial"/>
                <w:noProof/>
                <w:webHidden/>
              </w:rPr>
              <w:tab/>
            </w:r>
          </w:hyperlink>
          <w:r w:rsidR="008F1A79" w:rsidRPr="006355FF">
            <w:rPr>
              <w:rFonts w:ascii="Arial" w:hAnsi="Arial"/>
              <w:noProof/>
            </w:rPr>
            <w:t>57</w:t>
          </w:r>
        </w:p>
        <w:p w14:paraId="1CCEC566" w14:textId="2D6470F2" w:rsidR="005764D1" w:rsidRPr="006355FF" w:rsidRDefault="00DD2F61" w:rsidP="006F1659">
          <w:pPr>
            <w:pStyle w:val="TOC2"/>
            <w:tabs>
              <w:tab w:val="right" w:leader="dot" w:pos="9016"/>
            </w:tabs>
            <w:spacing w:line="360" w:lineRule="auto"/>
            <w:rPr>
              <w:rFonts w:ascii="Arial" w:eastAsiaTheme="minorEastAsia" w:hAnsi="Arial" w:cstheme="minorBidi"/>
              <w:noProof/>
              <w:szCs w:val="22"/>
              <w:lang w:eastAsia="en-GB"/>
            </w:rPr>
          </w:pPr>
          <w:hyperlink w:anchor="_Toc109922607" w:history="1">
            <w:r w:rsidR="005764D1" w:rsidRPr="006355FF">
              <w:rPr>
                <w:rStyle w:val="Hyperlink"/>
                <w:rFonts w:ascii="Arial" w:hAnsi="Arial"/>
                <w:noProof/>
              </w:rPr>
              <w:t>Cash Flow Statement</w:t>
            </w:r>
            <w:r w:rsidR="005764D1" w:rsidRPr="006355FF">
              <w:rPr>
                <w:rFonts w:ascii="Arial" w:hAnsi="Arial"/>
                <w:noProof/>
                <w:webHidden/>
              </w:rPr>
              <w:tab/>
            </w:r>
          </w:hyperlink>
          <w:r w:rsidR="008F1A79" w:rsidRPr="006355FF">
            <w:rPr>
              <w:rFonts w:ascii="Arial" w:hAnsi="Arial"/>
              <w:noProof/>
            </w:rPr>
            <w:t>59</w:t>
          </w:r>
        </w:p>
        <w:p w14:paraId="5BE7F2CD" w14:textId="1E2955D3" w:rsidR="005764D1" w:rsidRPr="006355FF" w:rsidRDefault="00DD2F61" w:rsidP="006F1659">
          <w:pPr>
            <w:pStyle w:val="TOC2"/>
            <w:tabs>
              <w:tab w:val="right" w:leader="dot" w:pos="9016"/>
            </w:tabs>
            <w:spacing w:line="360" w:lineRule="auto"/>
            <w:rPr>
              <w:rFonts w:ascii="Arial" w:eastAsiaTheme="minorEastAsia" w:hAnsi="Arial" w:cstheme="minorBidi"/>
              <w:noProof/>
              <w:szCs w:val="22"/>
              <w:lang w:eastAsia="en-GB"/>
            </w:rPr>
          </w:pPr>
          <w:hyperlink w:anchor="_Toc109922609" w:history="1">
            <w:r w:rsidR="005764D1" w:rsidRPr="006355FF">
              <w:rPr>
                <w:rStyle w:val="Hyperlink"/>
                <w:rFonts w:ascii="Arial" w:hAnsi="Arial"/>
                <w:noProof/>
              </w:rPr>
              <w:t>Notes to the Financial Statements</w:t>
            </w:r>
            <w:r w:rsidR="005764D1" w:rsidRPr="006355FF">
              <w:rPr>
                <w:rFonts w:ascii="Arial" w:hAnsi="Arial"/>
                <w:noProof/>
                <w:webHidden/>
              </w:rPr>
              <w:tab/>
            </w:r>
          </w:hyperlink>
          <w:r w:rsidR="008F1A79" w:rsidRPr="006355FF">
            <w:rPr>
              <w:rFonts w:ascii="Arial" w:hAnsi="Arial"/>
              <w:noProof/>
            </w:rPr>
            <w:t>60</w:t>
          </w:r>
        </w:p>
        <w:p w14:paraId="2771E174" w14:textId="2FF8E335" w:rsidR="005764D1" w:rsidRPr="006355FF" w:rsidRDefault="00DD2F61" w:rsidP="006F1659">
          <w:pPr>
            <w:pStyle w:val="TOC2"/>
            <w:tabs>
              <w:tab w:val="right" w:leader="dot" w:pos="9016"/>
            </w:tabs>
            <w:spacing w:line="360" w:lineRule="auto"/>
            <w:rPr>
              <w:rFonts w:ascii="Arial" w:eastAsiaTheme="minorEastAsia" w:hAnsi="Arial" w:cstheme="minorBidi"/>
              <w:noProof/>
              <w:szCs w:val="22"/>
              <w:lang w:eastAsia="en-GB"/>
            </w:rPr>
          </w:pPr>
          <w:hyperlink w:anchor="_Toc109922649" w:history="1">
            <w:r w:rsidR="005764D1" w:rsidRPr="006355FF">
              <w:rPr>
                <w:rStyle w:val="Hyperlink"/>
                <w:rFonts w:ascii="Arial" w:hAnsi="Arial"/>
                <w:noProof/>
              </w:rPr>
              <w:t>Firefighters’ Pension Fund</w:t>
            </w:r>
            <w:r w:rsidR="005764D1" w:rsidRPr="006355FF">
              <w:rPr>
                <w:rFonts w:ascii="Arial" w:hAnsi="Arial"/>
                <w:noProof/>
                <w:webHidden/>
              </w:rPr>
              <w:tab/>
            </w:r>
          </w:hyperlink>
          <w:r w:rsidR="008F1A79" w:rsidRPr="006355FF">
            <w:rPr>
              <w:rFonts w:ascii="Arial" w:hAnsi="Arial"/>
              <w:noProof/>
            </w:rPr>
            <w:t>198</w:t>
          </w:r>
        </w:p>
        <w:p w14:paraId="646E682B" w14:textId="5C1112C5" w:rsidR="005764D1" w:rsidRPr="006355FF" w:rsidRDefault="00DD2F61" w:rsidP="006F1659">
          <w:pPr>
            <w:pStyle w:val="TOC1"/>
            <w:tabs>
              <w:tab w:val="right" w:leader="dot" w:pos="9016"/>
            </w:tabs>
            <w:spacing w:line="360" w:lineRule="auto"/>
            <w:rPr>
              <w:rFonts w:ascii="Arial" w:eastAsiaTheme="minorEastAsia" w:hAnsi="Arial" w:cstheme="minorBidi"/>
              <w:noProof/>
              <w:szCs w:val="22"/>
              <w:lang w:eastAsia="en-GB"/>
            </w:rPr>
          </w:pPr>
          <w:hyperlink w:anchor="_Toc109922652" w:history="1">
            <w:r w:rsidR="005764D1" w:rsidRPr="006355FF">
              <w:rPr>
                <w:rStyle w:val="Hyperlink"/>
                <w:rFonts w:ascii="Arial" w:hAnsi="Arial"/>
                <w:noProof/>
              </w:rPr>
              <w:t>Greater Manchester Combined Authority - Group Accounts</w:t>
            </w:r>
            <w:r w:rsidR="005764D1" w:rsidRPr="006355FF">
              <w:rPr>
                <w:rFonts w:ascii="Arial" w:hAnsi="Arial"/>
                <w:noProof/>
                <w:webHidden/>
              </w:rPr>
              <w:tab/>
            </w:r>
            <w:r w:rsidR="005764D1" w:rsidRPr="006355FF">
              <w:rPr>
                <w:rFonts w:ascii="Arial" w:hAnsi="Arial"/>
                <w:noProof/>
                <w:webHidden/>
              </w:rPr>
              <w:fldChar w:fldCharType="begin"/>
            </w:r>
            <w:r w:rsidR="005764D1" w:rsidRPr="006355FF">
              <w:rPr>
                <w:rFonts w:ascii="Arial" w:hAnsi="Arial"/>
                <w:noProof/>
                <w:webHidden/>
              </w:rPr>
              <w:instrText xml:space="preserve"> PAGEREF _Toc109922652 \h </w:instrText>
            </w:r>
            <w:r w:rsidR="005764D1" w:rsidRPr="006355FF">
              <w:rPr>
                <w:rFonts w:ascii="Arial" w:hAnsi="Arial"/>
                <w:noProof/>
                <w:webHidden/>
              </w:rPr>
            </w:r>
            <w:r w:rsidR="005764D1" w:rsidRPr="006355FF">
              <w:rPr>
                <w:rFonts w:ascii="Arial" w:hAnsi="Arial"/>
                <w:noProof/>
                <w:webHidden/>
              </w:rPr>
              <w:fldChar w:fldCharType="separate"/>
            </w:r>
            <w:r w:rsidR="00B17E52">
              <w:rPr>
                <w:rFonts w:ascii="Arial" w:hAnsi="Arial"/>
                <w:noProof/>
                <w:webHidden/>
              </w:rPr>
              <w:t>194</w:t>
            </w:r>
            <w:r w:rsidR="005764D1" w:rsidRPr="006355FF">
              <w:rPr>
                <w:rFonts w:ascii="Arial" w:hAnsi="Arial"/>
                <w:noProof/>
                <w:webHidden/>
              </w:rPr>
              <w:fldChar w:fldCharType="end"/>
            </w:r>
          </w:hyperlink>
        </w:p>
        <w:p w14:paraId="6F617EBD" w14:textId="3F838285" w:rsidR="005764D1" w:rsidRPr="006355FF" w:rsidRDefault="00DD2F61" w:rsidP="006F1659">
          <w:pPr>
            <w:pStyle w:val="TOC1"/>
            <w:tabs>
              <w:tab w:val="right" w:leader="dot" w:pos="9016"/>
            </w:tabs>
            <w:spacing w:line="360" w:lineRule="auto"/>
            <w:rPr>
              <w:rFonts w:ascii="Arial" w:eastAsiaTheme="minorEastAsia" w:hAnsi="Arial" w:cstheme="minorBidi"/>
              <w:noProof/>
              <w:szCs w:val="22"/>
              <w:lang w:eastAsia="en-GB"/>
            </w:rPr>
          </w:pPr>
          <w:hyperlink w:anchor="_Toc109922659" w:history="1">
            <w:r w:rsidR="005764D1" w:rsidRPr="006355FF">
              <w:rPr>
                <w:rStyle w:val="Hyperlink"/>
                <w:rFonts w:ascii="Arial" w:hAnsi="Arial"/>
                <w:noProof/>
              </w:rPr>
              <w:t>Greater Manchester Combined Authority – Group Financial Statements</w:t>
            </w:r>
            <w:r w:rsidR="005764D1" w:rsidRPr="006355FF">
              <w:rPr>
                <w:rFonts w:ascii="Arial" w:hAnsi="Arial"/>
                <w:noProof/>
                <w:webHidden/>
              </w:rPr>
              <w:tab/>
            </w:r>
            <w:r w:rsidR="005764D1" w:rsidRPr="006355FF">
              <w:rPr>
                <w:rFonts w:ascii="Arial" w:hAnsi="Arial"/>
                <w:noProof/>
                <w:webHidden/>
              </w:rPr>
              <w:fldChar w:fldCharType="begin"/>
            </w:r>
            <w:r w:rsidR="005764D1" w:rsidRPr="006355FF">
              <w:rPr>
                <w:rFonts w:ascii="Arial" w:hAnsi="Arial"/>
                <w:noProof/>
                <w:webHidden/>
              </w:rPr>
              <w:instrText xml:space="preserve"> PAGEREF _Toc109922659 \h </w:instrText>
            </w:r>
            <w:r w:rsidR="005764D1" w:rsidRPr="006355FF">
              <w:rPr>
                <w:rFonts w:ascii="Arial" w:hAnsi="Arial"/>
                <w:noProof/>
                <w:webHidden/>
              </w:rPr>
            </w:r>
            <w:r w:rsidR="005764D1" w:rsidRPr="006355FF">
              <w:rPr>
                <w:rFonts w:ascii="Arial" w:hAnsi="Arial"/>
                <w:noProof/>
                <w:webHidden/>
              </w:rPr>
              <w:fldChar w:fldCharType="separate"/>
            </w:r>
            <w:r w:rsidR="00B17E52">
              <w:rPr>
                <w:rFonts w:ascii="Arial" w:hAnsi="Arial"/>
                <w:noProof/>
                <w:webHidden/>
              </w:rPr>
              <w:t>199</w:t>
            </w:r>
            <w:r w:rsidR="005764D1" w:rsidRPr="006355FF">
              <w:rPr>
                <w:rFonts w:ascii="Arial" w:hAnsi="Arial"/>
                <w:noProof/>
                <w:webHidden/>
              </w:rPr>
              <w:fldChar w:fldCharType="end"/>
            </w:r>
          </w:hyperlink>
        </w:p>
        <w:p w14:paraId="0A481D49" w14:textId="59546603" w:rsidR="005764D1" w:rsidRPr="006355FF" w:rsidRDefault="00DD2F61" w:rsidP="006F1659">
          <w:pPr>
            <w:pStyle w:val="TOC2"/>
            <w:tabs>
              <w:tab w:val="right" w:leader="dot" w:pos="9016"/>
            </w:tabs>
            <w:spacing w:line="360" w:lineRule="auto"/>
            <w:rPr>
              <w:rFonts w:ascii="Arial" w:eastAsiaTheme="minorEastAsia" w:hAnsi="Arial" w:cstheme="minorBidi"/>
              <w:noProof/>
              <w:szCs w:val="22"/>
              <w:lang w:eastAsia="en-GB"/>
            </w:rPr>
          </w:pPr>
          <w:hyperlink w:anchor="_Toc109922660" w:history="1">
            <w:r w:rsidR="005764D1" w:rsidRPr="006355FF">
              <w:rPr>
                <w:rStyle w:val="Hyperlink"/>
                <w:rFonts w:ascii="Arial" w:hAnsi="Arial"/>
                <w:noProof/>
              </w:rPr>
              <w:t>Group Comprehensive Income and Expenditure Statement</w:t>
            </w:r>
            <w:r w:rsidR="005764D1" w:rsidRPr="006355FF">
              <w:rPr>
                <w:rFonts w:ascii="Arial" w:hAnsi="Arial"/>
                <w:noProof/>
                <w:webHidden/>
              </w:rPr>
              <w:tab/>
            </w:r>
            <w:r w:rsidR="005764D1" w:rsidRPr="006355FF">
              <w:rPr>
                <w:rFonts w:ascii="Arial" w:hAnsi="Arial"/>
                <w:noProof/>
                <w:webHidden/>
              </w:rPr>
              <w:fldChar w:fldCharType="begin"/>
            </w:r>
            <w:r w:rsidR="005764D1" w:rsidRPr="006355FF">
              <w:rPr>
                <w:rFonts w:ascii="Arial" w:hAnsi="Arial"/>
                <w:noProof/>
                <w:webHidden/>
              </w:rPr>
              <w:instrText xml:space="preserve"> PAGEREF _Toc109922660 \h </w:instrText>
            </w:r>
            <w:r w:rsidR="005764D1" w:rsidRPr="006355FF">
              <w:rPr>
                <w:rFonts w:ascii="Arial" w:hAnsi="Arial"/>
                <w:noProof/>
                <w:webHidden/>
              </w:rPr>
            </w:r>
            <w:r w:rsidR="005764D1" w:rsidRPr="006355FF">
              <w:rPr>
                <w:rFonts w:ascii="Arial" w:hAnsi="Arial"/>
                <w:noProof/>
                <w:webHidden/>
              </w:rPr>
              <w:fldChar w:fldCharType="separate"/>
            </w:r>
            <w:r w:rsidR="00B17E52">
              <w:rPr>
                <w:rFonts w:ascii="Arial" w:hAnsi="Arial"/>
                <w:noProof/>
                <w:webHidden/>
              </w:rPr>
              <w:t>200</w:t>
            </w:r>
            <w:r w:rsidR="005764D1" w:rsidRPr="006355FF">
              <w:rPr>
                <w:rFonts w:ascii="Arial" w:hAnsi="Arial"/>
                <w:noProof/>
                <w:webHidden/>
              </w:rPr>
              <w:fldChar w:fldCharType="end"/>
            </w:r>
          </w:hyperlink>
        </w:p>
        <w:p w14:paraId="0B98407B" w14:textId="045712C5" w:rsidR="005764D1" w:rsidRPr="006355FF" w:rsidRDefault="00DD2F61" w:rsidP="006F1659">
          <w:pPr>
            <w:pStyle w:val="TOC2"/>
            <w:tabs>
              <w:tab w:val="right" w:leader="dot" w:pos="9016"/>
            </w:tabs>
            <w:spacing w:line="360" w:lineRule="auto"/>
            <w:rPr>
              <w:rFonts w:ascii="Arial" w:eastAsiaTheme="minorEastAsia" w:hAnsi="Arial" w:cstheme="minorBidi"/>
              <w:noProof/>
              <w:szCs w:val="22"/>
              <w:lang w:eastAsia="en-GB"/>
            </w:rPr>
          </w:pPr>
          <w:hyperlink w:anchor="_Toc109922661" w:history="1">
            <w:r w:rsidR="005764D1" w:rsidRPr="006355FF">
              <w:rPr>
                <w:rStyle w:val="Hyperlink"/>
                <w:rFonts w:ascii="Arial" w:hAnsi="Arial"/>
                <w:noProof/>
              </w:rPr>
              <w:t>Group Movement in Reserves Statement</w:t>
            </w:r>
            <w:r w:rsidR="005764D1" w:rsidRPr="006355FF">
              <w:rPr>
                <w:rFonts w:ascii="Arial" w:hAnsi="Arial"/>
                <w:noProof/>
                <w:webHidden/>
              </w:rPr>
              <w:tab/>
            </w:r>
            <w:r w:rsidR="005764D1" w:rsidRPr="006355FF">
              <w:rPr>
                <w:rFonts w:ascii="Arial" w:hAnsi="Arial"/>
                <w:noProof/>
                <w:webHidden/>
              </w:rPr>
              <w:fldChar w:fldCharType="begin"/>
            </w:r>
            <w:r w:rsidR="005764D1" w:rsidRPr="006355FF">
              <w:rPr>
                <w:rFonts w:ascii="Arial" w:hAnsi="Arial"/>
                <w:noProof/>
                <w:webHidden/>
              </w:rPr>
              <w:instrText xml:space="preserve"> PAGEREF _Toc109922661 \h </w:instrText>
            </w:r>
            <w:r w:rsidR="005764D1" w:rsidRPr="006355FF">
              <w:rPr>
                <w:rFonts w:ascii="Arial" w:hAnsi="Arial"/>
                <w:noProof/>
                <w:webHidden/>
              </w:rPr>
            </w:r>
            <w:r w:rsidR="005764D1" w:rsidRPr="006355FF">
              <w:rPr>
                <w:rFonts w:ascii="Arial" w:hAnsi="Arial"/>
                <w:noProof/>
                <w:webHidden/>
              </w:rPr>
              <w:fldChar w:fldCharType="separate"/>
            </w:r>
            <w:r w:rsidR="00B17E52">
              <w:rPr>
                <w:rFonts w:ascii="Arial" w:hAnsi="Arial"/>
                <w:noProof/>
                <w:webHidden/>
              </w:rPr>
              <w:t>201</w:t>
            </w:r>
            <w:r w:rsidR="005764D1" w:rsidRPr="006355FF">
              <w:rPr>
                <w:rFonts w:ascii="Arial" w:hAnsi="Arial"/>
                <w:noProof/>
                <w:webHidden/>
              </w:rPr>
              <w:fldChar w:fldCharType="end"/>
            </w:r>
          </w:hyperlink>
        </w:p>
        <w:p w14:paraId="6AEE62AE" w14:textId="0C560000" w:rsidR="005764D1" w:rsidRPr="006355FF" w:rsidRDefault="00DD2F61" w:rsidP="006F1659">
          <w:pPr>
            <w:pStyle w:val="TOC2"/>
            <w:tabs>
              <w:tab w:val="right" w:leader="dot" w:pos="9016"/>
            </w:tabs>
            <w:spacing w:line="360" w:lineRule="auto"/>
            <w:rPr>
              <w:rFonts w:ascii="Arial" w:eastAsiaTheme="minorEastAsia" w:hAnsi="Arial" w:cstheme="minorBidi"/>
              <w:noProof/>
              <w:szCs w:val="22"/>
              <w:lang w:eastAsia="en-GB"/>
            </w:rPr>
          </w:pPr>
          <w:hyperlink w:anchor="_Toc109922662" w:history="1">
            <w:r w:rsidR="005764D1" w:rsidRPr="006355FF">
              <w:rPr>
                <w:rStyle w:val="Hyperlink"/>
                <w:rFonts w:ascii="Arial" w:hAnsi="Arial"/>
                <w:noProof/>
              </w:rPr>
              <w:t>Group Balance Sheet</w:t>
            </w:r>
            <w:r w:rsidR="005764D1" w:rsidRPr="006355FF">
              <w:rPr>
                <w:rFonts w:ascii="Arial" w:hAnsi="Arial"/>
                <w:noProof/>
                <w:webHidden/>
              </w:rPr>
              <w:tab/>
            </w:r>
            <w:r w:rsidR="005764D1" w:rsidRPr="006355FF">
              <w:rPr>
                <w:rFonts w:ascii="Arial" w:hAnsi="Arial"/>
                <w:noProof/>
                <w:webHidden/>
              </w:rPr>
              <w:fldChar w:fldCharType="begin"/>
            </w:r>
            <w:r w:rsidR="005764D1" w:rsidRPr="006355FF">
              <w:rPr>
                <w:rFonts w:ascii="Arial" w:hAnsi="Arial"/>
                <w:noProof/>
                <w:webHidden/>
              </w:rPr>
              <w:instrText xml:space="preserve"> PAGEREF _Toc109922662 \h </w:instrText>
            </w:r>
            <w:r w:rsidR="005764D1" w:rsidRPr="006355FF">
              <w:rPr>
                <w:rFonts w:ascii="Arial" w:hAnsi="Arial"/>
                <w:noProof/>
                <w:webHidden/>
              </w:rPr>
            </w:r>
            <w:r w:rsidR="005764D1" w:rsidRPr="006355FF">
              <w:rPr>
                <w:rFonts w:ascii="Arial" w:hAnsi="Arial"/>
                <w:noProof/>
                <w:webHidden/>
              </w:rPr>
              <w:fldChar w:fldCharType="separate"/>
            </w:r>
            <w:r w:rsidR="00B17E52">
              <w:rPr>
                <w:rFonts w:ascii="Arial" w:hAnsi="Arial"/>
                <w:noProof/>
                <w:webHidden/>
              </w:rPr>
              <w:t>202</w:t>
            </w:r>
            <w:r w:rsidR="005764D1" w:rsidRPr="006355FF">
              <w:rPr>
                <w:rFonts w:ascii="Arial" w:hAnsi="Arial"/>
                <w:noProof/>
                <w:webHidden/>
              </w:rPr>
              <w:fldChar w:fldCharType="end"/>
            </w:r>
          </w:hyperlink>
        </w:p>
        <w:p w14:paraId="564CAFA9" w14:textId="676E7A75" w:rsidR="005764D1" w:rsidRPr="006355FF" w:rsidRDefault="00DD2F61" w:rsidP="006F1659">
          <w:pPr>
            <w:pStyle w:val="TOC2"/>
            <w:tabs>
              <w:tab w:val="right" w:leader="dot" w:pos="9016"/>
            </w:tabs>
            <w:spacing w:line="360" w:lineRule="auto"/>
            <w:rPr>
              <w:rFonts w:ascii="Arial" w:eastAsiaTheme="minorEastAsia" w:hAnsi="Arial" w:cstheme="minorBidi"/>
              <w:noProof/>
              <w:szCs w:val="22"/>
              <w:lang w:eastAsia="en-GB"/>
            </w:rPr>
          </w:pPr>
          <w:hyperlink w:anchor="_Toc109922663" w:history="1">
            <w:r w:rsidR="005764D1" w:rsidRPr="006355FF">
              <w:rPr>
                <w:rStyle w:val="Hyperlink"/>
                <w:rFonts w:ascii="Arial" w:hAnsi="Arial"/>
                <w:noProof/>
              </w:rPr>
              <w:t>Group Cash Flow Statement</w:t>
            </w:r>
            <w:r w:rsidR="005764D1" w:rsidRPr="006355FF">
              <w:rPr>
                <w:rFonts w:ascii="Arial" w:hAnsi="Arial"/>
                <w:noProof/>
                <w:webHidden/>
              </w:rPr>
              <w:tab/>
            </w:r>
            <w:r w:rsidR="005764D1" w:rsidRPr="006355FF">
              <w:rPr>
                <w:rFonts w:ascii="Arial" w:hAnsi="Arial"/>
                <w:noProof/>
                <w:webHidden/>
              </w:rPr>
              <w:fldChar w:fldCharType="begin"/>
            </w:r>
            <w:r w:rsidR="005764D1" w:rsidRPr="006355FF">
              <w:rPr>
                <w:rFonts w:ascii="Arial" w:hAnsi="Arial"/>
                <w:noProof/>
                <w:webHidden/>
              </w:rPr>
              <w:instrText xml:space="preserve"> PAGEREF _Toc109922663 \h </w:instrText>
            </w:r>
            <w:r w:rsidR="005764D1" w:rsidRPr="006355FF">
              <w:rPr>
                <w:rFonts w:ascii="Arial" w:hAnsi="Arial"/>
                <w:noProof/>
                <w:webHidden/>
              </w:rPr>
            </w:r>
            <w:r w:rsidR="005764D1" w:rsidRPr="006355FF">
              <w:rPr>
                <w:rFonts w:ascii="Arial" w:hAnsi="Arial"/>
                <w:noProof/>
                <w:webHidden/>
              </w:rPr>
              <w:fldChar w:fldCharType="separate"/>
            </w:r>
            <w:r w:rsidR="00B17E52">
              <w:rPr>
                <w:rFonts w:ascii="Arial" w:hAnsi="Arial"/>
                <w:noProof/>
                <w:webHidden/>
              </w:rPr>
              <w:t>203</w:t>
            </w:r>
            <w:r w:rsidR="005764D1" w:rsidRPr="006355FF">
              <w:rPr>
                <w:rFonts w:ascii="Arial" w:hAnsi="Arial"/>
                <w:noProof/>
                <w:webHidden/>
              </w:rPr>
              <w:fldChar w:fldCharType="end"/>
            </w:r>
          </w:hyperlink>
        </w:p>
        <w:p w14:paraId="56FBC960" w14:textId="3EADB5BC" w:rsidR="005764D1" w:rsidRPr="006355FF" w:rsidRDefault="00DD2F61" w:rsidP="006F1659">
          <w:pPr>
            <w:pStyle w:val="TOC1"/>
            <w:tabs>
              <w:tab w:val="right" w:leader="dot" w:pos="9016"/>
            </w:tabs>
            <w:spacing w:line="360" w:lineRule="auto"/>
            <w:rPr>
              <w:rFonts w:ascii="Arial" w:eastAsiaTheme="minorEastAsia" w:hAnsi="Arial" w:cstheme="minorBidi"/>
              <w:noProof/>
              <w:szCs w:val="22"/>
              <w:lang w:eastAsia="en-GB"/>
            </w:rPr>
          </w:pPr>
          <w:hyperlink w:anchor="_Toc109922664" w:history="1">
            <w:r w:rsidR="005764D1" w:rsidRPr="006355FF">
              <w:rPr>
                <w:rStyle w:val="Hyperlink"/>
                <w:rFonts w:ascii="Arial" w:hAnsi="Arial"/>
                <w:noProof/>
              </w:rPr>
              <w:t>Notes to the Group Financial Statements</w:t>
            </w:r>
            <w:r w:rsidR="005764D1" w:rsidRPr="006355FF">
              <w:rPr>
                <w:rFonts w:ascii="Arial" w:hAnsi="Arial"/>
                <w:noProof/>
                <w:webHidden/>
              </w:rPr>
              <w:tab/>
            </w:r>
            <w:r w:rsidR="005764D1" w:rsidRPr="006355FF">
              <w:rPr>
                <w:rFonts w:ascii="Arial" w:hAnsi="Arial"/>
                <w:noProof/>
                <w:webHidden/>
              </w:rPr>
              <w:fldChar w:fldCharType="begin"/>
            </w:r>
            <w:r w:rsidR="005764D1" w:rsidRPr="006355FF">
              <w:rPr>
                <w:rFonts w:ascii="Arial" w:hAnsi="Arial"/>
                <w:noProof/>
                <w:webHidden/>
              </w:rPr>
              <w:instrText xml:space="preserve"> PAGEREF _Toc109922664 \h </w:instrText>
            </w:r>
            <w:r w:rsidR="005764D1" w:rsidRPr="006355FF">
              <w:rPr>
                <w:rFonts w:ascii="Arial" w:hAnsi="Arial"/>
                <w:noProof/>
                <w:webHidden/>
              </w:rPr>
            </w:r>
            <w:r w:rsidR="005764D1" w:rsidRPr="006355FF">
              <w:rPr>
                <w:rFonts w:ascii="Arial" w:hAnsi="Arial"/>
                <w:noProof/>
                <w:webHidden/>
              </w:rPr>
              <w:fldChar w:fldCharType="separate"/>
            </w:r>
            <w:r w:rsidR="00B17E52">
              <w:rPr>
                <w:rFonts w:ascii="Arial" w:hAnsi="Arial"/>
                <w:noProof/>
                <w:webHidden/>
              </w:rPr>
              <w:t>204</w:t>
            </w:r>
            <w:r w:rsidR="005764D1" w:rsidRPr="006355FF">
              <w:rPr>
                <w:rFonts w:ascii="Arial" w:hAnsi="Arial"/>
                <w:noProof/>
                <w:webHidden/>
              </w:rPr>
              <w:fldChar w:fldCharType="end"/>
            </w:r>
          </w:hyperlink>
        </w:p>
        <w:p w14:paraId="7E64CD42" w14:textId="1C69FC27" w:rsidR="005764D1" w:rsidRPr="006355FF" w:rsidRDefault="00DD2F61" w:rsidP="006F1659">
          <w:pPr>
            <w:pStyle w:val="TOC2"/>
            <w:tabs>
              <w:tab w:val="right" w:leader="dot" w:pos="9016"/>
            </w:tabs>
            <w:spacing w:line="360" w:lineRule="auto"/>
            <w:rPr>
              <w:rFonts w:ascii="Arial" w:eastAsiaTheme="minorEastAsia" w:hAnsi="Arial" w:cstheme="minorBidi"/>
              <w:noProof/>
              <w:szCs w:val="22"/>
              <w:lang w:eastAsia="en-GB"/>
            </w:rPr>
          </w:pPr>
          <w:hyperlink w:anchor="_Toc109922695" w:history="1">
            <w:r w:rsidR="005764D1" w:rsidRPr="006355FF">
              <w:rPr>
                <w:rStyle w:val="Hyperlink"/>
                <w:rFonts w:ascii="Arial" w:hAnsi="Arial"/>
                <w:noProof/>
              </w:rPr>
              <w:t>Police Pension Fund</w:t>
            </w:r>
            <w:r w:rsidR="005764D1" w:rsidRPr="006355FF">
              <w:rPr>
                <w:rFonts w:ascii="Arial" w:hAnsi="Arial"/>
                <w:noProof/>
                <w:webHidden/>
              </w:rPr>
              <w:tab/>
            </w:r>
            <w:r w:rsidR="005764D1" w:rsidRPr="006355FF">
              <w:rPr>
                <w:rFonts w:ascii="Arial" w:hAnsi="Arial"/>
                <w:noProof/>
                <w:webHidden/>
              </w:rPr>
              <w:fldChar w:fldCharType="begin"/>
            </w:r>
            <w:r w:rsidR="005764D1" w:rsidRPr="006355FF">
              <w:rPr>
                <w:rFonts w:ascii="Arial" w:hAnsi="Arial"/>
                <w:noProof/>
                <w:webHidden/>
              </w:rPr>
              <w:instrText xml:space="preserve"> PAGEREF _Toc109922695 \h </w:instrText>
            </w:r>
            <w:r w:rsidR="005764D1" w:rsidRPr="006355FF">
              <w:rPr>
                <w:rFonts w:ascii="Arial" w:hAnsi="Arial"/>
                <w:noProof/>
                <w:webHidden/>
              </w:rPr>
            </w:r>
            <w:r w:rsidR="005764D1" w:rsidRPr="006355FF">
              <w:rPr>
                <w:rFonts w:ascii="Arial" w:hAnsi="Arial"/>
                <w:noProof/>
                <w:webHidden/>
              </w:rPr>
              <w:fldChar w:fldCharType="separate"/>
            </w:r>
            <w:r w:rsidR="00B17E52">
              <w:rPr>
                <w:rFonts w:ascii="Arial" w:hAnsi="Arial"/>
                <w:noProof/>
                <w:webHidden/>
              </w:rPr>
              <w:t>256</w:t>
            </w:r>
            <w:r w:rsidR="005764D1" w:rsidRPr="006355FF">
              <w:rPr>
                <w:rFonts w:ascii="Arial" w:hAnsi="Arial"/>
                <w:noProof/>
                <w:webHidden/>
              </w:rPr>
              <w:fldChar w:fldCharType="end"/>
            </w:r>
          </w:hyperlink>
        </w:p>
        <w:p w14:paraId="7438D0EA" w14:textId="5C21866E" w:rsidR="005764D1" w:rsidRPr="003B46BF" w:rsidRDefault="00DD2F61" w:rsidP="006F1659">
          <w:pPr>
            <w:pStyle w:val="TOC2"/>
            <w:tabs>
              <w:tab w:val="right" w:leader="dot" w:pos="9016"/>
            </w:tabs>
            <w:spacing w:line="360" w:lineRule="auto"/>
            <w:ind w:left="0"/>
            <w:rPr>
              <w:rFonts w:asciiTheme="minorHAnsi" w:eastAsiaTheme="minorEastAsia" w:hAnsiTheme="minorHAnsi" w:cstheme="minorBidi"/>
              <w:noProof/>
              <w:sz w:val="22"/>
              <w:szCs w:val="22"/>
              <w:lang w:eastAsia="en-GB"/>
            </w:rPr>
          </w:pPr>
          <w:hyperlink w:anchor="_Toc109922700" w:history="1">
            <w:r w:rsidR="005764D1" w:rsidRPr="006355FF">
              <w:rPr>
                <w:rStyle w:val="Hyperlink"/>
                <w:rFonts w:ascii="Arial" w:hAnsi="Arial"/>
                <w:noProof/>
              </w:rPr>
              <w:t>Glossary of Financial Terms</w:t>
            </w:r>
            <w:r w:rsidR="005764D1" w:rsidRPr="006355FF">
              <w:rPr>
                <w:rFonts w:ascii="Arial" w:hAnsi="Arial"/>
                <w:noProof/>
                <w:webHidden/>
              </w:rPr>
              <w:tab/>
            </w:r>
            <w:r w:rsidR="005764D1" w:rsidRPr="006355FF">
              <w:rPr>
                <w:rFonts w:ascii="Arial" w:hAnsi="Arial"/>
                <w:noProof/>
                <w:webHidden/>
              </w:rPr>
              <w:fldChar w:fldCharType="begin"/>
            </w:r>
            <w:r w:rsidR="005764D1" w:rsidRPr="006355FF">
              <w:rPr>
                <w:rFonts w:ascii="Arial" w:hAnsi="Arial"/>
                <w:noProof/>
                <w:webHidden/>
              </w:rPr>
              <w:instrText xml:space="preserve"> PAGEREF _Toc109922700 \h </w:instrText>
            </w:r>
            <w:r w:rsidR="005764D1" w:rsidRPr="006355FF">
              <w:rPr>
                <w:rFonts w:ascii="Arial" w:hAnsi="Arial"/>
                <w:noProof/>
                <w:webHidden/>
              </w:rPr>
            </w:r>
            <w:r w:rsidR="005764D1" w:rsidRPr="006355FF">
              <w:rPr>
                <w:rFonts w:ascii="Arial" w:hAnsi="Arial"/>
                <w:noProof/>
                <w:webHidden/>
              </w:rPr>
              <w:fldChar w:fldCharType="separate"/>
            </w:r>
            <w:r w:rsidR="00B17E52">
              <w:rPr>
                <w:rFonts w:ascii="Arial" w:hAnsi="Arial"/>
                <w:noProof/>
                <w:webHidden/>
              </w:rPr>
              <w:t>259</w:t>
            </w:r>
            <w:r w:rsidR="005764D1" w:rsidRPr="006355FF">
              <w:rPr>
                <w:rFonts w:ascii="Arial" w:hAnsi="Arial"/>
                <w:noProof/>
                <w:webHidden/>
              </w:rPr>
              <w:fldChar w:fldCharType="end"/>
            </w:r>
          </w:hyperlink>
        </w:p>
        <w:p w14:paraId="451A6560" w14:textId="0C7B7182" w:rsidR="0074597D" w:rsidRPr="003B46BF" w:rsidRDefault="0074597D" w:rsidP="006F1659">
          <w:pPr>
            <w:spacing w:line="360" w:lineRule="auto"/>
          </w:pPr>
          <w:r w:rsidRPr="003B46BF">
            <w:rPr>
              <w:rFonts w:ascii="Arial" w:hAnsi="Arial" w:cs="Arial"/>
              <w:b/>
              <w:bCs/>
              <w:noProof/>
            </w:rPr>
            <w:fldChar w:fldCharType="end"/>
          </w:r>
        </w:p>
      </w:sdtContent>
    </w:sdt>
    <w:p w14:paraId="69D61D41" w14:textId="562D3ECC" w:rsidR="005F371A" w:rsidRPr="003B46BF" w:rsidRDefault="005F371A" w:rsidP="006F1659">
      <w:pPr>
        <w:tabs>
          <w:tab w:val="center" w:pos="8640"/>
        </w:tabs>
        <w:spacing w:line="360" w:lineRule="auto"/>
        <w:rPr>
          <w:rFonts w:ascii="Arial" w:hAnsi="Arial" w:cs="Arial"/>
          <w:b/>
          <w:sz w:val="22"/>
          <w:szCs w:val="22"/>
        </w:rPr>
      </w:pPr>
    </w:p>
    <w:p w14:paraId="21BB5D47" w14:textId="77777777" w:rsidR="00D64FA5" w:rsidRPr="00BE35F9" w:rsidRDefault="00D64FA5" w:rsidP="006F1659">
      <w:pPr>
        <w:tabs>
          <w:tab w:val="center" w:pos="8460"/>
        </w:tabs>
        <w:spacing w:after="240" w:line="360" w:lineRule="auto"/>
        <w:rPr>
          <w:rFonts w:ascii="Arial" w:hAnsi="Arial" w:cs="Arial"/>
          <w:sz w:val="22"/>
          <w:szCs w:val="22"/>
          <w:highlight w:val="yellow"/>
        </w:rPr>
      </w:pPr>
    </w:p>
    <w:p w14:paraId="2BF636C0" w14:textId="77777777" w:rsidR="00D64FA5" w:rsidRPr="00BE35F9" w:rsidRDefault="00D64FA5" w:rsidP="006F1659">
      <w:pPr>
        <w:tabs>
          <w:tab w:val="center" w:pos="9000"/>
        </w:tabs>
        <w:spacing w:after="240" w:line="360" w:lineRule="auto"/>
        <w:rPr>
          <w:rFonts w:ascii="Arial" w:hAnsi="Arial" w:cs="Arial"/>
          <w:sz w:val="22"/>
          <w:szCs w:val="22"/>
          <w:highlight w:val="yellow"/>
        </w:rPr>
      </w:pPr>
    </w:p>
    <w:p w14:paraId="1F9F21F1" w14:textId="77777777" w:rsidR="00D64FA5" w:rsidRPr="00BE35F9" w:rsidRDefault="00D64FA5" w:rsidP="006F1659">
      <w:pPr>
        <w:spacing w:line="360" w:lineRule="auto"/>
        <w:rPr>
          <w:rFonts w:ascii="Arial" w:hAnsi="Arial" w:cs="Arial"/>
          <w:sz w:val="22"/>
          <w:szCs w:val="22"/>
          <w:highlight w:val="yellow"/>
        </w:rPr>
        <w:sectPr w:rsidR="00D64FA5" w:rsidRPr="00BE35F9" w:rsidSect="004833A2">
          <w:headerReference w:type="default" r:id="rId11"/>
          <w:footerReference w:type="default" r:id="rId12"/>
          <w:pgSz w:w="11906" w:h="16838"/>
          <w:pgMar w:top="946" w:right="1800" w:bottom="1440" w:left="1080" w:header="708" w:footer="708" w:gutter="0"/>
          <w:cols w:space="708"/>
          <w:docGrid w:linePitch="360"/>
        </w:sectPr>
      </w:pPr>
    </w:p>
    <w:p w14:paraId="36CEDCD9" w14:textId="066EA957" w:rsidR="00AD2D07" w:rsidRPr="00BE35F9" w:rsidRDefault="00D64FA5" w:rsidP="006F1659">
      <w:pPr>
        <w:pStyle w:val="Heading2green"/>
        <w:spacing w:line="360" w:lineRule="auto"/>
        <w:rPr>
          <w:sz w:val="28"/>
          <w:szCs w:val="28"/>
        </w:rPr>
      </w:pPr>
      <w:bookmarkStart w:id="10" w:name="_Toc109922577"/>
      <w:r w:rsidRPr="00BE35F9">
        <w:lastRenderedPageBreak/>
        <w:t>Narrative Report by the Authority Treasurer</w:t>
      </w:r>
      <w:bookmarkEnd w:id="10"/>
    </w:p>
    <w:p w14:paraId="5D625F52" w14:textId="77777777" w:rsidR="006E1394" w:rsidRPr="00192EC4" w:rsidRDefault="006E1394" w:rsidP="006F1659">
      <w:pPr>
        <w:pStyle w:val="StyleNormalAccessible"/>
        <w:spacing w:after="160"/>
        <w:rPr>
          <w:rFonts w:cs="Arial"/>
        </w:rPr>
      </w:pPr>
      <w:bookmarkStart w:id="11" w:name="_Toc92895161"/>
      <w:bookmarkStart w:id="12" w:name="_Toc109160257"/>
    </w:p>
    <w:bookmarkEnd w:id="11"/>
    <w:bookmarkEnd w:id="12"/>
    <w:p w14:paraId="1FD8BF64" w14:textId="5B21A099" w:rsidR="00BE35F9" w:rsidRPr="00192EC4" w:rsidRDefault="00BE35F9" w:rsidP="006F1659">
      <w:pPr>
        <w:pStyle w:val="StyleNormalAccessible"/>
        <w:spacing w:after="160"/>
        <w:rPr>
          <w:rFonts w:cs="Arial"/>
          <w:szCs w:val="24"/>
        </w:rPr>
      </w:pPr>
      <w:r w:rsidRPr="00192EC4">
        <w:rPr>
          <w:rFonts w:cs="Arial"/>
          <w:szCs w:val="24"/>
        </w:rPr>
        <w:t xml:space="preserve">Welcome to the Greater Manchester Combined Authority’s (the Authority) Annual Statement of Accounts for </w:t>
      </w:r>
      <w:r w:rsidR="00D1125B">
        <w:rPr>
          <w:rFonts w:cs="Arial"/>
          <w:szCs w:val="24"/>
        </w:rPr>
        <w:t>2023/24</w:t>
      </w:r>
      <w:r w:rsidRPr="00192EC4">
        <w:rPr>
          <w:rFonts w:cs="Arial"/>
          <w:szCs w:val="24"/>
        </w:rPr>
        <w:t>. The statements have been prepared in accordance with the requirements of the Accounting Code of Practice issued by the Chartered Institute of Public Finance and Accountancy (CIPFA).</w:t>
      </w:r>
    </w:p>
    <w:p w14:paraId="59332B9B" w14:textId="77777777" w:rsidR="00BE35F9" w:rsidRPr="00192EC4" w:rsidRDefault="00BE35F9" w:rsidP="006F1659">
      <w:pPr>
        <w:pStyle w:val="Normal0"/>
        <w:spacing w:after="160" w:line="360" w:lineRule="auto"/>
        <w:rPr>
          <w:rFonts w:ascii="Arial" w:hAnsi="Arial" w:cs="Arial"/>
          <w:sz w:val="24"/>
          <w:szCs w:val="24"/>
          <w:lang w:val="en-GB"/>
        </w:rPr>
      </w:pPr>
      <w:r w:rsidRPr="00192EC4">
        <w:rPr>
          <w:rFonts w:ascii="Arial" w:hAnsi="Arial" w:cs="Arial"/>
          <w:sz w:val="24"/>
          <w:szCs w:val="24"/>
          <w:lang w:val="en-GB"/>
        </w:rPr>
        <w:t>This narrative report aims to provide information so that members of the public, Councillors, partners, stakeholders and other interested parties are able to have:</w:t>
      </w:r>
    </w:p>
    <w:p w14:paraId="1B1CAFB4" w14:textId="340280A4" w:rsidR="00BE35F9" w:rsidRPr="00192EC4" w:rsidRDefault="00BE35F9" w:rsidP="006F1659">
      <w:pPr>
        <w:pStyle w:val="Normal0"/>
        <w:numPr>
          <w:ilvl w:val="0"/>
          <w:numId w:val="53"/>
        </w:numPr>
        <w:spacing w:after="160" w:line="360" w:lineRule="auto"/>
        <w:rPr>
          <w:rFonts w:ascii="Arial" w:hAnsi="Arial" w:cs="Arial"/>
          <w:sz w:val="24"/>
          <w:szCs w:val="24"/>
          <w:lang w:val="en-GB"/>
        </w:rPr>
      </w:pPr>
      <w:r w:rsidRPr="00192EC4">
        <w:rPr>
          <w:rFonts w:ascii="Arial" w:hAnsi="Arial" w:cs="Arial"/>
          <w:sz w:val="24"/>
          <w:szCs w:val="24"/>
          <w:lang w:val="en-GB"/>
        </w:rPr>
        <w:t xml:space="preserve">A full and understandable explanation of the overarching financial position of the Authority and the financial performance for the year </w:t>
      </w:r>
      <w:r w:rsidR="00D1125B">
        <w:rPr>
          <w:rFonts w:ascii="Arial" w:hAnsi="Arial" w:cs="Arial"/>
          <w:sz w:val="24"/>
          <w:szCs w:val="24"/>
          <w:lang w:val="en-GB"/>
        </w:rPr>
        <w:t>2023/24</w:t>
      </w:r>
      <w:r w:rsidRPr="00192EC4">
        <w:rPr>
          <w:rFonts w:ascii="Arial" w:hAnsi="Arial" w:cs="Arial"/>
          <w:sz w:val="24"/>
          <w:szCs w:val="24"/>
          <w:lang w:val="en-GB"/>
        </w:rPr>
        <w:t>;</w:t>
      </w:r>
    </w:p>
    <w:p w14:paraId="368D506D" w14:textId="77777777" w:rsidR="00BE35F9" w:rsidRPr="00192EC4" w:rsidRDefault="00BE35F9" w:rsidP="006F1659">
      <w:pPr>
        <w:pStyle w:val="Normal0"/>
        <w:numPr>
          <w:ilvl w:val="0"/>
          <w:numId w:val="53"/>
        </w:numPr>
        <w:spacing w:after="160" w:line="360" w:lineRule="auto"/>
        <w:rPr>
          <w:rFonts w:ascii="Arial" w:hAnsi="Arial" w:cs="Arial"/>
          <w:sz w:val="24"/>
          <w:szCs w:val="24"/>
          <w:lang w:val="en-GB"/>
        </w:rPr>
      </w:pPr>
      <w:r w:rsidRPr="00192EC4">
        <w:rPr>
          <w:rFonts w:ascii="Arial" w:hAnsi="Arial" w:cs="Arial"/>
          <w:sz w:val="24"/>
          <w:szCs w:val="24"/>
          <w:lang w:val="en-GB"/>
        </w:rPr>
        <w:t>Confidence that the public money with which the Authority has been entrusted has been used and accounted for in an appropriate manner;</w:t>
      </w:r>
    </w:p>
    <w:p w14:paraId="66533CBD" w14:textId="77777777" w:rsidR="00BE35F9" w:rsidRPr="00192EC4" w:rsidRDefault="00BE35F9" w:rsidP="006F1659">
      <w:pPr>
        <w:pStyle w:val="Normal0"/>
        <w:numPr>
          <w:ilvl w:val="0"/>
          <w:numId w:val="53"/>
        </w:numPr>
        <w:spacing w:after="160" w:line="360" w:lineRule="auto"/>
        <w:rPr>
          <w:rFonts w:ascii="Arial" w:hAnsi="Arial" w:cs="Arial"/>
          <w:sz w:val="24"/>
          <w:szCs w:val="24"/>
          <w:lang w:val="en-GB"/>
        </w:rPr>
      </w:pPr>
      <w:r w:rsidRPr="00192EC4">
        <w:rPr>
          <w:rFonts w:ascii="Arial" w:hAnsi="Arial" w:cs="Arial"/>
          <w:sz w:val="24"/>
          <w:szCs w:val="24"/>
          <w:lang w:val="en-GB"/>
        </w:rPr>
        <w:t>Assurance that the financial position of the Authority is sound and secure.</w:t>
      </w:r>
    </w:p>
    <w:p w14:paraId="224E0204" w14:textId="1ED3F995" w:rsidR="00BE35F9" w:rsidRPr="00192EC4" w:rsidRDefault="00BE35F9" w:rsidP="006F1659">
      <w:pPr>
        <w:pStyle w:val="Normal0"/>
        <w:spacing w:after="160" w:line="360" w:lineRule="auto"/>
        <w:rPr>
          <w:rFonts w:ascii="Arial" w:hAnsi="Arial" w:cs="Arial"/>
          <w:sz w:val="24"/>
          <w:szCs w:val="24"/>
          <w:lang w:val="en-GB"/>
        </w:rPr>
      </w:pPr>
      <w:r w:rsidRPr="00192EC4">
        <w:rPr>
          <w:rFonts w:ascii="Arial" w:hAnsi="Arial" w:cs="Arial"/>
          <w:sz w:val="24"/>
          <w:szCs w:val="24"/>
          <w:lang w:val="en-GB"/>
        </w:rPr>
        <w:t>This narrative report provides information about the Authority, including the key issues affecting the Authority and its accounts. It also provides a summary of the financial position at 31 March 202</w:t>
      </w:r>
      <w:r w:rsidR="00D1125B">
        <w:rPr>
          <w:rFonts w:ascii="Arial" w:hAnsi="Arial" w:cs="Arial"/>
          <w:sz w:val="24"/>
          <w:szCs w:val="24"/>
          <w:lang w:val="en-GB"/>
        </w:rPr>
        <w:t>4</w:t>
      </w:r>
      <w:r w:rsidRPr="00192EC4">
        <w:rPr>
          <w:rFonts w:ascii="Arial" w:hAnsi="Arial" w:cs="Arial"/>
          <w:sz w:val="24"/>
          <w:szCs w:val="24"/>
          <w:lang w:val="en-GB"/>
        </w:rPr>
        <w:t xml:space="preserve"> and is structured as below:</w:t>
      </w:r>
    </w:p>
    <w:p w14:paraId="25B027C0" w14:textId="3126B867" w:rsidR="00BE35F9" w:rsidRPr="00192EC4" w:rsidRDefault="00BE35F9" w:rsidP="006F1659">
      <w:pPr>
        <w:pStyle w:val="Normal0"/>
        <w:numPr>
          <w:ilvl w:val="0"/>
          <w:numId w:val="54"/>
        </w:numPr>
        <w:spacing w:after="160" w:line="360" w:lineRule="auto"/>
        <w:rPr>
          <w:rFonts w:ascii="Arial" w:hAnsi="Arial" w:cs="Arial"/>
          <w:sz w:val="24"/>
          <w:szCs w:val="24"/>
          <w:lang w:val="en-GB"/>
        </w:rPr>
      </w:pPr>
      <w:r w:rsidRPr="00192EC4">
        <w:rPr>
          <w:rFonts w:ascii="Arial" w:hAnsi="Arial" w:cs="Arial"/>
          <w:sz w:val="24"/>
          <w:szCs w:val="24"/>
          <w:lang w:val="en-GB"/>
        </w:rPr>
        <w:t xml:space="preserve">How the Authority Performed in </w:t>
      </w:r>
      <w:r w:rsidR="00D1125B">
        <w:rPr>
          <w:rFonts w:ascii="Arial" w:hAnsi="Arial" w:cs="Arial"/>
          <w:sz w:val="24"/>
          <w:szCs w:val="24"/>
          <w:lang w:val="en-GB"/>
        </w:rPr>
        <w:t>2023/24</w:t>
      </w:r>
    </w:p>
    <w:p w14:paraId="71F1B17C" w14:textId="77777777" w:rsidR="00BE35F9" w:rsidRPr="00192EC4" w:rsidRDefault="00BE35F9" w:rsidP="006F1659">
      <w:pPr>
        <w:pStyle w:val="Normal0"/>
        <w:numPr>
          <w:ilvl w:val="0"/>
          <w:numId w:val="54"/>
        </w:numPr>
        <w:spacing w:after="160" w:line="360" w:lineRule="auto"/>
        <w:rPr>
          <w:rFonts w:ascii="Arial" w:hAnsi="Arial" w:cs="Arial"/>
          <w:sz w:val="24"/>
          <w:szCs w:val="24"/>
          <w:lang w:val="en-GB"/>
        </w:rPr>
      </w:pPr>
      <w:r w:rsidRPr="00192EC4">
        <w:rPr>
          <w:rFonts w:ascii="Arial" w:hAnsi="Arial" w:cs="Arial"/>
          <w:sz w:val="24"/>
          <w:szCs w:val="24"/>
          <w:lang w:val="en-GB"/>
        </w:rPr>
        <w:t>The Authority’s Group of Companies</w:t>
      </w:r>
    </w:p>
    <w:p w14:paraId="6032DFDA" w14:textId="1A2A2CE7" w:rsidR="00BE35F9" w:rsidRPr="00192EC4" w:rsidRDefault="00BE35F9" w:rsidP="006F1659">
      <w:pPr>
        <w:pStyle w:val="Normal0"/>
        <w:numPr>
          <w:ilvl w:val="0"/>
          <w:numId w:val="54"/>
        </w:numPr>
        <w:spacing w:after="160" w:line="360" w:lineRule="auto"/>
        <w:rPr>
          <w:rFonts w:ascii="Arial" w:hAnsi="Arial" w:cs="Arial"/>
          <w:sz w:val="24"/>
          <w:szCs w:val="24"/>
          <w:lang w:val="en-GB"/>
        </w:rPr>
      </w:pPr>
      <w:r w:rsidRPr="00192EC4">
        <w:rPr>
          <w:rFonts w:ascii="Arial" w:hAnsi="Arial" w:cs="Arial"/>
          <w:sz w:val="24"/>
          <w:szCs w:val="24"/>
          <w:lang w:val="en-GB"/>
        </w:rPr>
        <w:t xml:space="preserve">Revenue Budget and Financial Performance </w:t>
      </w:r>
      <w:r w:rsidR="00D1125B">
        <w:rPr>
          <w:rFonts w:ascii="Arial" w:hAnsi="Arial" w:cs="Arial"/>
          <w:sz w:val="24"/>
          <w:szCs w:val="24"/>
          <w:lang w:val="en-GB"/>
        </w:rPr>
        <w:t>2023/24</w:t>
      </w:r>
    </w:p>
    <w:p w14:paraId="1AC28723" w14:textId="077CD8BB" w:rsidR="00BE35F9" w:rsidRPr="00192EC4" w:rsidRDefault="00BE35F9" w:rsidP="006F1659">
      <w:pPr>
        <w:pStyle w:val="Normal0"/>
        <w:numPr>
          <w:ilvl w:val="0"/>
          <w:numId w:val="54"/>
        </w:numPr>
        <w:spacing w:after="160" w:line="360" w:lineRule="auto"/>
        <w:rPr>
          <w:rFonts w:ascii="Arial" w:hAnsi="Arial" w:cs="Arial"/>
          <w:sz w:val="24"/>
          <w:szCs w:val="24"/>
          <w:lang w:val="en-GB"/>
        </w:rPr>
      </w:pPr>
      <w:r w:rsidRPr="00192EC4">
        <w:rPr>
          <w:rFonts w:ascii="Arial" w:hAnsi="Arial" w:cs="Arial"/>
          <w:sz w:val="24"/>
          <w:szCs w:val="24"/>
          <w:lang w:val="en-GB"/>
        </w:rPr>
        <w:t xml:space="preserve">Capital Programme and Financing </w:t>
      </w:r>
      <w:r w:rsidR="00D1125B">
        <w:rPr>
          <w:rFonts w:ascii="Arial" w:hAnsi="Arial" w:cs="Arial"/>
          <w:sz w:val="24"/>
          <w:szCs w:val="24"/>
          <w:lang w:val="en-GB"/>
        </w:rPr>
        <w:t>2023/24</w:t>
      </w:r>
    </w:p>
    <w:p w14:paraId="33C7147F" w14:textId="3A652919" w:rsidR="00BE35F9" w:rsidRPr="00192EC4" w:rsidRDefault="00BE35F9" w:rsidP="006F1659">
      <w:pPr>
        <w:pStyle w:val="Normal0"/>
        <w:numPr>
          <w:ilvl w:val="0"/>
          <w:numId w:val="54"/>
        </w:numPr>
        <w:spacing w:after="160" w:line="360" w:lineRule="auto"/>
        <w:rPr>
          <w:rFonts w:ascii="Arial" w:hAnsi="Arial" w:cs="Arial"/>
          <w:sz w:val="24"/>
          <w:szCs w:val="24"/>
          <w:lang w:val="en-GB"/>
        </w:rPr>
      </w:pPr>
      <w:r w:rsidRPr="00192EC4">
        <w:rPr>
          <w:rFonts w:ascii="Arial" w:hAnsi="Arial" w:cs="Arial"/>
          <w:sz w:val="24"/>
          <w:szCs w:val="24"/>
          <w:lang w:val="en-GB"/>
        </w:rPr>
        <w:t xml:space="preserve">Treasury Management Performance in </w:t>
      </w:r>
      <w:r w:rsidR="00D1125B">
        <w:rPr>
          <w:rFonts w:ascii="Arial" w:hAnsi="Arial" w:cs="Arial"/>
          <w:sz w:val="24"/>
          <w:szCs w:val="24"/>
          <w:lang w:val="en-GB"/>
        </w:rPr>
        <w:t>2023/24</w:t>
      </w:r>
    </w:p>
    <w:p w14:paraId="776A0A40" w14:textId="77777777" w:rsidR="00BE35F9" w:rsidRPr="00192EC4" w:rsidRDefault="00BE35F9" w:rsidP="006F1659">
      <w:pPr>
        <w:pStyle w:val="Normal0"/>
        <w:numPr>
          <w:ilvl w:val="0"/>
          <w:numId w:val="54"/>
        </w:numPr>
        <w:spacing w:after="160" w:line="360" w:lineRule="auto"/>
        <w:rPr>
          <w:rFonts w:ascii="Arial" w:hAnsi="Arial" w:cs="Arial"/>
          <w:sz w:val="24"/>
          <w:szCs w:val="24"/>
          <w:lang w:val="en-GB"/>
        </w:rPr>
      </w:pPr>
      <w:r w:rsidRPr="00192EC4">
        <w:rPr>
          <w:rFonts w:ascii="Arial" w:hAnsi="Arial" w:cs="Arial"/>
          <w:sz w:val="24"/>
          <w:szCs w:val="24"/>
          <w:lang w:val="en-GB"/>
        </w:rPr>
        <w:t>Forward Look – Financial Landscape</w:t>
      </w:r>
    </w:p>
    <w:p w14:paraId="3A182958" w14:textId="77777777" w:rsidR="00BE35F9" w:rsidRPr="00192EC4" w:rsidRDefault="00BE35F9" w:rsidP="006F1659">
      <w:pPr>
        <w:pStyle w:val="Normal0"/>
        <w:numPr>
          <w:ilvl w:val="0"/>
          <w:numId w:val="54"/>
        </w:numPr>
        <w:spacing w:after="160" w:line="360" w:lineRule="auto"/>
        <w:rPr>
          <w:rFonts w:ascii="Arial" w:hAnsi="Arial" w:cs="Arial"/>
          <w:sz w:val="24"/>
          <w:szCs w:val="24"/>
          <w:lang w:val="en-GB"/>
        </w:rPr>
      </w:pPr>
      <w:r w:rsidRPr="00192EC4">
        <w:rPr>
          <w:rFonts w:ascii="Arial" w:hAnsi="Arial" w:cs="Arial"/>
          <w:sz w:val="24"/>
          <w:szCs w:val="24"/>
          <w:lang w:val="en-GB"/>
        </w:rPr>
        <w:t>Core Financial Statements</w:t>
      </w:r>
      <w:r w:rsidRPr="00192EC4">
        <w:rPr>
          <w:rFonts w:ascii="Arial" w:hAnsi="Arial" w:cs="Arial"/>
          <w:b/>
          <w:sz w:val="24"/>
          <w:szCs w:val="24"/>
        </w:rPr>
        <w:br w:type="page"/>
      </w:r>
    </w:p>
    <w:p w14:paraId="42DB8D5B" w14:textId="77777777" w:rsidR="00D15D90" w:rsidRPr="00192EC4" w:rsidRDefault="00D15D90" w:rsidP="00D15D90">
      <w:pPr>
        <w:spacing w:line="360" w:lineRule="auto"/>
        <w:rPr>
          <w:rFonts w:ascii="Arial" w:hAnsi="Arial" w:cs="Arial"/>
          <w:b/>
          <w:bCs/>
          <w:u w:val="single"/>
        </w:rPr>
      </w:pPr>
      <w:r w:rsidRPr="00192EC4">
        <w:rPr>
          <w:rFonts w:ascii="Arial" w:hAnsi="Arial" w:cs="Arial"/>
          <w:b/>
          <w:bCs/>
          <w:u w:val="single"/>
        </w:rPr>
        <w:lastRenderedPageBreak/>
        <w:t>Introduction to the Greater Manchester Combined Authority</w:t>
      </w:r>
    </w:p>
    <w:p w14:paraId="7BCAB1EC" w14:textId="77777777" w:rsidR="00D15D90" w:rsidRPr="00192EC4" w:rsidRDefault="00D15D90" w:rsidP="00D15D90">
      <w:pPr>
        <w:spacing w:line="360" w:lineRule="auto"/>
        <w:rPr>
          <w:rFonts w:ascii="Arial" w:hAnsi="Arial" w:cs="Arial"/>
          <w:b/>
          <w:bCs/>
          <w:u w:val="single"/>
        </w:rPr>
      </w:pPr>
    </w:p>
    <w:p w14:paraId="2A18B115" w14:textId="77777777" w:rsidR="00D15D90" w:rsidRPr="00192EC4" w:rsidRDefault="00D15D90" w:rsidP="00D15D90">
      <w:pPr>
        <w:spacing w:line="360" w:lineRule="auto"/>
        <w:rPr>
          <w:rFonts w:ascii="Arial" w:hAnsi="Arial" w:cs="Arial"/>
          <w:b/>
          <w:bCs/>
        </w:rPr>
      </w:pPr>
      <w:r w:rsidRPr="00192EC4">
        <w:rPr>
          <w:rFonts w:ascii="Arial" w:hAnsi="Arial" w:cs="Arial"/>
          <w:b/>
          <w:bCs/>
        </w:rPr>
        <w:t>Background</w:t>
      </w:r>
    </w:p>
    <w:p w14:paraId="104E4055" w14:textId="77777777" w:rsidR="00D15D90" w:rsidRPr="00192EC4" w:rsidRDefault="00D15D90" w:rsidP="00D15D90">
      <w:pPr>
        <w:spacing w:line="360" w:lineRule="auto"/>
        <w:rPr>
          <w:rFonts w:ascii="Arial" w:hAnsi="Arial" w:cs="Arial"/>
        </w:rPr>
      </w:pPr>
    </w:p>
    <w:p w14:paraId="2506BE38" w14:textId="4C5BEC6C" w:rsidR="00D15D90" w:rsidRPr="00192EC4" w:rsidRDefault="00D15D90" w:rsidP="00D15D90">
      <w:pPr>
        <w:shd w:val="clear" w:color="auto" w:fill="FFFFFF"/>
        <w:spacing w:after="100" w:afterAutospacing="1" w:line="360" w:lineRule="auto"/>
        <w:rPr>
          <w:rFonts w:ascii="Arial" w:hAnsi="Arial" w:cs="Arial"/>
          <w:color w:val="212529"/>
          <w:lang w:eastAsia="en-GB"/>
        </w:rPr>
      </w:pPr>
      <w:r w:rsidRPr="00192EC4">
        <w:rPr>
          <w:rFonts w:ascii="Arial" w:hAnsi="Arial" w:cs="Arial"/>
          <w:color w:val="212529"/>
          <w:lang w:eastAsia="en-GB"/>
        </w:rPr>
        <w:t xml:space="preserve">Greater Manchester is home to </w:t>
      </w:r>
      <w:r w:rsidRPr="003903C9">
        <w:rPr>
          <w:rFonts w:ascii="Arial" w:hAnsi="Arial" w:cs="Arial"/>
          <w:color w:val="212529"/>
          <w:lang w:eastAsia="en-GB"/>
        </w:rPr>
        <w:t>more than 2.8m people</w:t>
      </w:r>
      <w:r w:rsidR="006B7E79">
        <w:rPr>
          <w:rFonts w:ascii="Arial" w:hAnsi="Arial" w:cs="Arial"/>
          <w:color w:val="212529"/>
          <w:lang w:eastAsia="en-GB"/>
        </w:rPr>
        <w:t>. Its economy is</w:t>
      </w:r>
      <w:r w:rsidRPr="00192EC4">
        <w:rPr>
          <w:rFonts w:ascii="Arial" w:hAnsi="Arial" w:cs="Arial"/>
          <w:color w:val="212529"/>
          <w:lang w:eastAsia="en-GB"/>
        </w:rPr>
        <w:t xml:space="preserve"> the largest </w:t>
      </w:r>
      <w:r w:rsidR="006B7E79">
        <w:rPr>
          <w:rFonts w:ascii="Arial" w:hAnsi="Arial" w:cs="Arial"/>
          <w:color w:val="212529"/>
          <w:lang w:eastAsia="en-GB"/>
        </w:rPr>
        <w:t xml:space="preserve">of any </w:t>
      </w:r>
      <w:r w:rsidRPr="00192EC4">
        <w:rPr>
          <w:rFonts w:ascii="Arial" w:hAnsi="Arial" w:cs="Arial"/>
          <w:color w:val="212529"/>
          <w:lang w:eastAsia="en-GB"/>
        </w:rPr>
        <w:t xml:space="preserve">city region outside of London, </w:t>
      </w:r>
      <w:r w:rsidR="006B7E79">
        <w:rPr>
          <w:rFonts w:ascii="Arial" w:hAnsi="Arial" w:cs="Arial"/>
          <w:color w:val="212529"/>
          <w:lang w:eastAsia="en-GB"/>
        </w:rPr>
        <w:t xml:space="preserve">and </w:t>
      </w:r>
      <w:r w:rsidRPr="00192EC4">
        <w:rPr>
          <w:rFonts w:ascii="Arial" w:hAnsi="Arial" w:cs="Arial"/>
          <w:color w:val="212529"/>
          <w:lang w:eastAsia="en-GB"/>
        </w:rPr>
        <w:t xml:space="preserve">bigger than that of Wales or Northern Ireland. The Greater Manchester vision is to </w:t>
      </w:r>
      <w:r w:rsidR="006B7E79">
        <w:rPr>
          <w:rFonts w:ascii="Arial" w:hAnsi="Arial" w:cs="Arial"/>
          <w:color w:val="212529"/>
          <w:lang w:eastAsia="en-GB"/>
        </w:rPr>
        <w:t>be a place where everyone can live a good life, growing up, getting on and growing old in a greener, fairer, more prosperous city region. We are working collectively across out city region to achieve this, including through economic growth and reforming out public services</w:t>
      </w:r>
      <w:r w:rsidRPr="00192EC4">
        <w:rPr>
          <w:rFonts w:ascii="Arial" w:hAnsi="Arial" w:cs="Arial"/>
          <w:color w:val="212529"/>
          <w:lang w:eastAsia="en-GB"/>
        </w:rPr>
        <w:t>.</w:t>
      </w:r>
    </w:p>
    <w:p w14:paraId="0EBC2CCF" w14:textId="7FE23FB0" w:rsidR="00D15D90" w:rsidRPr="00192EC4" w:rsidRDefault="00D15D90" w:rsidP="00D15D90">
      <w:pPr>
        <w:pStyle w:val="Normal0"/>
        <w:spacing w:after="160" w:line="360" w:lineRule="auto"/>
        <w:rPr>
          <w:rFonts w:ascii="Arial" w:hAnsi="Arial" w:cs="Arial"/>
          <w:sz w:val="24"/>
          <w:szCs w:val="24"/>
        </w:rPr>
      </w:pPr>
      <w:r w:rsidRPr="00192EC4">
        <w:rPr>
          <w:rFonts w:ascii="Arial" w:hAnsi="Arial" w:cs="Arial"/>
          <w:sz w:val="24"/>
          <w:szCs w:val="24"/>
        </w:rPr>
        <w:t xml:space="preserve">The ten Greater Manchester councils (Bolton, Bury, Manchester, Oldham, Rochdale, Salford, Stockport, Tameside, Trafford and Wigan) have </w:t>
      </w:r>
      <w:r w:rsidR="006B7E79">
        <w:rPr>
          <w:rFonts w:ascii="Arial" w:hAnsi="Arial" w:cs="Arial"/>
          <w:sz w:val="24"/>
          <w:szCs w:val="24"/>
        </w:rPr>
        <w:t xml:space="preserve">a long history of decades of collaboration, </w:t>
      </w:r>
      <w:r w:rsidRPr="00192EC4">
        <w:rPr>
          <w:rFonts w:ascii="Arial" w:hAnsi="Arial" w:cs="Arial"/>
          <w:sz w:val="24"/>
          <w:szCs w:val="24"/>
        </w:rPr>
        <w:t>work</w:t>
      </w:r>
      <w:r w:rsidR="006B7E79">
        <w:rPr>
          <w:rFonts w:ascii="Arial" w:hAnsi="Arial" w:cs="Arial"/>
          <w:sz w:val="24"/>
          <w:szCs w:val="24"/>
        </w:rPr>
        <w:t>ing</w:t>
      </w:r>
      <w:r w:rsidRPr="00192EC4">
        <w:rPr>
          <w:rFonts w:ascii="Arial" w:hAnsi="Arial" w:cs="Arial"/>
          <w:sz w:val="24"/>
          <w:szCs w:val="24"/>
        </w:rPr>
        <w:t xml:space="preserve"> together</w:t>
      </w:r>
      <w:r w:rsidR="006B7E79">
        <w:rPr>
          <w:rFonts w:ascii="Arial" w:hAnsi="Arial" w:cs="Arial"/>
          <w:sz w:val="24"/>
          <w:szCs w:val="24"/>
        </w:rPr>
        <w:t xml:space="preserve"> in the best interests of residents on </w:t>
      </w:r>
      <w:r w:rsidRPr="00192EC4">
        <w:rPr>
          <w:rFonts w:ascii="Arial" w:hAnsi="Arial" w:cs="Arial"/>
          <w:sz w:val="24"/>
          <w:szCs w:val="24"/>
        </w:rPr>
        <w:t xml:space="preserve">issues like transport, regeneration, and attracting investment. </w:t>
      </w:r>
      <w:r w:rsidRPr="00192EC4">
        <w:rPr>
          <w:rFonts w:ascii="Arial" w:hAnsi="Arial" w:cs="Arial"/>
          <w:sz w:val="24"/>
          <w:szCs w:val="24"/>
          <w:shd w:val="clear" w:color="auto" w:fill="FFFFFF"/>
        </w:rPr>
        <w:t xml:space="preserve">The GMCA was established on 1 April 2011 by the Greater Manchester Combined Authority Order 2011. In 2014 </w:t>
      </w:r>
      <w:r w:rsidR="006B7E79">
        <w:rPr>
          <w:rFonts w:ascii="Arial" w:hAnsi="Arial" w:cs="Arial"/>
          <w:sz w:val="24"/>
          <w:szCs w:val="24"/>
          <w:shd w:val="clear" w:color="auto" w:fill="FFFFFF"/>
        </w:rPr>
        <w:t xml:space="preserve">the first </w:t>
      </w:r>
      <w:r w:rsidRPr="00192EC4">
        <w:rPr>
          <w:rFonts w:ascii="Arial" w:hAnsi="Arial" w:cs="Arial"/>
          <w:sz w:val="24"/>
          <w:szCs w:val="24"/>
          <w:shd w:val="clear" w:color="auto" w:fill="FFFFFF"/>
        </w:rPr>
        <w:t xml:space="preserve">devolution of powers to Greater Manchester </w:t>
      </w:r>
      <w:r w:rsidR="006B7E79">
        <w:rPr>
          <w:rFonts w:ascii="Arial" w:hAnsi="Arial" w:cs="Arial"/>
          <w:sz w:val="24"/>
          <w:szCs w:val="24"/>
          <w:shd w:val="clear" w:color="auto" w:fill="FFFFFF"/>
        </w:rPr>
        <w:t xml:space="preserve">from Central Government </w:t>
      </w:r>
      <w:r w:rsidRPr="00192EC4">
        <w:rPr>
          <w:rFonts w:ascii="Arial" w:hAnsi="Arial" w:cs="Arial"/>
          <w:sz w:val="24"/>
          <w:szCs w:val="24"/>
          <w:shd w:val="clear" w:color="auto" w:fill="FFFFFF"/>
        </w:rPr>
        <w:t xml:space="preserve">was agreed, together with the creation of the first directly elected metro-mayor. Andy Burnham was elected as </w:t>
      </w:r>
      <w:r w:rsidRPr="00192EC4">
        <w:rPr>
          <w:rFonts w:ascii="Arial" w:hAnsi="Arial" w:cs="Arial"/>
          <w:sz w:val="24"/>
          <w:szCs w:val="24"/>
        </w:rPr>
        <w:t xml:space="preserve">Greater Manchester </w:t>
      </w:r>
      <w:r w:rsidRPr="00192EC4">
        <w:rPr>
          <w:rFonts w:ascii="Arial" w:hAnsi="Arial" w:cs="Arial"/>
          <w:sz w:val="24"/>
          <w:szCs w:val="24"/>
          <w:shd w:val="clear" w:color="auto" w:fill="FFFFFF"/>
        </w:rPr>
        <w:t xml:space="preserve">Mayor in 2017 </w:t>
      </w:r>
      <w:r w:rsidRPr="00192EC4">
        <w:rPr>
          <w:rFonts w:ascii="Arial" w:hAnsi="Arial" w:cs="Arial"/>
          <w:sz w:val="24"/>
          <w:szCs w:val="24"/>
        </w:rPr>
        <w:t>and re-elected in 2021</w:t>
      </w:r>
      <w:r w:rsidR="00180E43">
        <w:rPr>
          <w:rFonts w:ascii="Arial" w:hAnsi="Arial" w:cs="Arial"/>
          <w:sz w:val="24"/>
          <w:szCs w:val="24"/>
        </w:rPr>
        <w:t xml:space="preserve"> and 2024</w:t>
      </w:r>
      <w:r w:rsidRPr="00192EC4">
        <w:rPr>
          <w:rFonts w:ascii="Arial" w:hAnsi="Arial" w:cs="Arial"/>
          <w:sz w:val="24"/>
          <w:szCs w:val="24"/>
        </w:rPr>
        <w:t xml:space="preserve">. </w:t>
      </w:r>
      <w:r w:rsidR="006B7E79">
        <w:rPr>
          <w:rFonts w:ascii="Arial" w:hAnsi="Arial" w:cs="Arial"/>
          <w:sz w:val="24"/>
          <w:szCs w:val="24"/>
        </w:rPr>
        <w:t>Subsequent devolution deals have brought further major developments for the city region, leading up to a “trailblazer” devolution deal in March 2023 – the most significant such deal yet, securing much greater influence over crucial policy areas.</w:t>
      </w:r>
      <w:r w:rsidRPr="00192EC4">
        <w:rPr>
          <w:rFonts w:ascii="Arial" w:hAnsi="Arial" w:cs="Arial"/>
          <w:sz w:val="24"/>
          <w:szCs w:val="24"/>
        </w:rPr>
        <w:t xml:space="preserve"> </w:t>
      </w:r>
    </w:p>
    <w:p w14:paraId="640FB918" w14:textId="358CD258" w:rsidR="00D15D90" w:rsidRPr="00192EC4" w:rsidRDefault="00D15D90" w:rsidP="00D15D90">
      <w:pPr>
        <w:shd w:val="clear" w:color="auto" w:fill="FFFFFF"/>
        <w:spacing w:after="100" w:afterAutospacing="1" w:line="360" w:lineRule="auto"/>
        <w:rPr>
          <w:rFonts w:ascii="Arial" w:hAnsi="Arial" w:cs="Arial"/>
        </w:rPr>
      </w:pPr>
      <w:r w:rsidRPr="00192EC4">
        <w:rPr>
          <w:rFonts w:ascii="Arial" w:hAnsi="Arial" w:cs="Arial"/>
        </w:rPr>
        <w:t xml:space="preserve">The political body of the Greater Manchester Combined Authority (GMCA) is led jointly by the leaders of the ten Greater Manchester local authorities and the Mayor, who work with other local services, businesses, communities and other partners to improve the city region. The Mayor is Chair of the </w:t>
      </w:r>
      <w:r>
        <w:rPr>
          <w:rFonts w:ascii="Arial" w:hAnsi="Arial" w:cs="Arial"/>
        </w:rPr>
        <w:t xml:space="preserve">GMCA </w:t>
      </w:r>
      <w:r w:rsidRPr="00192EC4">
        <w:rPr>
          <w:rFonts w:ascii="Arial" w:hAnsi="Arial" w:cs="Arial"/>
        </w:rPr>
        <w:t xml:space="preserve">and its eleventh member. He is supported by Deputy Mayor </w:t>
      </w:r>
      <w:r w:rsidR="006B7E79">
        <w:rPr>
          <w:rFonts w:ascii="Arial" w:hAnsi="Arial" w:cs="Arial"/>
        </w:rPr>
        <w:t xml:space="preserve">for Safer and Stronger Communities, </w:t>
      </w:r>
      <w:r w:rsidRPr="00192EC4">
        <w:rPr>
          <w:rFonts w:ascii="Arial" w:hAnsi="Arial" w:cs="Arial"/>
        </w:rPr>
        <w:t>Kate Green</w:t>
      </w:r>
      <w:r w:rsidR="006B7E79">
        <w:rPr>
          <w:rFonts w:ascii="Arial" w:hAnsi="Arial" w:cs="Arial"/>
        </w:rPr>
        <w:t>,</w:t>
      </w:r>
      <w:r w:rsidRPr="00192EC4">
        <w:rPr>
          <w:rFonts w:ascii="Arial" w:hAnsi="Arial" w:cs="Arial"/>
        </w:rPr>
        <w:t xml:space="preserve"> </w:t>
      </w:r>
      <w:r w:rsidR="006B7E79">
        <w:rPr>
          <w:rFonts w:ascii="Arial" w:hAnsi="Arial" w:cs="Arial"/>
        </w:rPr>
        <w:t>whose role is to ensure the voice of victims and residents of Greater Manchester are heard and championed, and</w:t>
      </w:r>
      <w:r w:rsidRPr="00192EC4">
        <w:rPr>
          <w:rFonts w:ascii="Arial" w:hAnsi="Arial" w:cs="Arial"/>
        </w:rPr>
        <w:t xml:space="preserve"> Deputy Mayor Paul Dennett who leads on </w:t>
      </w:r>
      <w:r w:rsidR="006B7E79">
        <w:rPr>
          <w:rFonts w:ascii="Arial" w:hAnsi="Arial" w:cs="Arial"/>
        </w:rPr>
        <w:t xml:space="preserve">Healthy Lives and </w:t>
      </w:r>
      <w:r w:rsidRPr="00192EC4">
        <w:rPr>
          <w:rFonts w:ascii="Arial" w:hAnsi="Arial" w:cs="Arial"/>
        </w:rPr>
        <w:t xml:space="preserve">Homelessness. </w:t>
      </w:r>
    </w:p>
    <w:p w14:paraId="4A3CBAE4" w14:textId="09BCF3D0" w:rsidR="00D15D90" w:rsidRDefault="00D15D90" w:rsidP="00D15D90">
      <w:pPr>
        <w:shd w:val="clear" w:color="auto" w:fill="FFFFFF"/>
        <w:spacing w:after="100" w:afterAutospacing="1" w:line="360" w:lineRule="auto"/>
        <w:rPr>
          <w:rFonts w:ascii="Arial" w:hAnsi="Arial" w:cs="Arial"/>
        </w:rPr>
      </w:pPr>
      <w:r w:rsidRPr="00192EC4">
        <w:rPr>
          <w:rFonts w:ascii="Arial" w:hAnsi="Arial" w:cs="Arial"/>
        </w:rPr>
        <w:t xml:space="preserve">The GMCA political body is distinct to that of the </w:t>
      </w:r>
      <w:r>
        <w:rPr>
          <w:rFonts w:ascii="Arial" w:hAnsi="Arial" w:cs="Arial"/>
        </w:rPr>
        <w:t xml:space="preserve">GMCA </w:t>
      </w:r>
      <w:r w:rsidRPr="00192EC4">
        <w:rPr>
          <w:rFonts w:ascii="Arial" w:hAnsi="Arial" w:cs="Arial"/>
        </w:rPr>
        <w:t>organisation. The political GMCA provides the political direction, governance and oversight of the activities undertaken across Greater Manchester for those areas of responsibility which are jointly owned at Greater Manchester level or those issues where voluntary pan-G</w:t>
      </w:r>
      <w:r>
        <w:rPr>
          <w:rFonts w:ascii="Arial" w:hAnsi="Arial" w:cs="Arial"/>
        </w:rPr>
        <w:t xml:space="preserve">reater </w:t>
      </w:r>
      <w:r w:rsidRPr="00192EC4">
        <w:rPr>
          <w:rFonts w:ascii="Arial" w:hAnsi="Arial" w:cs="Arial"/>
        </w:rPr>
        <w:lastRenderedPageBreak/>
        <w:t>M</w:t>
      </w:r>
      <w:r>
        <w:rPr>
          <w:rFonts w:ascii="Arial" w:hAnsi="Arial" w:cs="Arial"/>
        </w:rPr>
        <w:t>anchester</w:t>
      </w:r>
      <w:r w:rsidRPr="00192EC4">
        <w:rPr>
          <w:rFonts w:ascii="Arial" w:hAnsi="Arial" w:cs="Arial"/>
        </w:rPr>
        <w:t xml:space="preserve"> collaboration has been agreed. GMCA organisation translates that political direction into action and provides capacity for new and furthering activities</w:t>
      </w:r>
      <w:r w:rsidR="006B7E79">
        <w:rPr>
          <w:rFonts w:ascii="Arial" w:hAnsi="Arial" w:cs="Arial"/>
        </w:rPr>
        <w:t>, working to make Greater Manchester a better place for all</w:t>
      </w:r>
      <w:r w:rsidRPr="00192EC4">
        <w:rPr>
          <w:rFonts w:ascii="Arial" w:hAnsi="Arial" w:cs="Arial"/>
        </w:rPr>
        <w:t>. This is achieved through added value in bringing together the activities at Greater Manchester level, enabling the city region to speak with a single voice, convening the system on behalf of all partners and providing a clear and consistent conduit to government where Greater Manchester chooses to speak and act as one.</w:t>
      </w:r>
    </w:p>
    <w:p w14:paraId="4717AFE8" w14:textId="77777777" w:rsidR="00A63D82" w:rsidRPr="00192EC4" w:rsidRDefault="00A63D82" w:rsidP="00D15D90">
      <w:pPr>
        <w:shd w:val="clear" w:color="auto" w:fill="FFFFFF"/>
        <w:spacing w:after="100" w:afterAutospacing="1" w:line="360" w:lineRule="auto"/>
        <w:rPr>
          <w:rFonts w:ascii="Arial" w:hAnsi="Arial" w:cs="Arial"/>
        </w:rPr>
      </w:pPr>
    </w:p>
    <w:p w14:paraId="16DA8942" w14:textId="77777777" w:rsidR="00D15D90" w:rsidRPr="00AF02F5" w:rsidRDefault="00D15D90" w:rsidP="00D15D90">
      <w:pPr>
        <w:pStyle w:val="Normal0"/>
        <w:spacing w:after="160" w:line="360" w:lineRule="auto"/>
        <w:rPr>
          <w:rFonts w:ascii="Arial" w:hAnsi="Arial" w:cs="Arial"/>
          <w:b/>
          <w:bCs/>
          <w:sz w:val="24"/>
          <w:szCs w:val="24"/>
        </w:rPr>
      </w:pPr>
      <w:bookmarkStart w:id="13" w:name="_Hlk169184046"/>
      <w:r w:rsidRPr="00AF02F5">
        <w:rPr>
          <w:rFonts w:ascii="Arial" w:hAnsi="Arial" w:cs="Arial"/>
          <w:b/>
          <w:bCs/>
          <w:sz w:val="24"/>
          <w:szCs w:val="24"/>
        </w:rPr>
        <w:t>Devolution</w:t>
      </w:r>
    </w:p>
    <w:bookmarkEnd w:id="13"/>
    <w:p w14:paraId="58D066F1" w14:textId="77777777" w:rsidR="00D15D90" w:rsidRPr="00AF02F5" w:rsidRDefault="00D15D90" w:rsidP="00D15D90">
      <w:pPr>
        <w:spacing w:after="240" w:line="360" w:lineRule="auto"/>
        <w:rPr>
          <w:rFonts w:ascii="Arial" w:hAnsi="Arial" w:cs="Arial"/>
        </w:rPr>
      </w:pPr>
      <w:r w:rsidRPr="00AF02F5">
        <w:rPr>
          <w:rFonts w:ascii="Arial" w:eastAsiaTheme="minorHAnsi" w:hAnsi="Arial" w:cs="Arial"/>
          <w:lang w:val="en-US"/>
        </w:rPr>
        <w:t xml:space="preserve">Since GMCA was </w:t>
      </w:r>
      <w:r w:rsidRPr="00AF02F5">
        <w:rPr>
          <w:rFonts w:ascii="Arial" w:hAnsi="Arial" w:cs="Arial"/>
        </w:rPr>
        <w:t>created, a series of deals with Central Government have devolved powers and funding and programme delivery to the CA.</w:t>
      </w:r>
    </w:p>
    <w:p w14:paraId="4E0A0DB5" w14:textId="77777777" w:rsidR="00D15D90" w:rsidRPr="00AF02F5" w:rsidRDefault="00D15D90" w:rsidP="00D15D90">
      <w:pPr>
        <w:spacing w:after="240" w:line="360" w:lineRule="auto"/>
        <w:rPr>
          <w:rFonts w:ascii="Arial" w:eastAsiaTheme="minorHAnsi" w:hAnsi="Arial" w:cs="Arial"/>
          <w:lang w:val="en-US"/>
        </w:rPr>
      </w:pPr>
      <w:r w:rsidRPr="00AF02F5">
        <w:rPr>
          <w:rFonts w:ascii="Arial" w:hAnsi="Arial" w:cs="Arial"/>
        </w:rPr>
        <w:t>In 2023/24, GMCA has made progress on implementing the latest phase of devolution of power and funding from Whitehall. Implementation of this March 2023 trailblazer deal is largely on track</w:t>
      </w:r>
      <w:r w:rsidRPr="00AF02F5">
        <w:rPr>
          <w:rFonts w:ascii="Arial" w:eastAsiaTheme="minorHAnsi" w:hAnsi="Arial" w:cs="Arial"/>
          <w:lang w:val="en-US"/>
        </w:rPr>
        <w:t>.</w:t>
      </w:r>
    </w:p>
    <w:p w14:paraId="72BCB0A4" w14:textId="77777777" w:rsidR="00D15D90" w:rsidRDefault="00D15D90" w:rsidP="00D15D90">
      <w:pPr>
        <w:rPr>
          <w:rFonts w:ascii="Arial" w:eastAsiaTheme="minorHAnsi" w:hAnsi="Arial" w:cs="Arial"/>
          <w:lang w:val="en-US"/>
        </w:rPr>
      </w:pPr>
      <w:r w:rsidRPr="00AF02F5">
        <w:rPr>
          <w:rFonts w:ascii="Arial" w:eastAsiaTheme="minorHAnsi" w:hAnsi="Arial" w:cs="Arial"/>
          <w:lang w:val="en-US"/>
        </w:rPr>
        <w:t>The 2023 deal commitments include:</w:t>
      </w:r>
    </w:p>
    <w:p w14:paraId="4BD18641" w14:textId="77777777" w:rsidR="00D15D90" w:rsidRPr="00AF02F5" w:rsidRDefault="00D15D90" w:rsidP="00D15D90">
      <w:pPr>
        <w:rPr>
          <w:rFonts w:ascii="Arial" w:eastAsiaTheme="minorHAnsi" w:hAnsi="Arial" w:cs="Arial"/>
          <w:lang w:val="en-US"/>
        </w:rPr>
      </w:pPr>
    </w:p>
    <w:p w14:paraId="40183D10" w14:textId="77777777" w:rsidR="00D15D90" w:rsidRPr="00AF02F5" w:rsidRDefault="00D15D90" w:rsidP="00D15D90">
      <w:pPr>
        <w:pStyle w:val="ListParagraph"/>
        <w:numPr>
          <w:ilvl w:val="0"/>
          <w:numId w:val="64"/>
        </w:numPr>
        <w:spacing w:after="0" w:line="360" w:lineRule="auto"/>
        <w:rPr>
          <w:rFonts w:ascii="Arial" w:hAnsi="Arial" w:cs="Arial"/>
          <w:sz w:val="24"/>
          <w:szCs w:val="24"/>
        </w:rPr>
      </w:pPr>
      <w:r w:rsidRPr="00AF02F5">
        <w:rPr>
          <w:rFonts w:ascii="Arial" w:hAnsi="Arial" w:cs="Arial"/>
          <w:sz w:val="24"/>
          <w:szCs w:val="24"/>
        </w:rPr>
        <w:t>Housing: £400 million for the Affordable Homes Programme, £150 million for brownfield land funding, and £3.9 million to end the use of bed and breakfasts for homeless families.</w:t>
      </w:r>
    </w:p>
    <w:p w14:paraId="7CEB534B" w14:textId="77777777" w:rsidR="00D15D90" w:rsidRPr="00AF02F5" w:rsidRDefault="00D15D90" w:rsidP="00D15D90">
      <w:pPr>
        <w:pStyle w:val="ListParagraph"/>
        <w:numPr>
          <w:ilvl w:val="0"/>
          <w:numId w:val="64"/>
        </w:numPr>
        <w:spacing w:after="0" w:line="360" w:lineRule="auto"/>
        <w:rPr>
          <w:rFonts w:ascii="Arial" w:hAnsi="Arial" w:cs="Arial"/>
          <w:sz w:val="24"/>
          <w:szCs w:val="24"/>
        </w:rPr>
      </w:pPr>
      <w:r w:rsidRPr="00AF02F5">
        <w:rPr>
          <w:rFonts w:ascii="Arial" w:hAnsi="Arial" w:cs="Arial"/>
          <w:sz w:val="24"/>
          <w:szCs w:val="24"/>
        </w:rPr>
        <w:t>Transport: A new rail partnership with Great British Railways to support the Bee Network by 2030, including ‘pay as you go’ ticketing pilots.</w:t>
      </w:r>
    </w:p>
    <w:p w14:paraId="6AE76532" w14:textId="77777777" w:rsidR="00D15D90" w:rsidRPr="00AF02F5" w:rsidRDefault="00D15D90" w:rsidP="00D15D90">
      <w:pPr>
        <w:pStyle w:val="ListParagraph"/>
        <w:numPr>
          <w:ilvl w:val="0"/>
          <w:numId w:val="64"/>
        </w:numPr>
        <w:spacing w:after="0" w:line="360" w:lineRule="auto"/>
        <w:rPr>
          <w:rFonts w:ascii="Arial" w:hAnsi="Arial" w:cs="Arial"/>
          <w:sz w:val="24"/>
          <w:szCs w:val="24"/>
        </w:rPr>
      </w:pPr>
      <w:r w:rsidRPr="00AF02F5">
        <w:rPr>
          <w:rFonts w:ascii="Arial" w:hAnsi="Arial" w:cs="Arial"/>
          <w:sz w:val="24"/>
          <w:szCs w:val="24"/>
        </w:rPr>
        <w:t>Skills: devolved functions of post-19 education and skills activity; providing greater oversight of post-16 technical education and skills and careers along with local flexibilities over free courses for jobs and Skills Bootcamps.</w:t>
      </w:r>
    </w:p>
    <w:p w14:paraId="4A22203B" w14:textId="77777777" w:rsidR="00D15D90" w:rsidRPr="00AF02F5" w:rsidRDefault="00D15D90" w:rsidP="00D15D90">
      <w:pPr>
        <w:pStyle w:val="ListParagraph"/>
        <w:numPr>
          <w:ilvl w:val="0"/>
          <w:numId w:val="64"/>
        </w:numPr>
        <w:spacing w:after="0" w:line="360" w:lineRule="auto"/>
        <w:rPr>
          <w:rFonts w:ascii="Arial" w:hAnsi="Arial" w:cs="Arial"/>
          <w:sz w:val="24"/>
          <w:szCs w:val="24"/>
        </w:rPr>
      </w:pPr>
      <w:r w:rsidRPr="00AF02F5">
        <w:rPr>
          <w:rFonts w:ascii="Arial" w:hAnsi="Arial" w:cs="Arial"/>
          <w:sz w:val="24"/>
          <w:szCs w:val="24"/>
        </w:rPr>
        <w:t>Retrofit: Piloting the devolution of net zero funding, including for buildings’ retrofit, from 2025 onwards.</w:t>
      </w:r>
    </w:p>
    <w:p w14:paraId="1A3B5506" w14:textId="77777777" w:rsidR="00D15D90" w:rsidRPr="00AF02F5" w:rsidRDefault="00D15D90" w:rsidP="00D15D90">
      <w:pPr>
        <w:pStyle w:val="ListParagraph"/>
        <w:numPr>
          <w:ilvl w:val="0"/>
          <w:numId w:val="64"/>
        </w:numPr>
        <w:spacing w:after="0" w:line="360" w:lineRule="auto"/>
        <w:rPr>
          <w:rFonts w:ascii="Arial" w:hAnsi="Arial" w:cs="Arial"/>
          <w:sz w:val="24"/>
          <w:szCs w:val="24"/>
        </w:rPr>
      </w:pPr>
      <w:r w:rsidRPr="00AF02F5">
        <w:rPr>
          <w:rFonts w:ascii="Arial" w:hAnsi="Arial" w:cs="Arial"/>
          <w:sz w:val="24"/>
          <w:szCs w:val="24"/>
        </w:rPr>
        <w:t>Investment zone</w:t>
      </w:r>
      <w:r>
        <w:rPr>
          <w:rFonts w:ascii="Arial" w:hAnsi="Arial" w:cs="Arial"/>
          <w:sz w:val="24"/>
          <w:szCs w:val="24"/>
        </w:rPr>
        <w:t>s</w:t>
      </w:r>
      <w:r w:rsidRPr="00AF02F5">
        <w:rPr>
          <w:rFonts w:ascii="Arial" w:hAnsi="Arial" w:cs="Arial"/>
          <w:sz w:val="24"/>
          <w:szCs w:val="24"/>
        </w:rPr>
        <w:t>: designated growth zones supporting new research and innovation, sector-focussed skills programmes, local infrastructure enhancements, and targeted business support.</w:t>
      </w:r>
    </w:p>
    <w:p w14:paraId="713975A2" w14:textId="77777777" w:rsidR="00D15D90" w:rsidRPr="00AF02F5" w:rsidRDefault="00D15D90" w:rsidP="00D15D90">
      <w:pPr>
        <w:rPr>
          <w:rFonts w:ascii="Arial" w:eastAsiaTheme="minorHAnsi" w:hAnsi="Arial" w:cs="Arial"/>
          <w:lang w:val="en-US"/>
        </w:rPr>
      </w:pPr>
    </w:p>
    <w:p w14:paraId="4462B95E" w14:textId="179EFBBF" w:rsidR="00D15D90" w:rsidRPr="00AF02F5" w:rsidRDefault="00D15D90" w:rsidP="00D15D90">
      <w:pPr>
        <w:spacing w:line="360" w:lineRule="auto"/>
        <w:rPr>
          <w:rFonts w:ascii="Arial" w:eastAsiaTheme="minorHAnsi" w:hAnsi="Arial" w:cs="Arial"/>
          <w:lang w:val="en-US"/>
        </w:rPr>
      </w:pPr>
      <w:r w:rsidRPr="00AF02F5">
        <w:rPr>
          <w:rFonts w:ascii="Arial" w:eastAsiaTheme="minorHAnsi" w:hAnsi="Arial" w:cs="Arial"/>
          <w:lang w:val="en-US"/>
        </w:rPr>
        <w:t xml:space="preserve">The deal is underpinned by </w:t>
      </w:r>
      <w:r w:rsidR="00180E43">
        <w:rPr>
          <w:rFonts w:ascii="Arial" w:eastAsiaTheme="minorHAnsi" w:hAnsi="Arial" w:cs="Arial"/>
          <w:lang w:val="en-US"/>
        </w:rPr>
        <w:t>a new</w:t>
      </w:r>
      <w:r w:rsidRPr="00AF02F5">
        <w:rPr>
          <w:rFonts w:ascii="Arial" w:eastAsiaTheme="minorHAnsi" w:hAnsi="Arial" w:cs="Arial"/>
          <w:lang w:val="en-US"/>
        </w:rPr>
        <w:t xml:space="preserve"> single settlement: a single funding arrangement which covers the whole spending review period and includes the establishment of a </w:t>
      </w:r>
      <w:r w:rsidRPr="00AF02F5">
        <w:rPr>
          <w:rFonts w:ascii="Arial" w:eastAsiaTheme="minorHAnsi" w:hAnsi="Arial" w:cs="Arial"/>
          <w:lang w:val="en-US"/>
        </w:rPr>
        <w:lastRenderedPageBreak/>
        <w:t>streamlined, overarching, single accountability framework. The single settlement will provide greater long-term certainty and provides the flexibility to reallocate money in line with local needs and priorities. The Government committed to</w:t>
      </w:r>
      <w:r>
        <w:rPr>
          <w:rFonts w:ascii="Arial" w:eastAsiaTheme="minorHAnsi" w:hAnsi="Arial" w:cs="Arial"/>
          <w:lang w:val="en-US"/>
        </w:rPr>
        <w:t xml:space="preserve"> </w:t>
      </w:r>
      <w:r w:rsidRPr="00AF02F5">
        <w:rPr>
          <w:rFonts w:ascii="Arial" w:eastAsiaTheme="minorHAnsi" w:hAnsi="Arial" w:cs="Arial"/>
          <w:lang w:val="en-US"/>
        </w:rPr>
        <w:t>implementing it at the next Spending Review, meaning it would flow to GMCA from April 2025.</w:t>
      </w:r>
    </w:p>
    <w:p w14:paraId="1A6E2C2F" w14:textId="77777777" w:rsidR="00D15D90" w:rsidRPr="00AF02F5" w:rsidRDefault="00D15D90" w:rsidP="00D15D90">
      <w:pPr>
        <w:spacing w:line="360" w:lineRule="auto"/>
        <w:rPr>
          <w:rFonts w:ascii="Arial" w:eastAsiaTheme="minorHAnsi" w:hAnsi="Arial" w:cs="Arial"/>
          <w:lang w:val="en-US"/>
        </w:rPr>
      </w:pPr>
    </w:p>
    <w:p w14:paraId="0FA1C32C" w14:textId="77777777" w:rsidR="00D15D90" w:rsidRDefault="00D15D90" w:rsidP="00D15D90">
      <w:pPr>
        <w:spacing w:line="360" w:lineRule="auto"/>
        <w:rPr>
          <w:rFonts w:ascii="Arial" w:eastAsiaTheme="minorHAnsi" w:hAnsi="Arial" w:cs="Arial"/>
          <w:lang w:val="en-US"/>
        </w:rPr>
      </w:pPr>
      <w:r w:rsidRPr="00AF02F5">
        <w:rPr>
          <w:rFonts w:ascii="Arial" w:eastAsiaTheme="minorHAnsi" w:hAnsi="Arial" w:cs="Arial"/>
          <w:lang w:val="en-US"/>
        </w:rPr>
        <w:t xml:space="preserve">In </w:t>
      </w:r>
      <w:r>
        <w:rPr>
          <w:rFonts w:ascii="Arial" w:eastAsiaTheme="minorHAnsi" w:hAnsi="Arial" w:cs="Arial"/>
          <w:lang w:val="en-US"/>
        </w:rPr>
        <w:t>20</w:t>
      </w:r>
      <w:r w:rsidRPr="00AF02F5">
        <w:rPr>
          <w:rFonts w:ascii="Arial" w:eastAsiaTheme="minorHAnsi" w:hAnsi="Arial" w:cs="Arial"/>
          <w:lang w:val="en-US"/>
        </w:rPr>
        <w:t>23</w:t>
      </w:r>
      <w:r>
        <w:rPr>
          <w:rFonts w:ascii="Arial" w:eastAsiaTheme="minorHAnsi" w:hAnsi="Arial" w:cs="Arial"/>
          <w:lang w:val="en-US"/>
        </w:rPr>
        <w:t>/</w:t>
      </w:r>
      <w:r w:rsidRPr="00AF02F5">
        <w:rPr>
          <w:rFonts w:ascii="Arial" w:eastAsiaTheme="minorHAnsi" w:hAnsi="Arial" w:cs="Arial"/>
          <w:lang w:val="en-US"/>
        </w:rPr>
        <w:t xml:space="preserve">24, the focus has been on negotiating the terms of the single settlement: a Memorandum of Understanding was signed with the Government in November 2023, with an annex following in March 2024. These documents set out the scope of the settlement; the approach to determining the allocation of funding to GMCA; and the approach to negotiating the outcomes GMCA will be held accountable for delivering. </w:t>
      </w:r>
    </w:p>
    <w:p w14:paraId="6A58728C" w14:textId="77777777" w:rsidR="00A63D82" w:rsidRPr="00AF02F5" w:rsidRDefault="00A63D82" w:rsidP="00D15D90">
      <w:pPr>
        <w:spacing w:line="360" w:lineRule="auto"/>
        <w:rPr>
          <w:rFonts w:ascii="Arial" w:eastAsiaTheme="minorHAnsi" w:hAnsi="Arial" w:cs="Arial"/>
          <w:lang w:val="en-US"/>
        </w:rPr>
      </w:pPr>
    </w:p>
    <w:p w14:paraId="4BC91606" w14:textId="77777777" w:rsidR="00D15D90" w:rsidRPr="00192EC4" w:rsidRDefault="00D15D90" w:rsidP="00D15D90">
      <w:pPr>
        <w:spacing w:line="360" w:lineRule="auto"/>
        <w:rPr>
          <w:rFonts w:ascii="Arial" w:hAnsi="Arial" w:cs="Arial"/>
        </w:rPr>
      </w:pPr>
    </w:p>
    <w:p w14:paraId="7C5EB001" w14:textId="77777777" w:rsidR="00D15D90" w:rsidRPr="00E85D88" w:rsidRDefault="00D15D90" w:rsidP="00D15D90">
      <w:pPr>
        <w:spacing w:line="360" w:lineRule="auto"/>
        <w:rPr>
          <w:rFonts w:ascii="Arial" w:hAnsi="Arial" w:cs="Arial"/>
          <w:b/>
          <w:bCs/>
        </w:rPr>
      </w:pPr>
      <w:r w:rsidRPr="00E85D88">
        <w:rPr>
          <w:rFonts w:ascii="Arial" w:hAnsi="Arial" w:cs="Arial"/>
          <w:b/>
          <w:bCs/>
        </w:rPr>
        <w:t>The Greater Manchester Strategy</w:t>
      </w:r>
    </w:p>
    <w:p w14:paraId="57930FAC" w14:textId="77777777" w:rsidR="00D15D90" w:rsidRPr="00E85D88" w:rsidRDefault="00D15D90" w:rsidP="00D15D90">
      <w:pPr>
        <w:spacing w:line="360" w:lineRule="auto"/>
        <w:rPr>
          <w:rFonts w:ascii="Arial" w:hAnsi="Arial" w:cs="Arial"/>
          <w:b/>
          <w:bCs/>
        </w:rPr>
      </w:pPr>
    </w:p>
    <w:p w14:paraId="3FCD1652" w14:textId="77777777" w:rsidR="00D15D90" w:rsidRPr="00A028FE" w:rsidRDefault="00D15D90" w:rsidP="00D15D90">
      <w:pPr>
        <w:spacing w:after="240" w:line="360" w:lineRule="auto"/>
        <w:rPr>
          <w:rFonts w:ascii="Arial" w:hAnsi="Arial" w:cs="Arial"/>
        </w:rPr>
      </w:pPr>
      <w:bookmarkStart w:id="14" w:name="_Hlk108774439"/>
      <w:r w:rsidRPr="00A028FE">
        <w:rPr>
          <w:rFonts w:ascii="Arial" w:hAnsi="Arial" w:cs="Arial"/>
        </w:rPr>
        <w:t xml:space="preserve">The current Greater Manchester Strategy (GMS) was adopted in 2021 as a 10 year strategy for the whole of Greater Manchester. It is a convening document providing a strategic direction of travel for the whole GM system. </w:t>
      </w:r>
    </w:p>
    <w:p w14:paraId="39DE23A7" w14:textId="77777777" w:rsidR="00D15D90" w:rsidRPr="00A028FE" w:rsidRDefault="00D15D90" w:rsidP="00D15D90">
      <w:pPr>
        <w:spacing w:after="240" w:line="360" w:lineRule="auto"/>
        <w:rPr>
          <w:rFonts w:ascii="Arial" w:hAnsi="Arial" w:cs="Arial"/>
        </w:rPr>
      </w:pPr>
      <w:r w:rsidRPr="00A028FE">
        <w:rPr>
          <w:rFonts w:ascii="Arial" w:hAnsi="Arial" w:cs="Arial"/>
        </w:rPr>
        <w:t>Progress reports have been produced every six months, providing an overview of collective progress of delivery of GMS ambitions.</w:t>
      </w:r>
    </w:p>
    <w:p w14:paraId="1A0A8BAC" w14:textId="77777777" w:rsidR="00D15D90" w:rsidRPr="00A028FE" w:rsidRDefault="00D15D90" w:rsidP="00D15D90">
      <w:pPr>
        <w:spacing w:after="240" w:line="360" w:lineRule="auto"/>
        <w:rPr>
          <w:rFonts w:ascii="Arial" w:hAnsi="Arial" w:cs="Arial"/>
        </w:rPr>
      </w:pPr>
      <w:r w:rsidRPr="00A028FE">
        <w:rPr>
          <w:rFonts w:ascii="Arial" w:hAnsi="Arial" w:cs="Arial"/>
        </w:rPr>
        <w:t>We are now nearing the end of the first three year delivery cycle and it was agreed to undertake a refresh of the GMS at this point, which would have provided an updated contextual narrative and priorities for the coming four years delivery cycle.</w:t>
      </w:r>
    </w:p>
    <w:p w14:paraId="219CFC56" w14:textId="77777777" w:rsidR="00D15D90" w:rsidRPr="00A028FE" w:rsidRDefault="00D15D90" w:rsidP="00D15D90">
      <w:pPr>
        <w:spacing w:after="240" w:line="360" w:lineRule="auto"/>
        <w:rPr>
          <w:rFonts w:ascii="Arial" w:hAnsi="Arial" w:cs="Arial"/>
        </w:rPr>
      </w:pPr>
      <w:r w:rsidRPr="00A028FE">
        <w:rPr>
          <w:rFonts w:ascii="Arial" w:hAnsi="Arial" w:cs="Arial"/>
        </w:rPr>
        <w:t xml:space="preserve">Engagement activity has been undertaken, working with GM networks, stakeholders and regular involvement of Local Authority Officers and Political leads. </w:t>
      </w:r>
    </w:p>
    <w:p w14:paraId="1E892139" w14:textId="77777777" w:rsidR="00D15D90" w:rsidRPr="00A028FE" w:rsidRDefault="00D15D90" w:rsidP="00D15D90">
      <w:pPr>
        <w:spacing w:after="240" w:line="360" w:lineRule="auto"/>
        <w:rPr>
          <w:rFonts w:ascii="Arial" w:hAnsi="Arial" w:cs="Arial"/>
        </w:rPr>
      </w:pPr>
      <w:r w:rsidRPr="00A028FE">
        <w:rPr>
          <w:rFonts w:ascii="Arial" w:hAnsi="Arial" w:cs="Arial"/>
        </w:rPr>
        <w:t xml:space="preserve">A refresh of the GMS was due this year, but given the timing, GM is now faced with an optimal moment to develop a more ambitious strategy, developing and capitalizing on the opportunities presented by Single Settlement, a new Mayoral term, and the change in national Government. A more fundamental re-write of the strategy is therefore now planned. </w:t>
      </w:r>
    </w:p>
    <w:p w14:paraId="0DCC411B" w14:textId="77777777" w:rsidR="00D15D90" w:rsidRPr="00A028FE" w:rsidRDefault="00D15D90" w:rsidP="00D15D90">
      <w:pPr>
        <w:spacing w:after="240" w:line="360" w:lineRule="auto"/>
        <w:rPr>
          <w:rFonts w:ascii="Arial" w:hAnsi="Arial" w:cs="Arial"/>
        </w:rPr>
      </w:pPr>
      <w:r w:rsidRPr="00A028FE">
        <w:rPr>
          <w:rFonts w:ascii="Arial" w:hAnsi="Arial" w:cs="Arial"/>
        </w:rPr>
        <w:lastRenderedPageBreak/>
        <w:t>Ongoing engagement and work on the re-write, along with the development of the Outcomes Framework, will take place over summer, with a new draft strategy currently planned for early Autumn.</w:t>
      </w:r>
    </w:p>
    <w:p w14:paraId="6FEA6187" w14:textId="77777777" w:rsidR="00D15D90" w:rsidRPr="00B15622" w:rsidRDefault="00D15D90" w:rsidP="00D15D90">
      <w:pPr>
        <w:spacing w:line="360" w:lineRule="auto"/>
        <w:textAlignment w:val="baseline"/>
        <w:rPr>
          <w:rFonts w:ascii="Arial" w:hAnsi="Arial" w:cs="Arial"/>
          <w:highlight w:val="yellow"/>
          <w:lang w:eastAsia="en-GB"/>
        </w:rPr>
      </w:pPr>
    </w:p>
    <w:p w14:paraId="0DAC6524" w14:textId="77777777" w:rsidR="00D15D90" w:rsidRPr="00AF2601" w:rsidRDefault="00D15D90" w:rsidP="00D15D90">
      <w:pPr>
        <w:pStyle w:val="Normal0"/>
        <w:spacing w:after="160" w:line="360" w:lineRule="auto"/>
        <w:rPr>
          <w:rFonts w:ascii="Arial" w:hAnsi="Arial" w:cs="Arial"/>
          <w:b/>
          <w:sz w:val="24"/>
          <w:szCs w:val="24"/>
        </w:rPr>
      </w:pPr>
      <w:r w:rsidRPr="00AF2601">
        <w:rPr>
          <w:rFonts w:ascii="Arial" w:hAnsi="Arial" w:cs="Arial"/>
          <w:b/>
          <w:sz w:val="24"/>
          <w:szCs w:val="24"/>
        </w:rPr>
        <w:t>Overview of the GMCA Organization</w:t>
      </w:r>
    </w:p>
    <w:p w14:paraId="29B0DB8A" w14:textId="3AB32A55" w:rsidR="00D15D90" w:rsidRPr="00AF2601" w:rsidRDefault="00D15D90" w:rsidP="00D15D90">
      <w:pPr>
        <w:pStyle w:val="Normal0"/>
        <w:spacing w:after="160" w:line="360" w:lineRule="auto"/>
        <w:rPr>
          <w:rFonts w:ascii="Arial" w:hAnsi="Arial" w:cs="Arial"/>
          <w:sz w:val="24"/>
          <w:szCs w:val="24"/>
        </w:rPr>
      </w:pPr>
      <w:r w:rsidRPr="00AF2601">
        <w:rPr>
          <w:rFonts w:ascii="Arial" w:hAnsi="Arial" w:cs="Arial"/>
          <w:color w:val="212529"/>
          <w:sz w:val="24"/>
          <w:szCs w:val="24"/>
          <w:shd w:val="clear" w:color="auto" w:fill="FFFFFF"/>
        </w:rPr>
        <w:t xml:space="preserve">The Chief Executive of the Greater Manchester Combined Authority, </w:t>
      </w:r>
      <w:r w:rsidR="00180E43">
        <w:rPr>
          <w:rFonts w:ascii="Arial" w:hAnsi="Arial" w:cs="Arial"/>
          <w:color w:val="212529"/>
          <w:sz w:val="24"/>
          <w:szCs w:val="24"/>
          <w:shd w:val="clear" w:color="auto" w:fill="FFFFFF"/>
        </w:rPr>
        <w:t>Caroline Simpson, appointed in June 2024</w:t>
      </w:r>
      <w:r w:rsidRPr="00AF2601">
        <w:rPr>
          <w:rFonts w:ascii="Arial" w:hAnsi="Arial" w:cs="Arial"/>
          <w:color w:val="212529"/>
          <w:sz w:val="24"/>
          <w:szCs w:val="24"/>
          <w:shd w:val="clear" w:color="auto" w:fill="FFFFFF"/>
        </w:rPr>
        <w:t xml:space="preserve">, chairs the Greater Manchester Wider Leadership Team and has responsibility for policy and strategy and a wide range of Greater Manchester services including Fire and Rescue, Waste, Transport, Economic Development and Planning. </w:t>
      </w:r>
      <w:r w:rsidRPr="00AF2601">
        <w:rPr>
          <w:rFonts w:ascii="Arial" w:hAnsi="Arial" w:cs="Arial"/>
          <w:sz w:val="24"/>
          <w:szCs w:val="24"/>
        </w:rPr>
        <w:t>The Chief Executive is supported by the Corporate Executive Management Team (CEMT) made up of:</w:t>
      </w:r>
    </w:p>
    <w:p w14:paraId="00E2FF39" w14:textId="63BD7CE3" w:rsidR="00D15D90" w:rsidRPr="00AF2601" w:rsidRDefault="00D15D90" w:rsidP="00D15D90">
      <w:pPr>
        <w:spacing w:line="360" w:lineRule="auto"/>
        <w:rPr>
          <w:rFonts w:ascii="Arial" w:hAnsi="Arial" w:cs="Arial"/>
        </w:rPr>
      </w:pPr>
      <w:r w:rsidRPr="00AF2601">
        <w:rPr>
          <w:rFonts w:ascii="Arial" w:hAnsi="Arial" w:cs="Arial"/>
        </w:rPr>
        <w:t xml:space="preserve">Chief Executive </w:t>
      </w:r>
      <w:r w:rsidRPr="00AF2601">
        <w:rPr>
          <w:rFonts w:ascii="Arial" w:hAnsi="Arial" w:cs="Arial"/>
        </w:rPr>
        <w:tab/>
      </w:r>
      <w:r w:rsidRPr="00AF2601">
        <w:rPr>
          <w:rFonts w:ascii="Arial" w:hAnsi="Arial" w:cs="Arial"/>
        </w:rPr>
        <w:tab/>
      </w:r>
      <w:r w:rsidRPr="00AF2601">
        <w:rPr>
          <w:rFonts w:ascii="Arial" w:hAnsi="Arial" w:cs="Arial"/>
        </w:rPr>
        <w:tab/>
      </w:r>
      <w:r w:rsidRPr="00AF2601">
        <w:rPr>
          <w:rFonts w:ascii="Arial" w:hAnsi="Arial" w:cs="Arial"/>
        </w:rPr>
        <w:tab/>
      </w:r>
      <w:r w:rsidR="00180E43">
        <w:rPr>
          <w:rFonts w:ascii="Arial" w:hAnsi="Arial" w:cs="Arial"/>
        </w:rPr>
        <w:t>Caroline Simpson (previously Eamonn Boylan)</w:t>
      </w:r>
    </w:p>
    <w:p w14:paraId="1F65E921" w14:textId="77777777" w:rsidR="00D15D90" w:rsidRPr="00AF2601" w:rsidRDefault="00D15D90" w:rsidP="00D15D90">
      <w:pPr>
        <w:spacing w:line="360" w:lineRule="auto"/>
        <w:rPr>
          <w:rFonts w:ascii="Arial" w:hAnsi="Arial" w:cs="Arial"/>
        </w:rPr>
      </w:pPr>
      <w:r w:rsidRPr="00AF2601">
        <w:rPr>
          <w:rFonts w:ascii="Arial" w:hAnsi="Arial" w:cs="Arial"/>
        </w:rPr>
        <w:t xml:space="preserve">Deputy Chief Executive </w:t>
      </w:r>
      <w:r w:rsidRPr="00AF2601">
        <w:rPr>
          <w:rFonts w:ascii="Arial" w:hAnsi="Arial" w:cs="Arial"/>
        </w:rPr>
        <w:tab/>
      </w:r>
      <w:r w:rsidRPr="00AF2601">
        <w:rPr>
          <w:rFonts w:ascii="Arial" w:hAnsi="Arial" w:cs="Arial"/>
        </w:rPr>
        <w:tab/>
      </w:r>
      <w:r w:rsidRPr="00AF2601">
        <w:rPr>
          <w:rFonts w:ascii="Arial" w:hAnsi="Arial" w:cs="Arial"/>
        </w:rPr>
        <w:tab/>
        <w:t>Andrew Lightfoot</w:t>
      </w:r>
    </w:p>
    <w:p w14:paraId="23AD4C0A" w14:textId="77777777" w:rsidR="00D15D90" w:rsidRPr="00AF2601" w:rsidRDefault="00D15D90" w:rsidP="00D15D90">
      <w:pPr>
        <w:spacing w:line="360" w:lineRule="auto"/>
        <w:rPr>
          <w:rFonts w:ascii="Arial" w:hAnsi="Arial" w:cs="Arial"/>
        </w:rPr>
      </w:pPr>
      <w:r w:rsidRPr="00AF2601">
        <w:rPr>
          <w:rFonts w:ascii="Arial" w:hAnsi="Arial" w:cs="Arial"/>
        </w:rPr>
        <w:t>Chief Fire Officer</w:t>
      </w:r>
      <w:r w:rsidRPr="00AF2601">
        <w:rPr>
          <w:rFonts w:ascii="Arial" w:hAnsi="Arial" w:cs="Arial"/>
        </w:rPr>
        <w:tab/>
      </w:r>
      <w:r w:rsidRPr="00AF2601">
        <w:rPr>
          <w:rFonts w:ascii="Arial" w:hAnsi="Arial" w:cs="Arial"/>
        </w:rPr>
        <w:tab/>
      </w:r>
      <w:r w:rsidRPr="00AF2601">
        <w:rPr>
          <w:rFonts w:ascii="Arial" w:hAnsi="Arial" w:cs="Arial"/>
        </w:rPr>
        <w:tab/>
      </w:r>
      <w:r w:rsidRPr="00AF2601">
        <w:rPr>
          <w:rFonts w:ascii="Arial" w:hAnsi="Arial" w:cs="Arial"/>
        </w:rPr>
        <w:tab/>
        <w:t>Dave Russel</w:t>
      </w:r>
    </w:p>
    <w:p w14:paraId="4A4AF1B0" w14:textId="77777777" w:rsidR="00D15D90" w:rsidRPr="00AF2601" w:rsidRDefault="00D15D90" w:rsidP="00D15D90">
      <w:pPr>
        <w:spacing w:line="360" w:lineRule="auto"/>
        <w:rPr>
          <w:rFonts w:ascii="Arial" w:hAnsi="Arial" w:cs="Arial"/>
        </w:rPr>
      </w:pPr>
      <w:r w:rsidRPr="00AF2601">
        <w:rPr>
          <w:rFonts w:ascii="Arial" w:hAnsi="Arial" w:cs="Arial"/>
        </w:rPr>
        <w:t>Treasurer</w:t>
      </w:r>
      <w:r w:rsidRPr="00AF2601">
        <w:rPr>
          <w:rFonts w:ascii="Arial" w:hAnsi="Arial" w:cs="Arial"/>
        </w:rPr>
        <w:tab/>
      </w:r>
      <w:r w:rsidRPr="00AF2601">
        <w:rPr>
          <w:rFonts w:ascii="Arial" w:hAnsi="Arial" w:cs="Arial"/>
        </w:rPr>
        <w:tab/>
      </w:r>
      <w:r w:rsidRPr="00AF2601">
        <w:rPr>
          <w:rFonts w:ascii="Arial" w:hAnsi="Arial" w:cs="Arial"/>
        </w:rPr>
        <w:tab/>
      </w:r>
      <w:r w:rsidRPr="00AF2601">
        <w:rPr>
          <w:rFonts w:ascii="Arial" w:hAnsi="Arial" w:cs="Arial"/>
        </w:rPr>
        <w:tab/>
      </w:r>
      <w:r w:rsidRPr="00AF2601">
        <w:rPr>
          <w:rFonts w:ascii="Arial" w:hAnsi="Arial" w:cs="Arial"/>
        </w:rPr>
        <w:tab/>
        <w:t>Steve Wilson</w:t>
      </w:r>
    </w:p>
    <w:p w14:paraId="3826CB29" w14:textId="77777777" w:rsidR="00D15D90" w:rsidRPr="00AF2601" w:rsidRDefault="00D15D90" w:rsidP="00D15D90">
      <w:pPr>
        <w:spacing w:line="360" w:lineRule="auto"/>
        <w:rPr>
          <w:rFonts w:ascii="Arial" w:hAnsi="Arial" w:cs="Arial"/>
        </w:rPr>
      </w:pPr>
      <w:r w:rsidRPr="00AF2601">
        <w:rPr>
          <w:rFonts w:ascii="Arial" w:hAnsi="Arial" w:cs="Arial"/>
        </w:rPr>
        <w:t>Monitoring Officer</w:t>
      </w:r>
      <w:r w:rsidRPr="00AF2601">
        <w:rPr>
          <w:rFonts w:ascii="Arial" w:hAnsi="Arial" w:cs="Arial"/>
        </w:rPr>
        <w:tab/>
      </w:r>
      <w:r w:rsidRPr="00AF2601">
        <w:rPr>
          <w:rFonts w:ascii="Arial" w:hAnsi="Arial" w:cs="Arial"/>
        </w:rPr>
        <w:tab/>
      </w:r>
      <w:r w:rsidRPr="00AF2601">
        <w:rPr>
          <w:rFonts w:ascii="Arial" w:hAnsi="Arial" w:cs="Arial"/>
        </w:rPr>
        <w:tab/>
      </w:r>
      <w:r w:rsidRPr="00AF2601">
        <w:rPr>
          <w:rFonts w:ascii="Arial" w:hAnsi="Arial" w:cs="Arial"/>
        </w:rPr>
        <w:tab/>
        <w:t>Gillian Duckworth</w:t>
      </w:r>
    </w:p>
    <w:p w14:paraId="434CBA5D" w14:textId="77777777" w:rsidR="00D15D90" w:rsidRPr="00AF2601" w:rsidRDefault="00D15D90" w:rsidP="00D15D90">
      <w:pPr>
        <w:spacing w:line="360" w:lineRule="auto"/>
        <w:rPr>
          <w:rFonts w:ascii="Arial" w:hAnsi="Arial" w:cs="Arial"/>
        </w:rPr>
      </w:pPr>
      <w:r w:rsidRPr="00AF2601">
        <w:rPr>
          <w:rFonts w:ascii="Arial" w:hAnsi="Arial" w:cs="Arial"/>
        </w:rPr>
        <w:t>Executive Director Policy &amp; Strategy</w:t>
      </w:r>
      <w:r w:rsidRPr="00AF2601">
        <w:rPr>
          <w:rFonts w:ascii="Arial" w:hAnsi="Arial" w:cs="Arial"/>
        </w:rPr>
        <w:tab/>
        <w:t>Simon Nokes</w:t>
      </w:r>
    </w:p>
    <w:p w14:paraId="71964CC9" w14:textId="77777777" w:rsidR="00D15D90" w:rsidRPr="00AF2601" w:rsidRDefault="00D15D90" w:rsidP="00D15D90">
      <w:pPr>
        <w:spacing w:line="360" w:lineRule="auto"/>
        <w:rPr>
          <w:rFonts w:ascii="Arial" w:hAnsi="Arial" w:cs="Arial"/>
        </w:rPr>
      </w:pPr>
    </w:p>
    <w:p w14:paraId="2E0CB468" w14:textId="77777777" w:rsidR="00D15D90" w:rsidRPr="00AF2601" w:rsidRDefault="00D15D90" w:rsidP="00D15D90">
      <w:pPr>
        <w:spacing w:line="360" w:lineRule="auto"/>
        <w:rPr>
          <w:rFonts w:ascii="Arial" w:hAnsi="Arial" w:cs="Arial"/>
        </w:rPr>
      </w:pPr>
      <w:r w:rsidRPr="00AF2601">
        <w:rPr>
          <w:rFonts w:ascii="Arial" w:hAnsi="Arial" w:cs="Arial"/>
        </w:rPr>
        <w:t xml:space="preserve">The Senior Leadership Team (SLT) of the organisation comprises CEMT plus Directors and Corporate function leads. The Chief Executive and SLT are accountable to the Mayor and political leaders of Greater Manchester collectively. The SLT oversee a series of Directorates, which have been created to bring greater clarity and focus on the delivery activities of GMCA. These directorates are:  </w:t>
      </w:r>
    </w:p>
    <w:p w14:paraId="3871B726" w14:textId="77777777" w:rsidR="00D15D90" w:rsidRPr="00AF2601" w:rsidRDefault="00D15D90" w:rsidP="00D15D90">
      <w:pPr>
        <w:spacing w:line="360" w:lineRule="auto"/>
        <w:rPr>
          <w:rFonts w:ascii="Arial" w:hAnsi="Arial" w:cs="Arial"/>
        </w:rPr>
      </w:pPr>
    </w:p>
    <w:p w14:paraId="7D8BFD93" w14:textId="77777777" w:rsidR="00D15D90" w:rsidRPr="00AF2601" w:rsidRDefault="00D15D90" w:rsidP="00D15D90">
      <w:pPr>
        <w:pStyle w:val="ListParagraph"/>
        <w:numPr>
          <w:ilvl w:val="0"/>
          <w:numId w:val="64"/>
        </w:numPr>
        <w:spacing w:after="0" w:line="360" w:lineRule="auto"/>
        <w:rPr>
          <w:rFonts w:ascii="Arial" w:hAnsi="Arial" w:cs="Arial"/>
          <w:sz w:val="24"/>
          <w:szCs w:val="24"/>
        </w:rPr>
      </w:pPr>
      <w:r w:rsidRPr="00AF2601">
        <w:rPr>
          <w:rFonts w:ascii="Arial" w:hAnsi="Arial" w:cs="Arial"/>
          <w:sz w:val="24"/>
          <w:szCs w:val="24"/>
        </w:rPr>
        <w:t xml:space="preserve">Digital </w:t>
      </w:r>
    </w:p>
    <w:p w14:paraId="7E8BE942" w14:textId="775F5B49" w:rsidR="00D15D90" w:rsidRPr="00AF2601" w:rsidRDefault="00D15D90" w:rsidP="00D15D90">
      <w:pPr>
        <w:pStyle w:val="ListParagraph"/>
        <w:numPr>
          <w:ilvl w:val="0"/>
          <w:numId w:val="64"/>
        </w:numPr>
        <w:spacing w:after="0" w:line="360" w:lineRule="auto"/>
        <w:rPr>
          <w:rFonts w:ascii="Arial" w:hAnsi="Arial" w:cs="Arial"/>
          <w:sz w:val="24"/>
          <w:szCs w:val="24"/>
        </w:rPr>
      </w:pPr>
      <w:r w:rsidRPr="00AF2601">
        <w:rPr>
          <w:rFonts w:ascii="Arial" w:hAnsi="Arial" w:cs="Arial"/>
          <w:sz w:val="24"/>
          <w:szCs w:val="24"/>
        </w:rPr>
        <w:t xml:space="preserve">Education, </w:t>
      </w:r>
      <w:r w:rsidR="00180E43">
        <w:rPr>
          <w:rFonts w:ascii="Arial" w:hAnsi="Arial" w:cs="Arial"/>
          <w:sz w:val="24"/>
          <w:szCs w:val="24"/>
        </w:rPr>
        <w:t>W</w:t>
      </w:r>
      <w:r w:rsidRPr="00AF2601">
        <w:rPr>
          <w:rFonts w:ascii="Arial" w:hAnsi="Arial" w:cs="Arial"/>
          <w:sz w:val="24"/>
          <w:szCs w:val="24"/>
        </w:rPr>
        <w:t xml:space="preserve">ork and </w:t>
      </w:r>
      <w:r w:rsidR="00180E43">
        <w:rPr>
          <w:rFonts w:ascii="Arial" w:hAnsi="Arial" w:cs="Arial"/>
          <w:sz w:val="24"/>
          <w:szCs w:val="24"/>
        </w:rPr>
        <w:t>S</w:t>
      </w:r>
      <w:r w:rsidRPr="00AF2601">
        <w:rPr>
          <w:rFonts w:ascii="Arial" w:hAnsi="Arial" w:cs="Arial"/>
          <w:sz w:val="24"/>
          <w:szCs w:val="24"/>
        </w:rPr>
        <w:t xml:space="preserve">kills </w:t>
      </w:r>
    </w:p>
    <w:p w14:paraId="588088BA" w14:textId="77777777" w:rsidR="00D15D90" w:rsidRPr="00AF2601" w:rsidRDefault="00D15D90" w:rsidP="00D15D90">
      <w:pPr>
        <w:pStyle w:val="ListParagraph"/>
        <w:numPr>
          <w:ilvl w:val="0"/>
          <w:numId w:val="64"/>
        </w:numPr>
        <w:spacing w:after="0" w:line="360" w:lineRule="auto"/>
        <w:rPr>
          <w:rFonts w:ascii="Arial" w:hAnsi="Arial" w:cs="Arial"/>
          <w:sz w:val="24"/>
          <w:szCs w:val="24"/>
        </w:rPr>
      </w:pPr>
      <w:r w:rsidRPr="00AF2601">
        <w:rPr>
          <w:rFonts w:ascii="Arial" w:hAnsi="Arial" w:cs="Arial"/>
          <w:sz w:val="24"/>
          <w:szCs w:val="24"/>
        </w:rPr>
        <w:t xml:space="preserve">Economy </w:t>
      </w:r>
    </w:p>
    <w:p w14:paraId="560A3C3C" w14:textId="77777777" w:rsidR="00D15D90" w:rsidRPr="00AF2601" w:rsidRDefault="00D15D90" w:rsidP="00D15D90">
      <w:pPr>
        <w:pStyle w:val="ListParagraph"/>
        <w:numPr>
          <w:ilvl w:val="0"/>
          <w:numId w:val="64"/>
        </w:numPr>
        <w:spacing w:after="0" w:line="360" w:lineRule="auto"/>
        <w:rPr>
          <w:rFonts w:ascii="Arial" w:hAnsi="Arial" w:cs="Arial"/>
          <w:sz w:val="24"/>
          <w:szCs w:val="24"/>
        </w:rPr>
      </w:pPr>
      <w:r w:rsidRPr="00AF2601">
        <w:rPr>
          <w:rFonts w:ascii="Arial" w:hAnsi="Arial" w:cs="Arial"/>
          <w:sz w:val="24"/>
          <w:szCs w:val="24"/>
        </w:rPr>
        <w:t xml:space="preserve">Environment </w:t>
      </w:r>
    </w:p>
    <w:p w14:paraId="61B59C84" w14:textId="12B8852F" w:rsidR="00D15D90" w:rsidRPr="00AF2601" w:rsidRDefault="00D15D90" w:rsidP="00D15D90">
      <w:pPr>
        <w:pStyle w:val="ListParagraph"/>
        <w:numPr>
          <w:ilvl w:val="0"/>
          <w:numId w:val="64"/>
        </w:numPr>
        <w:spacing w:after="0" w:line="360" w:lineRule="auto"/>
        <w:rPr>
          <w:rFonts w:ascii="Arial" w:hAnsi="Arial" w:cs="Arial"/>
          <w:sz w:val="24"/>
          <w:szCs w:val="24"/>
        </w:rPr>
      </w:pPr>
      <w:r w:rsidRPr="00AF2601">
        <w:rPr>
          <w:rFonts w:ascii="Arial" w:hAnsi="Arial" w:cs="Arial"/>
          <w:sz w:val="24"/>
          <w:szCs w:val="24"/>
        </w:rPr>
        <w:t xml:space="preserve">Place </w:t>
      </w:r>
      <w:r w:rsidR="00180E43">
        <w:rPr>
          <w:rFonts w:ascii="Arial" w:hAnsi="Arial" w:cs="Arial"/>
          <w:sz w:val="24"/>
          <w:szCs w:val="24"/>
        </w:rPr>
        <w:t>M</w:t>
      </w:r>
      <w:r w:rsidRPr="00AF2601">
        <w:rPr>
          <w:rFonts w:ascii="Arial" w:hAnsi="Arial" w:cs="Arial"/>
          <w:sz w:val="24"/>
          <w:szCs w:val="24"/>
        </w:rPr>
        <w:t xml:space="preserve">aking </w:t>
      </w:r>
    </w:p>
    <w:p w14:paraId="0F42622D" w14:textId="133D67B8" w:rsidR="00D15D90" w:rsidRPr="00AF2601" w:rsidRDefault="00D15D90" w:rsidP="00D15D90">
      <w:pPr>
        <w:pStyle w:val="ListParagraph"/>
        <w:numPr>
          <w:ilvl w:val="0"/>
          <w:numId w:val="64"/>
        </w:numPr>
        <w:spacing w:after="0" w:line="360" w:lineRule="auto"/>
        <w:rPr>
          <w:rFonts w:ascii="Arial" w:hAnsi="Arial" w:cs="Arial"/>
          <w:sz w:val="24"/>
          <w:szCs w:val="24"/>
        </w:rPr>
      </w:pPr>
      <w:r w:rsidRPr="00AF2601">
        <w:rPr>
          <w:rFonts w:ascii="Arial" w:hAnsi="Arial" w:cs="Arial"/>
          <w:sz w:val="24"/>
          <w:szCs w:val="24"/>
        </w:rPr>
        <w:t xml:space="preserve">Public </w:t>
      </w:r>
      <w:r w:rsidR="00180E43">
        <w:rPr>
          <w:rFonts w:ascii="Arial" w:hAnsi="Arial" w:cs="Arial"/>
          <w:sz w:val="24"/>
          <w:szCs w:val="24"/>
        </w:rPr>
        <w:t>S</w:t>
      </w:r>
      <w:r w:rsidRPr="00AF2601">
        <w:rPr>
          <w:rFonts w:ascii="Arial" w:hAnsi="Arial" w:cs="Arial"/>
          <w:sz w:val="24"/>
          <w:szCs w:val="24"/>
        </w:rPr>
        <w:t xml:space="preserve">ervice </w:t>
      </w:r>
      <w:r w:rsidR="00180E43">
        <w:rPr>
          <w:rFonts w:ascii="Arial" w:hAnsi="Arial" w:cs="Arial"/>
          <w:sz w:val="24"/>
          <w:szCs w:val="24"/>
        </w:rPr>
        <w:t>R</w:t>
      </w:r>
      <w:r w:rsidRPr="00AF2601">
        <w:rPr>
          <w:rFonts w:ascii="Arial" w:hAnsi="Arial" w:cs="Arial"/>
          <w:sz w:val="24"/>
          <w:szCs w:val="24"/>
        </w:rPr>
        <w:t xml:space="preserve">eform </w:t>
      </w:r>
    </w:p>
    <w:p w14:paraId="00BD133F" w14:textId="1DCBAAB9" w:rsidR="00D15D90" w:rsidRPr="00AF2601" w:rsidRDefault="00180E43" w:rsidP="00D15D90">
      <w:pPr>
        <w:pStyle w:val="ListParagraph"/>
        <w:numPr>
          <w:ilvl w:val="0"/>
          <w:numId w:val="64"/>
        </w:numPr>
        <w:spacing w:after="0" w:line="360" w:lineRule="auto"/>
        <w:rPr>
          <w:rFonts w:ascii="Arial" w:hAnsi="Arial" w:cs="Arial"/>
          <w:sz w:val="24"/>
          <w:szCs w:val="24"/>
        </w:rPr>
      </w:pPr>
      <w:r>
        <w:rPr>
          <w:rFonts w:ascii="Arial" w:hAnsi="Arial" w:cs="Arial"/>
          <w:sz w:val="24"/>
          <w:szCs w:val="24"/>
        </w:rPr>
        <w:t xml:space="preserve">Safer Stronger Communities (previously </w:t>
      </w:r>
      <w:r w:rsidR="00D15D90" w:rsidRPr="00AF2601">
        <w:rPr>
          <w:rFonts w:ascii="Arial" w:hAnsi="Arial" w:cs="Arial"/>
          <w:sz w:val="24"/>
          <w:szCs w:val="24"/>
        </w:rPr>
        <w:t xml:space="preserve">Police, </w:t>
      </w:r>
      <w:r>
        <w:rPr>
          <w:rFonts w:ascii="Arial" w:hAnsi="Arial" w:cs="Arial"/>
          <w:sz w:val="24"/>
          <w:szCs w:val="24"/>
        </w:rPr>
        <w:t>C</w:t>
      </w:r>
      <w:r w:rsidR="00D15D90" w:rsidRPr="00AF2601">
        <w:rPr>
          <w:rFonts w:ascii="Arial" w:hAnsi="Arial" w:cs="Arial"/>
          <w:sz w:val="24"/>
          <w:szCs w:val="24"/>
        </w:rPr>
        <w:t xml:space="preserve">rime, </w:t>
      </w:r>
      <w:r>
        <w:rPr>
          <w:rFonts w:ascii="Arial" w:hAnsi="Arial" w:cs="Arial"/>
          <w:sz w:val="24"/>
          <w:szCs w:val="24"/>
        </w:rPr>
        <w:t>C</w:t>
      </w:r>
      <w:r w:rsidR="00D15D90" w:rsidRPr="00AF2601">
        <w:rPr>
          <w:rFonts w:ascii="Arial" w:hAnsi="Arial" w:cs="Arial"/>
          <w:sz w:val="24"/>
          <w:szCs w:val="24"/>
        </w:rPr>
        <w:t xml:space="preserve">riminal </w:t>
      </w:r>
      <w:r>
        <w:rPr>
          <w:rFonts w:ascii="Arial" w:hAnsi="Arial" w:cs="Arial"/>
          <w:sz w:val="24"/>
          <w:szCs w:val="24"/>
        </w:rPr>
        <w:t>J</w:t>
      </w:r>
      <w:r w:rsidR="00D15D90" w:rsidRPr="00AF2601">
        <w:rPr>
          <w:rFonts w:ascii="Arial" w:hAnsi="Arial" w:cs="Arial"/>
          <w:sz w:val="24"/>
          <w:szCs w:val="24"/>
        </w:rPr>
        <w:t xml:space="preserve">ustice and </w:t>
      </w:r>
      <w:r>
        <w:rPr>
          <w:rFonts w:ascii="Arial" w:hAnsi="Arial" w:cs="Arial"/>
          <w:sz w:val="24"/>
          <w:szCs w:val="24"/>
        </w:rPr>
        <w:t>F</w:t>
      </w:r>
      <w:r w:rsidR="00D15D90" w:rsidRPr="00AF2601">
        <w:rPr>
          <w:rFonts w:ascii="Arial" w:hAnsi="Arial" w:cs="Arial"/>
          <w:sz w:val="24"/>
          <w:szCs w:val="24"/>
        </w:rPr>
        <w:t>ire</w:t>
      </w:r>
      <w:r>
        <w:rPr>
          <w:rFonts w:ascii="Arial" w:hAnsi="Arial" w:cs="Arial"/>
          <w:sz w:val="24"/>
          <w:szCs w:val="24"/>
        </w:rPr>
        <w:t>)</w:t>
      </w:r>
      <w:r w:rsidR="00D15D90" w:rsidRPr="00AF2601">
        <w:rPr>
          <w:rFonts w:ascii="Arial" w:hAnsi="Arial" w:cs="Arial"/>
          <w:sz w:val="24"/>
          <w:szCs w:val="24"/>
        </w:rPr>
        <w:t xml:space="preserve"> </w:t>
      </w:r>
    </w:p>
    <w:p w14:paraId="70980285" w14:textId="77777777" w:rsidR="00D15D90" w:rsidRPr="00AF2601" w:rsidRDefault="00D15D90" w:rsidP="00D15D90">
      <w:pPr>
        <w:pStyle w:val="ListParagraph"/>
        <w:numPr>
          <w:ilvl w:val="0"/>
          <w:numId w:val="64"/>
        </w:numPr>
        <w:spacing w:after="0" w:line="360" w:lineRule="auto"/>
        <w:rPr>
          <w:rFonts w:ascii="Arial" w:hAnsi="Arial" w:cs="Arial"/>
          <w:sz w:val="24"/>
          <w:szCs w:val="24"/>
        </w:rPr>
      </w:pPr>
      <w:r w:rsidRPr="00AF2601">
        <w:rPr>
          <w:rFonts w:ascii="Arial" w:hAnsi="Arial" w:cs="Arial"/>
          <w:sz w:val="24"/>
          <w:szCs w:val="24"/>
        </w:rPr>
        <w:t>Corporate functions</w:t>
      </w:r>
    </w:p>
    <w:p w14:paraId="12A58FB9" w14:textId="77777777" w:rsidR="00D15D90" w:rsidRPr="00B15622" w:rsidRDefault="00D15D90" w:rsidP="00D15D90">
      <w:pPr>
        <w:spacing w:line="360" w:lineRule="auto"/>
        <w:rPr>
          <w:rFonts w:ascii="Arial" w:hAnsi="Arial" w:cs="Arial"/>
          <w:highlight w:val="yellow"/>
        </w:rPr>
      </w:pPr>
    </w:p>
    <w:p w14:paraId="74875E55" w14:textId="77777777" w:rsidR="00D15D90" w:rsidRPr="00F85A7C" w:rsidRDefault="00D15D90" w:rsidP="00D15D90">
      <w:pPr>
        <w:spacing w:line="360" w:lineRule="auto"/>
        <w:rPr>
          <w:rFonts w:ascii="Arial" w:hAnsi="Arial" w:cs="Arial"/>
        </w:rPr>
      </w:pPr>
      <w:r w:rsidRPr="00F85A7C">
        <w:rPr>
          <w:rFonts w:ascii="Arial" w:hAnsi="Arial" w:cs="Arial"/>
        </w:rPr>
        <w:t>The SLT (Senior Leadership Team) is focused on further developing and preparing to implement our latest devolution deal. This ‘trailblazer’ agreement is our most significant devolution deal yet, providing a unique moment for doing government differently. It provides greater influence and flexibility over crucial policy areas including transport, housing and regeneration, adult skills, employment support, the environment, economic growth, culture, data, digital, resilience and public services. Alongside this, we have a new Mayoral term, with fresh manifesto commitments to deliver. Together, these will guide a refresh of our Greater Manchester Strategy to ensure that our resources and efforts are used in the most effective way, towards those specific areas and outcomes that we as a Combined Authority and city region partnership can most directly influence and change.</w:t>
      </w:r>
    </w:p>
    <w:p w14:paraId="083AD094" w14:textId="77777777" w:rsidR="00D15D90" w:rsidRPr="00F85A7C" w:rsidRDefault="00D15D90" w:rsidP="00D15D90">
      <w:pPr>
        <w:spacing w:line="360" w:lineRule="auto"/>
        <w:rPr>
          <w:rFonts w:ascii="Arial" w:hAnsi="Arial" w:cs="Arial"/>
        </w:rPr>
      </w:pPr>
    </w:p>
    <w:p w14:paraId="53606E3E" w14:textId="77777777" w:rsidR="00D15D90" w:rsidRPr="00F85A7C" w:rsidRDefault="00D15D90" w:rsidP="00D15D90">
      <w:pPr>
        <w:spacing w:line="360" w:lineRule="auto"/>
        <w:rPr>
          <w:rFonts w:ascii="Arial" w:hAnsi="Arial" w:cs="Arial"/>
        </w:rPr>
      </w:pPr>
      <w:r w:rsidRPr="00F85A7C">
        <w:rPr>
          <w:rFonts w:ascii="Arial" w:hAnsi="Arial" w:cs="Arial"/>
        </w:rPr>
        <w:t>And as an organisation we will continue to deliver our People Strategy’s vision of being a better place to work, drawing on the insight and experiences of colleagues from all levels into how we work well, and where we could improve further. Such opportunities come with accompanying challenges. To realise their full potential, we need to continue to evolve as an organisation and as a leadership team. Preparing for the next phase of GMCA involves ensuring that we have the right skills and resources in place; that collaboration with each other, our partners and our residents is maximised; that our teams are empowered to work more flexibly; and that best practice is shared and applied consistently.</w:t>
      </w:r>
    </w:p>
    <w:p w14:paraId="35722E5F" w14:textId="77777777" w:rsidR="00D15D90" w:rsidRPr="00F85A7C" w:rsidRDefault="00D15D90" w:rsidP="00D15D90">
      <w:pPr>
        <w:rPr>
          <w:rFonts w:ascii="Arial" w:hAnsi="Arial" w:cs="Arial"/>
        </w:rPr>
      </w:pPr>
    </w:p>
    <w:p w14:paraId="7869B0ED" w14:textId="77777777" w:rsidR="00D15D90" w:rsidRDefault="00D15D90" w:rsidP="00D15D90">
      <w:pPr>
        <w:spacing w:line="360" w:lineRule="auto"/>
        <w:rPr>
          <w:rFonts w:ascii="Arial" w:hAnsi="Arial" w:cs="Arial"/>
        </w:rPr>
      </w:pPr>
      <w:r w:rsidRPr="00F85A7C">
        <w:rPr>
          <w:rFonts w:ascii="Arial" w:hAnsi="Arial" w:cs="Arial"/>
        </w:rPr>
        <w:t>Our ELN (Extended Leadership Network) continues to evolve, continuing to shape and support organisational delivery, act as a key communication mechanism for effective management of the business and support greater cross-directorate collaboration in the design and delivery of our activities. Through a central co-ordinating ELN Hub, activities have been developed and a forum provided for considering corporate issues and to facilitate greater collaboration and visibility of activities across the organisation. The ELN Hub has representation from each Directorate and is overseen by the Executive Director (Waste) and has responsibility for the development and oversight of delivery of the Business Plan. One way we have progressed some of the organisational commitments in last year’s Business Plan is through the creation of ELN task and finish groups to develop responsive actions to the issues our staff care about, raised as issues via the b-</w:t>
      </w:r>
      <w:r w:rsidRPr="00F85A7C">
        <w:rPr>
          <w:rFonts w:ascii="Arial" w:hAnsi="Arial" w:cs="Arial"/>
        </w:rPr>
        <w:lastRenderedPageBreak/>
        <w:t xml:space="preserve">Heard survey. The task and finish groups are learning and development, prioritising well-being and leadership on environmental sustainability. Each group now </w:t>
      </w:r>
      <w:bookmarkStart w:id="15" w:name="_Hlk157506856"/>
      <w:r w:rsidRPr="00F85A7C">
        <w:rPr>
          <w:rFonts w:ascii="Arial" w:hAnsi="Arial" w:cs="Arial"/>
        </w:rPr>
        <w:t>has clear plans of action in place, developed by dedicated working groups and work continues to be overseen by ELN.</w:t>
      </w:r>
      <w:bookmarkEnd w:id="15"/>
    </w:p>
    <w:p w14:paraId="09B559B4" w14:textId="77777777" w:rsidR="00D15D90" w:rsidRPr="00F85A7C" w:rsidRDefault="00D15D90" w:rsidP="00D15D90">
      <w:pPr>
        <w:spacing w:line="360" w:lineRule="auto"/>
        <w:rPr>
          <w:rFonts w:ascii="Arial" w:hAnsi="Arial" w:cs="Arial"/>
        </w:rPr>
      </w:pPr>
    </w:p>
    <w:p w14:paraId="0D3F0D8F" w14:textId="77777777" w:rsidR="00D15D90" w:rsidRPr="00CD0137" w:rsidRDefault="00D15D90" w:rsidP="00D15D90">
      <w:pPr>
        <w:spacing w:line="360" w:lineRule="auto"/>
        <w:rPr>
          <w:rFonts w:ascii="Arial" w:hAnsi="Arial" w:cs="Arial"/>
          <w:b/>
          <w:bCs/>
          <w:sz w:val="32"/>
          <w:szCs w:val="32"/>
        </w:rPr>
      </w:pPr>
      <w:bookmarkStart w:id="16" w:name="_Hlk169253006"/>
      <w:r w:rsidRPr="00CD0137">
        <w:rPr>
          <w:rFonts w:ascii="Arial" w:hAnsi="Arial" w:cs="Arial"/>
        </w:rPr>
        <w:t xml:space="preserve">During 2022/23 the organisation’s mission statement has been refreshed to be more reflective of the ambition as an organisation and an employer. The new mission </w:t>
      </w:r>
      <w:r w:rsidRPr="00CD0137">
        <w:rPr>
          <w:rFonts w:ascii="Arial" w:hAnsi="Arial" w:cs="Arial"/>
          <w:b/>
          <w:bCs/>
        </w:rPr>
        <w:t>‘</w:t>
      </w:r>
      <w:r w:rsidRPr="00CD0137">
        <w:rPr>
          <w:rFonts w:ascii="Arial" w:hAnsi="Arial" w:cs="Arial"/>
          <w:i/>
          <w:iCs/>
        </w:rPr>
        <w:t>Making Greater Manchester a better place for all’</w:t>
      </w:r>
      <w:r w:rsidRPr="00CD0137">
        <w:rPr>
          <w:rFonts w:ascii="Arial" w:hAnsi="Arial" w:cs="Arial"/>
        </w:rPr>
        <w:t xml:space="preserve"> has been created following consultation with staff, merging the key concepts frequently raised during team-level discussions and which most people said they felt affinity to. Part of the work to refresh the mission, also refined the organisational values to provide clearer, simpler supporting statements that better reflect what GMCA does.</w:t>
      </w:r>
    </w:p>
    <w:p w14:paraId="46F7DF25" w14:textId="77777777" w:rsidR="00D15D90" w:rsidRPr="00CD0137" w:rsidRDefault="00D15D90" w:rsidP="00D15D90">
      <w:pPr>
        <w:spacing w:line="360" w:lineRule="auto"/>
        <w:rPr>
          <w:rFonts w:ascii="Arial" w:hAnsi="Arial" w:cs="Arial"/>
        </w:rPr>
      </w:pPr>
    </w:p>
    <w:bookmarkEnd w:id="16"/>
    <w:p w14:paraId="27447CEF" w14:textId="5244B785" w:rsidR="00D15D90" w:rsidRDefault="00180E43" w:rsidP="00D15D90">
      <w:pPr>
        <w:spacing w:line="360" w:lineRule="auto"/>
        <w:rPr>
          <w:rFonts w:ascii="Arial" w:hAnsi="Arial" w:cs="Arial"/>
        </w:rPr>
      </w:pPr>
      <w:r w:rsidRPr="00CD0137">
        <w:rPr>
          <w:rFonts w:ascii="Arial" w:hAnsi="Arial" w:cs="Arial"/>
        </w:rPr>
        <w:t>GMCA remains the only combined authority in England to have undergone a review under the Local Government Association (LGA) Peer Challenge process which was undertaken in Autumn 2022. The recommendations of the peer review have been accepted by GMCA and form a key element of the development of the authority.</w:t>
      </w:r>
    </w:p>
    <w:p w14:paraId="7EB26B4B" w14:textId="77777777" w:rsidR="00180E43" w:rsidRDefault="00180E43" w:rsidP="00D15D90">
      <w:pPr>
        <w:spacing w:line="360" w:lineRule="auto"/>
        <w:rPr>
          <w:rFonts w:ascii="Arial" w:hAnsi="Arial" w:cs="Arial"/>
        </w:rPr>
      </w:pPr>
    </w:p>
    <w:p w14:paraId="34780A30" w14:textId="77777777" w:rsidR="00A63D82" w:rsidRPr="00AF2601" w:rsidRDefault="00A63D82" w:rsidP="00D15D90">
      <w:pPr>
        <w:spacing w:line="360" w:lineRule="auto"/>
        <w:rPr>
          <w:rFonts w:ascii="Arial" w:hAnsi="Arial" w:cs="Arial"/>
        </w:rPr>
      </w:pPr>
    </w:p>
    <w:p w14:paraId="0979AF06" w14:textId="77777777" w:rsidR="00D15D90" w:rsidRPr="00AF2601" w:rsidRDefault="00D15D90" w:rsidP="00D15D90">
      <w:pPr>
        <w:keepNext/>
        <w:spacing w:line="360" w:lineRule="auto"/>
        <w:rPr>
          <w:rFonts w:ascii="Arial" w:hAnsi="Arial" w:cs="Arial"/>
          <w:b/>
        </w:rPr>
      </w:pPr>
      <w:r w:rsidRPr="00AF2601">
        <w:rPr>
          <w:rFonts w:ascii="Arial" w:hAnsi="Arial" w:cs="Arial"/>
          <w:b/>
        </w:rPr>
        <w:t>Overview of GMCA Resources</w:t>
      </w:r>
    </w:p>
    <w:p w14:paraId="1C3C36A0" w14:textId="77777777" w:rsidR="00D15D90" w:rsidRPr="00AF2601" w:rsidRDefault="00D15D90" w:rsidP="00D15D90">
      <w:pPr>
        <w:pStyle w:val="ListParagraph"/>
        <w:spacing w:line="360" w:lineRule="auto"/>
        <w:ind w:left="0"/>
        <w:rPr>
          <w:rFonts w:ascii="Arial" w:hAnsi="Arial" w:cs="Arial"/>
          <w:sz w:val="24"/>
          <w:szCs w:val="24"/>
        </w:rPr>
      </w:pPr>
    </w:p>
    <w:p w14:paraId="4D084981" w14:textId="77777777" w:rsidR="00D15D90" w:rsidRPr="00AF2601" w:rsidRDefault="00D15D90" w:rsidP="00D15D90">
      <w:pPr>
        <w:pStyle w:val="ListParagraph"/>
        <w:spacing w:line="360" w:lineRule="auto"/>
        <w:ind w:left="0"/>
        <w:rPr>
          <w:rFonts w:ascii="Arial" w:hAnsi="Arial" w:cs="Arial"/>
          <w:snapToGrid w:val="0"/>
          <w:sz w:val="24"/>
          <w:szCs w:val="24"/>
        </w:rPr>
      </w:pPr>
      <w:r w:rsidRPr="00AF2601">
        <w:rPr>
          <w:rFonts w:ascii="Arial" w:hAnsi="Arial" w:cs="Arial"/>
          <w:sz w:val="24"/>
          <w:szCs w:val="24"/>
        </w:rPr>
        <w:t xml:space="preserve">The overall GMCA budgets are made up of a variety of both historic budgets and new budgets relating to the functions provided by the Mayor and the GMCA as a whole. </w:t>
      </w:r>
      <w:r w:rsidRPr="00AF2601">
        <w:rPr>
          <w:rFonts w:ascii="Arial" w:hAnsi="Arial" w:cs="Arial"/>
          <w:snapToGrid w:val="0"/>
          <w:sz w:val="24"/>
          <w:szCs w:val="24"/>
        </w:rPr>
        <w:t xml:space="preserve">The majority of funding the GMCA receives is from government grants, levies and transport statutory charge to Greater Manchester local authorities and council tax (precept) largely ringfenced for the delivery of Police and Crime, Fire and Rescue and Transport functions. The Authority also receives specific government grant funding to deliver key programmes of work, supported by funding from retained business rates growth, reserves and external income.  </w:t>
      </w:r>
    </w:p>
    <w:p w14:paraId="4B5B05D9" w14:textId="77777777" w:rsidR="00D15D90" w:rsidRPr="00B15622" w:rsidRDefault="00D15D90" w:rsidP="00D15D90">
      <w:pPr>
        <w:pStyle w:val="ListParagraph"/>
        <w:spacing w:line="360" w:lineRule="auto"/>
        <w:ind w:left="0"/>
        <w:rPr>
          <w:rFonts w:ascii="Arial" w:hAnsi="Arial" w:cs="Arial"/>
          <w:snapToGrid w:val="0"/>
          <w:sz w:val="24"/>
          <w:szCs w:val="24"/>
          <w:highlight w:val="yellow"/>
          <w:u w:val="single"/>
        </w:rPr>
      </w:pPr>
    </w:p>
    <w:p w14:paraId="7DFC3FED" w14:textId="77777777" w:rsidR="00D15D90" w:rsidRPr="00AF2601" w:rsidRDefault="00D15D90" w:rsidP="00D15D90">
      <w:pPr>
        <w:pStyle w:val="ListParagraph"/>
        <w:spacing w:line="360" w:lineRule="auto"/>
        <w:ind w:left="0"/>
        <w:rPr>
          <w:rFonts w:ascii="Arial" w:hAnsi="Arial" w:cs="Arial"/>
          <w:snapToGrid w:val="0"/>
          <w:sz w:val="24"/>
          <w:szCs w:val="24"/>
          <w:u w:val="single"/>
        </w:rPr>
      </w:pPr>
      <w:r w:rsidRPr="00AF2601">
        <w:rPr>
          <w:rFonts w:ascii="Arial" w:hAnsi="Arial" w:cs="Arial"/>
          <w:snapToGrid w:val="0"/>
          <w:sz w:val="24"/>
          <w:szCs w:val="24"/>
          <w:u w:val="single"/>
        </w:rPr>
        <w:t>Revenue budgets</w:t>
      </w:r>
    </w:p>
    <w:p w14:paraId="512D6F17" w14:textId="77777777" w:rsidR="00D15D90" w:rsidRPr="00AF2601" w:rsidRDefault="00D15D90" w:rsidP="00D15D90">
      <w:pPr>
        <w:pStyle w:val="ListParagraph"/>
        <w:spacing w:line="360" w:lineRule="auto"/>
        <w:ind w:left="0"/>
        <w:rPr>
          <w:rFonts w:ascii="Arial" w:hAnsi="Arial" w:cs="Arial"/>
          <w:snapToGrid w:val="0"/>
          <w:sz w:val="24"/>
          <w:szCs w:val="24"/>
        </w:rPr>
      </w:pPr>
    </w:p>
    <w:p w14:paraId="570BB945" w14:textId="77777777" w:rsidR="00D15D90" w:rsidRPr="00AF2601" w:rsidRDefault="00D15D90" w:rsidP="00D15D90">
      <w:pPr>
        <w:pStyle w:val="ListParagraph"/>
        <w:spacing w:line="360" w:lineRule="auto"/>
        <w:ind w:left="0"/>
        <w:rPr>
          <w:rFonts w:ascii="Arial" w:hAnsi="Arial" w:cs="Arial"/>
          <w:sz w:val="24"/>
          <w:szCs w:val="24"/>
        </w:rPr>
      </w:pPr>
      <w:r w:rsidRPr="00AF2601">
        <w:rPr>
          <w:rFonts w:ascii="Arial" w:hAnsi="Arial" w:cs="Arial"/>
          <w:sz w:val="24"/>
          <w:szCs w:val="24"/>
        </w:rPr>
        <w:t>The various orders under which these functions are provided, determine how revenue budgets are funded such that:</w:t>
      </w:r>
    </w:p>
    <w:p w14:paraId="77CF65D4" w14:textId="77777777" w:rsidR="00D15D90" w:rsidRPr="00AF2601" w:rsidRDefault="00D15D90" w:rsidP="00D15D90">
      <w:pPr>
        <w:pStyle w:val="ListParagraph"/>
        <w:spacing w:line="360" w:lineRule="auto"/>
        <w:ind w:left="0"/>
        <w:rPr>
          <w:rFonts w:ascii="Arial" w:hAnsi="Arial" w:cs="Arial"/>
          <w:snapToGrid w:val="0"/>
          <w:sz w:val="24"/>
          <w:szCs w:val="24"/>
        </w:rPr>
      </w:pPr>
    </w:p>
    <w:p w14:paraId="6A826715" w14:textId="77777777" w:rsidR="00D15D90" w:rsidRPr="00AF2601" w:rsidRDefault="00D15D90" w:rsidP="00D15D90">
      <w:pPr>
        <w:pStyle w:val="ListParagraph"/>
        <w:numPr>
          <w:ilvl w:val="0"/>
          <w:numId w:val="63"/>
        </w:numPr>
        <w:spacing w:after="0" w:line="360" w:lineRule="auto"/>
        <w:rPr>
          <w:rFonts w:ascii="Arial" w:hAnsi="Arial" w:cs="Arial"/>
          <w:sz w:val="24"/>
          <w:szCs w:val="24"/>
        </w:rPr>
      </w:pPr>
      <w:r w:rsidRPr="00AF2601">
        <w:rPr>
          <w:rFonts w:ascii="Arial" w:hAnsi="Arial" w:cs="Arial"/>
          <w:bCs/>
          <w:sz w:val="24"/>
          <w:szCs w:val="24"/>
        </w:rPr>
        <w:t>GMCA General Budget –</w:t>
      </w:r>
      <w:r w:rsidRPr="00AF2601">
        <w:rPr>
          <w:rFonts w:ascii="Arial" w:hAnsi="Arial" w:cs="Arial"/>
          <w:sz w:val="24"/>
          <w:szCs w:val="24"/>
        </w:rPr>
        <w:t xml:space="preserve"> This includes corporate functions and </w:t>
      </w:r>
      <w:r w:rsidRPr="00AF2601">
        <w:rPr>
          <w:rFonts w:ascii="Arial" w:hAnsi="Arial" w:cs="Arial"/>
          <w:bCs/>
          <w:sz w:val="24"/>
          <w:szCs w:val="24"/>
        </w:rPr>
        <w:t xml:space="preserve">economic, development and regeneration </w:t>
      </w:r>
      <w:r w:rsidRPr="00AF2601">
        <w:rPr>
          <w:rFonts w:ascii="Arial" w:hAnsi="Arial" w:cs="Arial"/>
          <w:sz w:val="24"/>
          <w:szCs w:val="24"/>
        </w:rPr>
        <w:t xml:space="preserve">activities of the GMCA. The budget is made up of a number of specific government grants, including the Adult Education Budget, retained business rates, Greater Manchester local authority contributions, earmarked reserves, internal recharges to other GMCA budgets and external income.  </w:t>
      </w:r>
    </w:p>
    <w:p w14:paraId="27B96E37" w14:textId="77777777" w:rsidR="00D15D90" w:rsidRPr="00B15622" w:rsidRDefault="00D15D90" w:rsidP="00D15D90">
      <w:pPr>
        <w:pStyle w:val="ListParagraph"/>
        <w:spacing w:after="0" w:line="360" w:lineRule="auto"/>
        <w:ind w:left="0"/>
        <w:jc w:val="both"/>
        <w:rPr>
          <w:rFonts w:ascii="Arial" w:hAnsi="Arial" w:cs="Arial"/>
          <w:snapToGrid w:val="0"/>
          <w:sz w:val="24"/>
          <w:szCs w:val="24"/>
          <w:highlight w:val="yellow"/>
        </w:rPr>
      </w:pPr>
    </w:p>
    <w:p w14:paraId="0FC608CD" w14:textId="77777777" w:rsidR="00D15D90" w:rsidRPr="00AF2601" w:rsidRDefault="00D15D90" w:rsidP="00D15D90">
      <w:pPr>
        <w:pStyle w:val="ListParagraph"/>
        <w:numPr>
          <w:ilvl w:val="0"/>
          <w:numId w:val="63"/>
        </w:numPr>
        <w:spacing w:after="0" w:line="360" w:lineRule="auto"/>
        <w:rPr>
          <w:rFonts w:ascii="Arial" w:hAnsi="Arial" w:cs="Arial"/>
          <w:sz w:val="24"/>
          <w:szCs w:val="24"/>
        </w:rPr>
      </w:pPr>
      <w:r w:rsidRPr="00AF2601">
        <w:rPr>
          <w:rFonts w:ascii="Arial" w:hAnsi="Arial" w:cs="Arial"/>
          <w:bCs/>
          <w:sz w:val="24"/>
          <w:szCs w:val="24"/>
        </w:rPr>
        <w:t>Mayoral General Budget</w:t>
      </w:r>
      <w:r w:rsidRPr="00AF2601">
        <w:rPr>
          <w:rFonts w:ascii="Arial" w:hAnsi="Arial" w:cs="Arial"/>
          <w:sz w:val="24"/>
          <w:szCs w:val="24"/>
        </w:rPr>
        <w:t xml:space="preserve"> – This is funded from the Mayoral Precept, transport statutory charge on Greater Manchester local authorities and government grants. The Greater Manchester Fire and Rescue Service (GMFRS) is part of the Mayoral Precept but also receives a revenue support grant, business rates income and a top up grant.</w:t>
      </w:r>
    </w:p>
    <w:p w14:paraId="3B4C6BA0" w14:textId="77777777" w:rsidR="00D15D90" w:rsidRPr="00B15622" w:rsidRDefault="00D15D90" w:rsidP="00D15D90">
      <w:pPr>
        <w:spacing w:line="360" w:lineRule="auto"/>
        <w:ind w:left="360"/>
        <w:rPr>
          <w:rFonts w:ascii="Arial" w:hAnsi="Arial" w:cs="Arial"/>
          <w:highlight w:val="yellow"/>
        </w:rPr>
      </w:pPr>
      <w:r w:rsidRPr="00B15622">
        <w:rPr>
          <w:rFonts w:ascii="Arial" w:hAnsi="Arial" w:cs="Arial"/>
          <w:highlight w:val="yellow"/>
        </w:rPr>
        <w:t xml:space="preserve"> </w:t>
      </w:r>
    </w:p>
    <w:p w14:paraId="7DC9BA14" w14:textId="77777777" w:rsidR="00D15D90" w:rsidRPr="00AF2601" w:rsidRDefault="00D15D90" w:rsidP="00D15D90">
      <w:pPr>
        <w:pStyle w:val="ListParagraph"/>
        <w:numPr>
          <w:ilvl w:val="0"/>
          <w:numId w:val="63"/>
        </w:numPr>
        <w:spacing w:after="0" w:line="360" w:lineRule="auto"/>
        <w:rPr>
          <w:rFonts w:ascii="Arial" w:hAnsi="Arial" w:cs="Arial"/>
          <w:sz w:val="24"/>
          <w:szCs w:val="24"/>
        </w:rPr>
      </w:pPr>
      <w:r w:rsidRPr="00AF2601">
        <w:rPr>
          <w:rFonts w:ascii="Arial" w:hAnsi="Arial" w:cs="Arial"/>
          <w:bCs/>
          <w:sz w:val="24"/>
          <w:szCs w:val="24"/>
        </w:rPr>
        <w:t>Greater Manchester Waste and Resources</w:t>
      </w:r>
      <w:r w:rsidRPr="00AF2601">
        <w:rPr>
          <w:rFonts w:ascii="Arial" w:hAnsi="Arial" w:cs="Arial"/>
          <w:b/>
          <w:sz w:val="24"/>
          <w:szCs w:val="24"/>
        </w:rPr>
        <w:t xml:space="preserve"> </w:t>
      </w:r>
      <w:r w:rsidRPr="00AF2601">
        <w:rPr>
          <w:rFonts w:ascii="Arial" w:hAnsi="Arial" w:cs="Arial"/>
          <w:bCs/>
          <w:sz w:val="24"/>
          <w:szCs w:val="24"/>
        </w:rPr>
        <w:t>–</w:t>
      </w:r>
      <w:r w:rsidRPr="00AF2601">
        <w:rPr>
          <w:rFonts w:ascii="Arial" w:hAnsi="Arial" w:cs="Arial"/>
          <w:b/>
          <w:sz w:val="24"/>
          <w:szCs w:val="24"/>
        </w:rPr>
        <w:t xml:space="preserve"> </w:t>
      </w:r>
      <w:r w:rsidRPr="00AF2601">
        <w:rPr>
          <w:rFonts w:ascii="Arial" w:hAnsi="Arial" w:cs="Arial"/>
          <w:sz w:val="24"/>
          <w:szCs w:val="24"/>
        </w:rPr>
        <w:t>This is funded from a levy to nine Greater Manchester local authorities (excluding Wigan) that participate in the Greater Manchester waste service with contributions on the basis of an agreed funding mechanism.</w:t>
      </w:r>
    </w:p>
    <w:p w14:paraId="3EF4931E" w14:textId="77777777" w:rsidR="00D15D90" w:rsidRPr="00B15622" w:rsidRDefault="00D15D90" w:rsidP="00D15D90">
      <w:pPr>
        <w:spacing w:line="360" w:lineRule="auto"/>
        <w:rPr>
          <w:rFonts w:ascii="Arial" w:hAnsi="Arial" w:cs="Arial"/>
          <w:highlight w:val="yellow"/>
        </w:rPr>
      </w:pPr>
    </w:p>
    <w:p w14:paraId="47BCB77F" w14:textId="77777777" w:rsidR="00D15D90" w:rsidRPr="00AF2601" w:rsidRDefault="00D15D90" w:rsidP="00D15D90">
      <w:pPr>
        <w:pStyle w:val="ListParagraph"/>
        <w:numPr>
          <w:ilvl w:val="0"/>
          <w:numId w:val="63"/>
        </w:numPr>
        <w:spacing w:after="0" w:line="360" w:lineRule="auto"/>
        <w:rPr>
          <w:rFonts w:ascii="Arial" w:hAnsi="Arial" w:cs="Arial"/>
          <w:sz w:val="24"/>
          <w:szCs w:val="24"/>
        </w:rPr>
      </w:pPr>
      <w:r w:rsidRPr="00AF2601">
        <w:rPr>
          <w:rFonts w:ascii="Arial" w:hAnsi="Arial" w:cs="Arial"/>
          <w:bCs/>
          <w:sz w:val="24"/>
          <w:szCs w:val="24"/>
        </w:rPr>
        <w:t>GMCA Transport Revenue Budget –</w:t>
      </w:r>
      <w:r w:rsidRPr="00AF2601">
        <w:rPr>
          <w:rFonts w:ascii="Arial" w:hAnsi="Arial" w:cs="Arial"/>
          <w:b/>
          <w:sz w:val="24"/>
          <w:szCs w:val="24"/>
        </w:rPr>
        <w:t xml:space="preserve"> </w:t>
      </w:r>
      <w:r w:rsidRPr="00AF2601">
        <w:rPr>
          <w:rFonts w:ascii="Arial" w:hAnsi="Arial" w:cs="Arial"/>
          <w:sz w:val="24"/>
          <w:szCs w:val="24"/>
        </w:rPr>
        <w:t xml:space="preserve">This is funded from a contribution from the Mayoral budget for statutory Mayoral functions including bus services and from a levy on local authorities for non-Mayoral functions in relation to public transport and a contribution to Metrolink financing costs. The budget also includes a number of other grants received in relation to specific activities. </w:t>
      </w:r>
    </w:p>
    <w:p w14:paraId="2DD8558F" w14:textId="77777777" w:rsidR="00D15D90" w:rsidRPr="00AF2601" w:rsidRDefault="00D15D90" w:rsidP="00D15D90">
      <w:pPr>
        <w:pStyle w:val="ListParagraph"/>
        <w:spacing w:after="0" w:line="360" w:lineRule="auto"/>
        <w:rPr>
          <w:rFonts w:ascii="Arial" w:hAnsi="Arial" w:cs="Arial"/>
          <w:bCs/>
          <w:sz w:val="24"/>
          <w:szCs w:val="24"/>
        </w:rPr>
      </w:pPr>
    </w:p>
    <w:p w14:paraId="2CA52BFD" w14:textId="342C242E" w:rsidR="00D15D90" w:rsidRPr="00A63D82" w:rsidRDefault="00D15D90" w:rsidP="00A63D82">
      <w:pPr>
        <w:pStyle w:val="ListParagraph"/>
        <w:numPr>
          <w:ilvl w:val="0"/>
          <w:numId w:val="63"/>
        </w:numPr>
        <w:spacing w:after="0" w:line="360" w:lineRule="auto"/>
        <w:rPr>
          <w:rFonts w:ascii="Arial" w:hAnsi="Arial" w:cs="Arial"/>
          <w:sz w:val="24"/>
          <w:szCs w:val="24"/>
        </w:rPr>
      </w:pPr>
      <w:r w:rsidRPr="00AF2601">
        <w:rPr>
          <w:rFonts w:ascii="Arial" w:hAnsi="Arial" w:cs="Arial"/>
          <w:bCs/>
          <w:sz w:val="24"/>
          <w:szCs w:val="24"/>
        </w:rPr>
        <w:t xml:space="preserve">Greater Manchester Police Fund is made up of government grant and the policing precept agreed with the Police, Fire and Crime Panel, following a public consultation. The majority of the Police Fund is delegated to the Chief Constable of Greater Manchester Police. </w:t>
      </w:r>
    </w:p>
    <w:p w14:paraId="57955868" w14:textId="77777777" w:rsidR="00D15D90" w:rsidRPr="00B15622" w:rsidRDefault="00D15D90" w:rsidP="00D15D90">
      <w:pPr>
        <w:pStyle w:val="ListParagraph"/>
        <w:spacing w:line="360" w:lineRule="auto"/>
        <w:ind w:left="0"/>
        <w:rPr>
          <w:rFonts w:ascii="Arial" w:hAnsi="Arial" w:cs="Arial"/>
          <w:snapToGrid w:val="0"/>
          <w:sz w:val="24"/>
          <w:szCs w:val="24"/>
          <w:highlight w:val="yellow"/>
        </w:rPr>
      </w:pPr>
    </w:p>
    <w:p w14:paraId="176D8346" w14:textId="77777777" w:rsidR="00D15D90" w:rsidRDefault="00D15D90" w:rsidP="00D15D90">
      <w:pPr>
        <w:pStyle w:val="ListParagraph"/>
        <w:spacing w:line="360" w:lineRule="auto"/>
        <w:ind w:left="0"/>
        <w:rPr>
          <w:rFonts w:ascii="Arial" w:hAnsi="Arial" w:cs="Arial"/>
          <w:snapToGrid w:val="0"/>
          <w:sz w:val="24"/>
          <w:szCs w:val="24"/>
        </w:rPr>
      </w:pPr>
      <w:r w:rsidRPr="0066484A">
        <w:rPr>
          <w:rFonts w:ascii="Arial" w:hAnsi="Arial" w:cs="Arial"/>
          <w:snapToGrid w:val="0"/>
          <w:sz w:val="24"/>
          <w:szCs w:val="24"/>
        </w:rPr>
        <w:t>The table below shows the budgets and provisional outturn position for each of the GMCA budgets in 2023/24:</w:t>
      </w:r>
    </w:p>
    <w:p w14:paraId="33BA2D6C" w14:textId="77777777" w:rsidR="00A63D82" w:rsidRPr="0066484A" w:rsidRDefault="00A63D82" w:rsidP="00D15D90">
      <w:pPr>
        <w:pStyle w:val="ListParagraph"/>
        <w:spacing w:line="360" w:lineRule="auto"/>
        <w:ind w:left="0"/>
        <w:rPr>
          <w:rFonts w:ascii="Arial" w:hAnsi="Arial" w:cs="Arial"/>
          <w:snapToGrid w:val="0"/>
          <w:sz w:val="24"/>
          <w:szCs w:val="24"/>
        </w:rPr>
      </w:pPr>
    </w:p>
    <w:tbl>
      <w:tblPr>
        <w:tblpPr w:leftFromText="180" w:rightFromText="180" w:vertAnchor="text" w:horzAnchor="margin" w:tblpXSpec="center" w:tblpY="12"/>
        <w:tblW w:w="10247" w:type="dxa"/>
        <w:tblLook w:val="04A0" w:firstRow="1" w:lastRow="0" w:firstColumn="1" w:lastColumn="0" w:noHBand="0" w:noVBand="1"/>
      </w:tblPr>
      <w:tblGrid>
        <w:gridCol w:w="1691"/>
        <w:gridCol w:w="993"/>
        <w:gridCol w:w="1073"/>
        <w:gridCol w:w="828"/>
        <w:gridCol w:w="939"/>
        <w:gridCol w:w="1073"/>
        <w:gridCol w:w="850"/>
        <w:gridCol w:w="961"/>
        <w:gridCol w:w="1012"/>
        <w:gridCol w:w="961"/>
      </w:tblGrid>
      <w:tr w:rsidR="00D15D90" w:rsidRPr="003312E3" w14:paraId="0E3617AF" w14:textId="77777777" w:rsidTr="00012E0D">
        <w:trPr>
          <w:trHeight w:val="279"/>
        </w:trPr>
        <w:tc>
          <w:tcPr>
            <w:tcW w:w="1691" w:type="dxa"/>
            <w:tcBorders>
              <w:top w:val="single" w:sz="8" w:space="0" w:color="auto"/>
              <w:left w:val="single" w:sz="8" w:space="0" w:color="auto"/>
              <w:bottom w:val="nil"/>
              <w:right w:val="nil"/>
            </w:tcBorders>
            <w:shd w:val="clear" w:color="auto" w:fill="auto"/>
            <w:vAlign w:val="center"/>
          </w:tcPr>
          <w:p w14:paraId="5F51C0B6" w14:textId="77777777" w:rsidR="00D15D90" w:rsidRPr="003312E3" w:rsidRDefault="00D15D90" w:rsidP="00012E0D">
            <w:pPr>
              <w:spacing w:line="276" w:lineRule="auto"/>
              <w:rPr>
                <w:rFonts w:ascii="Arial" w:hAnsi="Arial" w:cs="Arial"/>
                <w:b/>
                <w:bCs/>
                <w:color w:val="000000"/>
                <w:sz w:val="20"/>
                <w:szCs w:val="16"/>
                <w:lang w:eastAsia="en-GB"/>
              </w:rPr>
            </w:pPr>
            <w:r>
              <w:rPr>
                <w:rFonts w:ascii="Arial" w:hAnsi="Arial" w:cs="Arial"/>
                <w:b/>
                <w:bCs/>
                <w:color w:val="000000"/>
                <w:sz w:val="20"/>
                <w:szCs w:val="16"/>
                <w:lang w:eastAsia="en-GB"/>
              </w:rPr>
              <w:lastRenderedPageBreak/>
              <w:t>Summary</w:t>
            </w:r>
          </w:p>
        </w:tc>
        <w:tc>
          <w:tcPr>
            <w:tcW w:w="2760"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5E5AED5E"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Approved Budget</w:t>
            </w:r>
          </w:p>
        </w:tc>
        <w:tc>
          <w:tcPr>
            <w:tcW w:w="2862" w:type="dxa"/>
            <w:gridSpan w:val="3"/>
            <w:tcBorders>
              <w:top w:val="single" w:sz="8" w:space="0" w:color="auto"/>
              <w:left w:val="nil"/>
              <w:bottom w:val="nil"/>
              <w:right w:val="single" w:sz="8" w:space="0" w:color="000000"/>
            </w:tcBorders>
            <w:shd w:val="clear" w:color="auto" w:fill="auto"/>
            <w:noWrap/>
            <w:vAlign w:val="center"/>
            <w:hideMark/>
          </w:tcPr>
          <w:p w14:paraId="61511486"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Provisional Outturn</w:t>
            </w:r>
          </w:p>
        </w:tc>
        <w:tc>
          <w:tcPr>
            <w:tcW w:w="2934" w:type="dxa"/>
            <w:gridSpan w:val="3"/>
            <w:tcBorders>
              <w:top w:val="single" w:sz="8" w:space="0" w:color="auto"/>
              <w:left w:val="nil"/>
              <w:bottom w:val="nil"/>
              <w:right w:val="single" w:sz="8" w:space="0" w:color="000000"/>
            </w:tcBorders>
            <w:shd w:val="clear" w:color="auto" w:fill="auto"/>
            <w:noWrap/>
            <w:vAlign w:val="center"/>
            <w:hideMark/>
          </w:tcPr>
          <w:p w14:paraId="7E8D4FAA"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Variance from Budget</w:t>
            </w:r>
          </w:p>
        </w:tc>
      </w:tr>
      <w:tr w:rsidR="00D15D90" w:rsidRPr="003312E3" w14:paraId="27AF2F84" w14:textId="77777777" w:rsidTr="00012E0D">
        <w:trPr>
          <w:trHeight w:val="289"/>
        </w:trPr>
        <w:tc>
          <w:tcPr>
            <w:tcW w:w="1691" w:type="dxa"/>
            <w:tcBorders>
              <w:top w:val="nil"/>
              <w:left w:val="single" w:sz="8" w:space="0" w:color="auto"/>
              <w:bottom w:val="single" w:sz="8" w:space="0" w:color="auto"/>
              <w:right w:val="nil"/>
            </w:tcBorders>
            <w:shd w:val="clear" w:color="auto" w:fill="auto"/>
            <w:vAlign w:val="center"/>
          </w:tcPr>
          <w:p w14:paraId="4C374FD8" w14:textId="77777777" w:rsidR="00D15D90" w:rsidRPr="003312E3" w:rsidRDefault="00D15D90" w:rsidP="00012E0D">
            <w:pPr>
              <w:spacing w:line="276" w:lineRule="auto"/>
              <w:rPr>
                <w:rFonts w:ascii="Arial" w:hAnsi="Arial" w:cs="Arial"/>
                <w:b/>
                <w:bCs/>
                <w:color w:val="000000"/>
                <w:sz w:val="20"/>
                <w:szCs w:val="16"/>
                <w:lang w:eastAsia="en-GB"/>
              </w:rPr>
            </w:pPr>
            <w:r>
              <w:rPr>
                <w:rFonts w:ascii="Arial" w:hAnsi="Arial" w:cs="Arial"/>
                <w:b/>
                <w:bCs/>
                <w:color w:val="000000"/>
                <w:sz w:val="20"/>
                <w:szCs w:val="16"/>
                <w:lang w:eastAsia="en-GB"/>
              </w:rPr>
              <w:t>2023/24</w:t>
            </w:r>
          </w:p>
        </w:tc>
        <w:tc>
          <w:tcPr>
            <w:tcW w:w="993" w:type="dxa"/>
            <w:tcBorders>
              <w:top w:val="nil"/>
              <w:left w:val="single" w:sz="8" w:space="0" w:color="auto"/>
              <w:bottom w:val="single" w:sz="8" w:space="0" w:color="auto"/>
              <w:right w:val="nil"/>
            </w:tcBorders>
            <w:shd w:val="clear" w:color="auto" w:fill="auto"/>
            <w:noWrap/>
            <w:vAlign w:val="center"/>
            <w:hideMark/>
          </w:tcPr>
          <w:p w14:paraId="00FEDEF3"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Exp</w:t>
            </w:r>
          </w:p>
        </w:tc>
        <w:tc>
          <w:tcPr>
            <w:tcW w:w="1073" w:type="dxa"/>
            <w:tcBorders>
              <w:top w:val="nil"/>
              <w:left w:val="nil"/>
              <w:bottom w:val="single" w:sz="8" w:space="0" w:color="auto"/>
              <w:right w:val="nil"/>
            </w:tcBorders>
            <w:shd w:val="clear" w:color="auto" w:fill="auto"/>
            <w:noWrap/>
            <w:vAlign w:val="center"/>
            <w:hideMark/>
          </w:tcPr>
          <w:p w14:paraId="4CBBBCB6"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 xml:space="preserve">Income </w:t>
            </w:r>
          </w:p>
        </w:tc>
        <w:tc>
          <w:tcPr>
            <w:tcW w:w="694" w:type="dxa"/>
            <w:tcBorders>
              <w:top w:val="nil"/>
              <w:left w:val="nil"/>
              <w:bottom w:val="single" w:sz="8" w:space="0" w:color="auto"/>
              <w:right w:val="single" w:sz="8" w:space="0" w:color="auto"/>
            </w:tcBorders>
            <w:shd w:val="clear" w:color="auto" w:fill="auto"/>
            <w:noWrap/>
            <w:vAlign w:val="center"/>
            <w:hideMark/>
          </w:tcPr>
          <w:p w14:paraId="594360F1"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Total</w:t>
            </w:r>
          </w:p>
        </w:tc>
        <w:tc>
          <w:tcPr>
            <w:tcW w:w="939" w:type="dxa"/>
            <w:tcBorders>
              <w:top w:val="nil"/>
              <w:left w:val="nil"/>
              <w:bottom w:val="single" w:sz="8" w:space="0" w:color="auto"/>
              <w:right w:val="nil"/>
            </w:tcBorders>
            <w:shd w:val="clear" w:color="auto" w:fill="auto"/>
            <w:noWrap/>
            <w:vAlign w:val="center"/>
            <w:hideMark/>
          </w:tcPr>
          <w:p w14:paraId="08EAE628"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Exp</w:t>
            </w:r>
          </w:p>
        </w:tc>
        <w:tc>
          <w:tcPr>
            <w:tcW w:w="1073" w:type="dxa"/>
            <w:tcBorders>
              <w:top w:val="nil"/>
              <w:left w:val="nil"/>
              <w:bottom w:val="single" w:sz="8" w:space="0" w:color="auto"/>
              <w:right w:val="nil"/>
            </w:tcBorders>
            <w:shd w:val="clear" w:color="auto" w:fill="auto"/>
            <w:noWrap/>
            <w:vAlign w:val="center"/>
            <w:hideMark/>
          </w:tcPr>
          <w:p w14:paraId="368C2F86"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 xml:space="preserve">Income </w:t>
            </w:r>
          </w:p>
        </w:tc>
        <w:tc>
          <w:tcPr>
            <w:tcW w:w="850" w:type="dxa"/>
            <w:tcBorders>
              <w:top w:val="nil"/>
              <w:left w:val="nil"/>
              <w:bottom w:val="single" w:sz="8" w:space="0" w:color="auto"/>
              <w:right w:val="single" w:sz="8" w:space="0" w:color="auto"/>
            </w:tcBorders>
            <w:shd w:val="clear" w:color="auto" w:fill="auto"/>
            <w:noWrap/>
            <w:vAlign w:val="center"/>
            <w:hideMark/>
          </w:tcPr>
          <w:p w14:paraId="3B07FADA"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Total</w:t>
            </w:r>
          </w:p>
        </w:tc>
        <w:tc>
          <w:tcPr>
            <w:tcW w:w="961" w:type="dxa"/>
            <w:tcBorders>
              <w:top w:val="nil"/>
              <w:left w:val="nil"/>
              <w:bottom w:val="single" w:sz="8" w:space="0" w:color="auto"/>
              <w:right w:val="nil"/>
            </w:tcBorders>
            <w:shd w:val="clear" w:color="auto" w:fill="auto"/>
            <w:noWrap/>
            <w:vAlign w:val="center"/>
            <w:hideMark/>
          </w:tcPr>
          <w:p w14:paraId="3C2F4880"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Exp</w:t>
            </w:r>
          </w:p>
        </w:tc>
        <w:tc>
          <w:tcPr>
            <w:tcW w:w="1012" w:type="dxa"/>
            <w:tcBorders>
              <w:top w:val="nil"/>
              <w:left w:val="nil"/>
              <w:bottom w:val="single" w:sz="8" w:space="0" w:color="auto"/>
              <w:right w:val="nil"/>
            </w:tcBorders>
            <w:shd w:val="clear" w:color="auto" w:fill="auto"/>
            <w:noWrap/>
            <w:vAlign w:val="center"/>
            <w:hideMark/>
          </w:tcPr>
          <w:p w14:paraId="7CFD1F07"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 xml:space="preserve">Income </w:t>
            </w:r>
          </w:p>
        </w:tc>
        <w:tc>
          <w:tcPr>
            <w:tcW w:w="961" w:type="dxa"/>
            <w:tcBorders>
              <w:top w:val="nil"/>
              <w:left w:val="nil"/>
              <w:bottom w:val="single" w:sz="8" w:space="0" w:color="auto"/>
              <w:right w:val="single" w:sz="8" w:space="0" w:color="auto"/>
            </w:tcBorders>
            <w:shd w:val="clear" w:color="auto" w:fill="auto"/>
            <w:noWrap/>
            <w:vAlign w:val="center"/>
            <w:hideMark/>
          </w:tcPr>
          <w:p w14:paraId="159C4928" w14:textId="77777777" w:rsidR="00D15D90" w:rsidRPr="003312E3" w:rsidRDefault="00D15D90" w:rsidP="00012E0D">
            <w:pPr>
              <w:spacing w:line="276" w:lineRule="auto"/>
              <w:ind w:left="10" w:hanging="10"/>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Total</w:t>
            </w:r>
          </w:p>
        </w:tc>
      </w:tr>
      <w:tr w:rsidR="00D15D90" w:rsidRPr="003312E3" w14:paraId="3E507CE1" w14:textId="77777777" w:rsidTr="00012E0D">
        <w:trPr>
          <w:trHeight w:val="279"/>
        </w:trPr>
        <w:tc>
          <w:tcPr>
            <w:tcW w:w="1691" w:type="dxa"/>
            <w:tcBorders>
              <w:top w:val="nil"/>
              <w:left w:val="single" w:sz="8" w:space="0" w:color="auto"/>
              <w:bottom w:val="single" w:sz="4" w:space="0" w:color="auto"/>
              <w:right w:val="nil"/>
            </w:tcBorders>
            <w:shd w:val="clear" w:color="auto" w:fill="auto"/>
            <w:noWrap/>
            <w:vAlign w:val="center"/>
            <w:hideMark/>
          </w:tcPr>
          <w:p w14:paraId="06BEA656" w14:textId="77777777" w:rsidR="00D15D90" w:rsidRPr="003312E3" w:rsidRDefault="00D15D90" w:rsidP="00012E0D">
            <w:pPr>
              <w:spacing w:line="276" w:lineRule="auto"/>
              <w:rPr>
                <w:rFonts w:ascii="Arial" w:hAnsi="Arial" w:cs="Arial"/>
                <w:color w:val="000000"/>
                <w:sz w:val="20"/>
                <w:szCs w:val="16"/>
                <w:lang w:eastAsia="en-GB"/>
              </w:rPr>
            </w:pPr>
            <w:r w:rsidRPr="003312E3">
              <w:rPr>
                <w:rFonts w:ascii="Arial" w:hAnsi="Arial" w:cs="Arial"/>
                <w:color w:val="000000"/>
                <w:sz w:val="20"/>
                <w:szCs w:val="16"/>
                <w:lang w:eastAsia="en-GB"/>
              </w:rPr>
              <w:t> </w:t>
            </w:r>
          </w:p>
        </w:tc>
        <w:tc>
          <w:tcPr>
            <w:tcW w:w="99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AFFDA60"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£000</w:t>
            </w:r>
            <w:r>
              <w:rPr>
                <w:rFonts w:ascii="Arial" w:hAnsi="Arial" w:cs="Arial"/>
                <w:b/>
                <w:bCs/>
                <w:color w:val="000000"/>
                <w:sz w:val="20"/>
                <w:szCs w:val="16"/>
                <w:lang w:eastAsia="en-GB"/>
              </w:rPr>
              <w:t>s</w:t>
            </w:r>
          </w:p>
        </w:tc>
        <w:tc>
          <w:tcPr>
            <w:tcW w:w="107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4698A5D"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£000</w:t>
            </w:r>
            <w:r>
              <w:rPr>
                <w:rFonts w:ascii="Arial" w:hAnsi="Arial" w:cs="Arial"/>
                <w:b/>
                <w:bCs/>
                <w:color w:val="000000"/>
                <w:sz w:val="20"/>
                <w:szCs w:val="16"/>
                <w:lang w:eastAsia="en-GB"/>
              </w:rPr>
              <w:t>s</w:t>
            </w:r>
          </w:p>
        </w:tc>
        <w:tc>
          <w:tcPr>
            <w:tcW w:w="69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FEDE46D"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£000</w:t>
            </w:r>
            <w:r>
              <w:rPr>
                <w:rFonts w:ascii="Arial" w:hAnsi="Arial" w:cs="Arial"/>
                <w:b/>
                <w:bCs/>
                <w:color w:val="000000"/>
                <w:sz w:val="20"/>
                <w:szCs w:val="16"/>
                <w:lang w:eastAsia="en-GB"/>
              </w:rPr>
              <w:t>s</w:t>
            </w:r>
          </w:p>
        </w:tc>
        <w:tc>
          <w:tcPr>
            <w:tcW w:w="939" w:type="dxa"/>
            <w:tcBorders>
              <w:top w:val="single" w:sz="8" w:space="0" w:color="auto"/>
              <w:left w:val="nil"/>
              <w:bottom w:val="single" w:sz="4" w:space="0" w:color="auto"/>
              <w:right w:val="single" w:sz="4" w:space="0" w:color="auto"/>
            </w:tcBorders>
            <w:shd w:val="clear" w:color="auto" w:fill="auto"/>
            <w:noWrap/>
            <w:vAlign w:val="center"/>
            <w:hideMark/>
          </w:tcPr>
          <w:p w14:paraId="64613736"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£000</w:t>
            </w:r>
            <w:r>
              <w:rPr>
                <w:rFonts w:ascii="Arial" w:hAnsi="Arial" w:cs="Arial"/>
                <w:b/>
                <w:bCs/>
                <w:color w:val="000000"/>
                <w:sz w:val="20"/>
                <w:szCs w:val="16"/>
                <w:lang w:eastAsia="en-GB"/>
              </w:rPr>
              <w:t>s</w:t>
            </w:r>
          </w:p>
        </w:tc>
        <w:tc>
          <w:tcPr>
            <w:tcW w:w="107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08FF826"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£000</w:t>
            </w:r>
            <w:r>
              <w:rPr>
                <w:rFonts w:ascii="Arial" w:hAnsi="Arial" w:cs="Arial"/>
                <w:b/>
                <w:bCs/>
                <w:color w:val="000000"/>
                <w:sz w:val="20"/>
                <w:szCs w:val="16"/>
                <w:lang w:eastAsia="en-GB"/>
              </w:rPr>
              <w:t>s</w:t>
            </w:r>
          </w:p>
        </w:tc>
        <w:tc>
          <w:tcPr>
            <w:tcW w:w="85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E2F8201"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£000</w:t>
            </w:r>
            <w:r>
              <w:rPr>
                <w:rFonts w:ascii="Arial" w:hAnsi="Arial" w:cs="Arial"/>
                <w:b/>
                <w:bCs/>
                <w:color w:val="000000"/>
                <w:sz w:val="20"/>
                <w:szCs w:val="16"/>
                <w:lang w:eastAsia="en-GB"/>
              </w:rPr>
              <w:t>s</w:t>
            </w:r>
          </w:p>
        </w:tc>
        <w:tc>
          <w:tcPr>
            <w:tcW w:w="961" w:type="dxa"/>
            <w:tcBorders>
              <w:top w:val="single" w:sz="8" w:space="0" w:color="auto"/>
              <w:left w:val="nil"/>
              <w:bottom w:val="single" w:sz="4" w:space="0" w:color="auto"/>
              <w:right w:val="single" w:sz="4" w:space="0" w:color="auto"/>
            </w:tcBorders>
            <w:shd w:val="clear" w:color="auto" w:fill="auto"/>
            <w:noWrap/>
            <w:vAlign w:val="center"/>
            <w:hideMark/>
          </w:tcPr>
          <w:p w14:paraId="6F9B1CAE"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£000</w:t>
            </w:r>
            <w:r>
              <w:rPr>
                <w:rFonts w:ascii="Arial" w:hAnsi="Arial" w:cs="Arial"/>
                <w:b/>
                <w:bCs/>
                <w:color w:val="000000"/>
                <w:sz w:val="20"/>
                <w:szCs w:val="16"/>
                <w:lang w:eastAsia="en-GB"/>
              </w:rPr>
              <w:t>s</w:t>
            </w:r>
          </w:p>
        </w:tc>
        <w:tc>
          <w:tcPr>
            <w:tcW w:w="101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CA82D05"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£000</w:t>
            </w:r>
            <w:r>
              <w:rPr>
                <w:rFonts w:ascii="Arial" w:hAnsi="Arial" w:cs="Arial"/>
                <w:b/>
                <w:bCs/>
                <w:color w:val="000000"/>
                <w:sz w:val="20"/>
                <w:szCs w:val="16"/>
                <w:lang w:eastAsia="en-GB"/>
              </w:rPr>
              <w:t>s</w:t>
            </w:r>
          </w:p>
        </w:tc>
        <w:tc>
          <w:tcPr>
            <w:tcW w:w="961"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AD3E6F7"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£000</w:t>
            </w:r>
            <w:r>
              <w:rPr>
                <w:rFonts w:ascii="Arial" w:hAnsi="Arial" w:cs="Arial"/>
                <w:b/>
                <w:bCs/>
                <w:color w:val="000000"/>
                <w:sz w:val="20"/>
                <w:szCs w:val="16"/>
                <w:lang w:eastAsia="en-GB"/>
              </w:rPr>
              <w:t>s</w:t>
            </w:r>
          </w:p>
        </w:tc>
      </w:tr>
      <w:tr w:rsidR="00D15D90" w:rsidRPr="003312E3" w14:paraId="35CF35BE" w14:textId="77777777" w:rsidTr="00012E0D">
        <w:trPr>
          <w:trHeight w:val="279"/>
        </w:trPr>
        <w:tc>
          <w:tcPr>
            <w:tcW w:w="1691" w:type="dxa"/>
            <w:tcBorders>
              <w:top w:val="single" w:sz="4" w:space="0" w:color="auto"/>
              <w:left w:val="single" w:sz="8" w:space="0" w:color="auto"/>
              <w:bottom w:val="single" w:sz="4" w:space="0" w:color="auto"/>
              <w:right w:val="nil"/>
            </w:tcBorders>
            <w:shd w:val="clear" w:color="auto" w:fill="auto"/>
            <w:noWrap/>
            <w:vAlign w:val="center"/>
            <w:hideMark/>
          </w:tcPr>
          <w:p w14:paraId="30D393D6" w14:textId="77777777" w:rsidR="00D15D90" w:rsidRPr="003312E3" w:rsidRDefault="00D15D90" w:rsidP="00012E0D">
            <w:pPr>
              <w:spacing w:line="276" w:lineRule="auto"/>
              <w:rPr>
                <w:rFonts w:ascii="Arial" w:hAnsi="Arial" w:cs="Arial"/>
                <w:color w:val="000000"/>
                <w:sz w:val="20"/>
                <w:szCs w:val="16"/>
                <w:lang w:eastAsia="en-GB"/>
              </w:rPr>
            </w:pPr>
            <w:r w:rsidRPr="003312E3">
              <w:rPr>
                <w:rFonts w:ascii="Arial" w:hAnsi="Arial" w:cs="Arial"/>
                <w:color w:val="000000"/>
                <w:sz w:val="20"/>
                <w:szCs w:val="16"/>
                <w:lang w:eastAsia="en-GB"/>
              </w:rPr>
              <w:t>GMCA General</w:t>
            </w:r>
          </w:p>
        </w:tc>
        <w:tc>
          <w:tcPr>
            <w:tcW w:w="993" w:type="dxa"/>
            <w:tcBorders>
              <w:top w:val="single" w:sz="4" w:space="0" w:color="auto"/>
              <w:left w:val="single" w:sz="8" w:space="0" w:color="auto"/>
              <w:bottom w:val="single" w:sz="4" w:space="0" w:color="auto"/>
              <w:right w:val="single" w:sz="4" w:space="0" w:color="auto"/>
            </w:tcBorders>
            <w:shd w:val="clear" w:color="auto" w:fill="auto"/>
            <w:noWrap/>
            <w:hideMark/>
          </w:tcPr>
          <w:p w14:paraId="3FDB5940"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245,584</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14:paraId="5CFBC44A"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(245,584)</w:t>
            </w:r>
          </w:p>
        </w:tc>
        <w:tc>
          <w:tcPr>
            <w:tcW w:w="694" w:type="dxa"/>
            <w:tcBorders>
              <w:top w:val="single" w:sz="4" w:space="0" w:color="auto"/>
              <w:left w:val="single" w:sz="4" w:space="0" w:color="auto"/>
              <w:bottom w:val="single" w:sz="4" w:space="0" w:color="auto"/>
              <w:right w:val="single" w:sz="8" w:space="0" w:color="auto"/>
            </w:tcBorders>
            <w:shd w:val="clear" w:color="auto" w:fill="auto"/>
            <w:noWrap/>
            <w:hideMark/>
          </w:tcPr>
          <w:p w14:paraId="41A63522"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0</w:t>
            </w:r>
          </w:p>
        </w:tc>
        <w:tc>
          <w:tcPr>
            <w:tcW w:w="939" w:type="dxa"/>
            <w:tcBorders>
              <w:top w:val="single" w:sz="4" w:space="0" w:color="auto"/>
              <w:left w:val="nil"/>
              <w:bottom w:val="single" w:sz="4" w:space="0" w:color="auto"/>
              <w:right w:val="single" w:sz="4" w:space="0" w:color="auto"/>
            </w:tcBorders>
            <w:shd w:val="clear" w:color="auto" w:fill="auto"/>
            <w:noWrap/>
            <w:hideMark/>
          </w:tcPr>
          <w:p w14:paraId="2051228F"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272,818</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14:paraId="63A78D2E"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(274,938)</w:t>
            </w:r>
          </w:p>
        </w:tc>
        <w:tc>
          <w:tcPr>
            <w:tcW w:w="850" w:type="dxa"/>
            <w:tcBorders>
              <w:top w:val="single" w:sz="4" w:space="0" w:color="auto"/>
              <w:left w:val="single" w:sz="4" w:space="0" w:color="auto"/>
              <w:bottom w:val="single" w:sz="4" w:space="0" w:color="auto"/>
              <w:right w:val="single" w:sz="8" w:space="0" w:color="auto"/>
            </w:tcBorders>
            <w:shd w:val="clear" w:color="auto" w:fill="auto"/>
            <w:noWrap/>
            <w:hideMark/>
          </w:tcPr>
          <w:p w14:paraId="2DE0179F"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(2,120)</w:t>
            </w:r>
          </w:p>
        </w:tc>
        <w:tc>
          <w:tcPr>
            <w:tcW w:w="961" w:type="dxa"/>
            <w:tcBorders>
              <w:top w:val="single" w:sz="4" w:space="0" w:color="auto"/>
              <w:left w:val="nil"/>
              <w:bottom w:val="single" w:sz="4" w:space="0" w:color="auto"/>
              <w:right w:val="single" w:sz="4" w:space="0" w:color="auto"/>
            </w:tcBorders>
            <w:shd w:val="clear" w:color="auto" w:fill="auto"/>
            <w:noWrap/>
            <w:hideMark/>
          </w:tcPr>
          <w:p w14:paraId="08F6F68C"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29,234</w:t>
            </w:r>
          </w:p>
        </w:tc>
        <w:tc>
          <w:tcPr>
            <w:tcW w:w="1012" w:type="dxa"/>
            <w:tcBorders>
              <w:top w:val="single" w:sz="4" w:space="0" w:color="auto"/>
              <w:left w:val="single" w:sz="4" w:space="0" w:color="auto"/>
              <w:bottom w:val="single" w:sz="4" w:space="0" w:color="auto"/>
              <w:right w:val="single" w:sz="4" w:space="0" w:color="auto"/>
            </w:tcBorders>
            <w:shd w:val="clear" w:color="auto" w:fill="auto"/>
            <w:noWrap/>
            <w:hideMark/>
          </w:tcPr>
          <w:p w14:paraId="055D0CCA"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(31,354)</w:t>
            </w:r>
          </w:p>
        </w:tc>
        <w:tc>
          <w:tcPr>
            <w:tcW w:w="961" w:type="dxa"/>
            <w:tcBorders>
              <w:top w:val="single" w:sz="4" w:space="0" w:color="auto"/>
              <w:left w:val="single" w:sz="4" w:space="0" w:color="auto"/>
              <w:bottom w:val="single" w:sz="4" w:space="0" w:color="auto"/>
              <w:right w:val="single" w:sz="8" w:space="0" w:color="auto"/>
            </w:tcBorders>
            <w:shd w:val="clear" w:color="auto" w:fill="auto"/>
            <w:noWrap/>
            <w:hideMark/>
          </w:tcPr>
          <w:p w14:paraId="5DC05023"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(2,120)</w:t>
            </w:r>
          </w:p>
        </w:tc>
      </w:tr>
      <w:tr w:rsidR="00D15D90" w:rsidRPr="003312E3" w14:paraId="52F541B6" w14:textId="77777777" w:rsidTr="00012E0D">
        <w:trPr>
          <w:trHeight w:val="279"/>
        </w:trPr>
        <w:tc>
          <w:tcPr>
            <w:tcW w:w="1691" w:type="dxa"/>
            <w:tcBorders>
              <w:top w:val="single" w:sz="4" w:space="0" w:color="auto"/>
              <w:left w:val="single" w:sz="8" w:space="0" w:color="auto"/>
              <w:bottom w:val="single" w:sz="4" w:space="0" w:color="auto"/>
              <w:right w:val="nil"/>
            </w:tcBorders>
            <w:shd w:val="clear" w:color="auto" w:fill="auto"/>
            <w:noWrap/>
            <w:vAlign w:val="center"/>
            <w:hideMark/>
          </w:tcPr>
          <w:p w14:paraId="694D8A7F" w14:textId="77777777" w:rsidR="00D15D90" w:rsidRPr="003312E3" w:rsidRDefault="00D15D90" w:rsidP="00012E0D">
            <w:pPr>
              <w:spacing w:line="276" w:lineRule="auto"/>
              <w:rPr>
                <w:rFonts w:ascii="Arial" w:hAnsi="Arial" w:cs="Arial"/>
                <w:color w:val="000000"/>
                <w:sz w:val="20"/>
                <w:szCs w:val="16"/>
                <w:lang w:eastAsia="en-GB"/>
              </w:rPr>
            </w:pPr>
            <w:r w:rsidRPr="003312E3">
              <w:rPr>
                <w:rFonts w:ascii="Arial" w:hAnsi="Arial" w:cs="Arial"/>
                <w:color w:val="000000"/>
                <w:sz w:val="20"/>
                <w:szCs w:val="16"/>
                <w:lang w:eastAsia="en-GB"/>
              </w:rPr>
              <w:t>Mayoral</w:t>
            </w:r>
          </w:p>
        </w:tc>
        <w:tc>
          <w:tcPr>
            <w:tcW w:w="993" w:type="dxa"/>
            <w:tcBorders>
              <w:top w:val="single" w:sz="4" w:space="0" w:color="auto"/>
              <w:left w:val="single" w:sz="8" w:space="0" w:color="auto"/>
              <w:bottom w:val="single" w:sz="4" w:space="0" w:color="auto"/>
              <w:right w:val="single" w:sz="4" w:space="0" w:color="auto"/>
            </w:tcBorders>
            <w:shd w:val="clear" w:color="auto" w:fill="auto"/>
            <w:noWrap/>
            <w:hideMark/>
          </w:tcPr>
          <w:p w14:paraId="5EC7071F"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139,738</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14:paraId="14691A10"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(139,738)</w:t>
            </w:r>
          </w:p>
        </w:tc>
        <w:tc>
          <w:tcPr>
            <w:tcW w:w="694" w:type="dxa"/>
            <w:tcBorders>
              <w:top w:val="single" w:sz="4" w:space="0" w:color="auto"/>
              <w:left w:val="single" w:sz="4" w:space="0" w:color="auto"/>
              <w:bottom w:val="single" w:sz="4" w:space="0" w:color="auto"/>
              <w:right w:val="single" w:sz="8" w:space="0" w:color="auto"/>
            </w:tcBorders>
            <w:shd w:val="clear" w:color="auto" w:fill="auto"/>
            <w:noWrap/>
            <w:hideMark/>
          </w:tcPr>
          <w:p w14:paraId="1F199D93"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0</w:t>
            </w:r>
          </w:p>
        </w:tc>
        <w:tc>
          <w:tcPr>
            <w:tcW w:w="939" w:type="dxa"/>
            <w:tcBorders>
              <w:top w:val="single" w:sz="4" w:space="0" w:color="auto"/>
              <w:left w:val="nil"/>
              <w:bottom w:val="single" w:sz="4" w:space="0" w:color="auto"/>
              <w:right w:val="single" w:sz="4" w:space="0" w:color="auto"/>
            </w:tcBorders>
            <w:shd w:val="clear" w:color="auto" w:fill="auto"/>
            <w:noWrap/>
            <w:hideMark/>
          </w:tcPr>
          <w:p w14:paraId="34BEC800"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129,133</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14:paraId="160B794D"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(129,133)</w:t>
            </w:r>
          </w:p>
        </w:tc>
        <w:tc>
          <w:tcPr>
            <w:tcW w:w="850" w:type="dxa"/>
            <w:tcBorders>
              <w:top w:val="single" w:sz="4" w:space="0" w:color="auto"/>
              <w:left w:val="single" w:sz="4" w:space="0" w:color="auto"/>
              <w:bottom w:val="single" w:sz="4" w:space="0" w:color="auto"/>
              <w:right w:val="single" w:sz="8" w:space="0" w:color="auto"/>
            </w:tcBorders>
            <w:shd w:val="clear" w:color="auto" w:fill="auto"/>
            <w:noWrap/>
            <w:hideMark/>
          </w:tcPr>
          <w:p w14:paraId="51393585"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0</w:t>
            </w:r>
          </w:p>
        </w:tc>
        <w:tc>
          <w:tcPr>
            <w:tcW w:w="961" w:type="dxa"/>
            <w:tcBorders>
              <w:top w:val="single" w:sz="4" w:space="0" w:color="auto"/>
              <w:left w:val="nil"/>
              <w:bottom w:val="single" w:sz="4" w:space="0" w:color="auto"/>
              <w:right w:val="single" w:sz="4" w:space="0" w:color="auto"/>
            </w:tcBorders>
            <w:shd w:val="clear" w:color="auto" w:fill="auto"/>
            <w:noWrap/>
            <w:hideMark/>
          </w:tcPr>
          <w:p w14:paraId="1AC71226"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(10,605)</w:t>
            </w:r>
          </w:p>
        </w:tc>
        <w:tc>
          <w:tcPr>
            <w:tcW w:w="1012" w:type="dxa"/>
            <w:tcBorders>
              <w:top w:val="single" w:sz="4" w:space="0" w:color="auto"/>
              <w:left w:val="single" w:sz="4" w:space="0" w:color="auto"/>
              <w:bottom w:val="single" w:sz="4" w:space="0" w:color="auto"/>
              <w:right w:val="single" w:sz="4" w:space="0" w:color="auto"/>
            </w:tcBorders>
            <w:shd w:val="clear" w:color="auto" w:fill="auto"/>
            <w:noWrap/>
            <w:hideMark/>
          </w:tcPr>
          <w:p w14:paraId="621005AF"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10,605</w:t>
            </w:r>
          </w:p>
        </w:tc>
        <w:tc>
          <w:tcPr>
            <w:tcW w:w="961" w:type="dxa"/>
            <w:tcBorders>
              <w:top w:val="single" w:sz="4" w:space="0" w:color="auto"/>
              <w:left w:val="single" w:sz="4" w:space="0" w:color="auto"/>
              <w:bottom w:val="single" w:sz="4" w:space="0" w:color="auto"/>
              <w:right w:val="single" w:sz="8" w:space="0" w:color="auto"/>
            </w:tcBorders>
            <w:shd w:val="clear" w:color="auto" w:fill="auto"/>
            <w:noWrap/>
            <w:hideMark/>
          </w:tcPr>
          <w:p w14:paraId="1BB6E82A"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0</w:t>
            </w:r>
          </w:p>
        </w:tc>
      </w:tr>
      <w:tr w:rsidR="00D15D90" w:rsidRPr="003312E3" w14:paraId="257D3844" w14:textId="77777777" w:rsidTr="00012E0D">
        <w:trPr>
          <w:trHeight w:val="279"/>
        </w:trPr>
        <w:tc>
          <w:tcPr>
            <w:tcW w:w="1691" w:type="dxa"/>
            <w:tcBorders>
              <w:top w:val="single" w:sz="4" w:space="0" w:color="auto"/>
              <w:left w:val="single" w:sz="8" w:space="0" w:color="auto"/>
              <w:bottom w:val="single" w:sz="4" w:space="0" w:color="auto"/>
              <w:right w:val="nil"/>
            </w:tcBorders>
            <w:shd w:val="clear" w:color="auto" w:fill="auto"/>
            <w:noWrap/>
            <w:vAlign w:val="center"/>
            <w:hideMark/>
          </w:tcPr>
          <w:p w14:paraId="25E6D4A3" w14:textId="77777777" w:rsidR="00D15D90" w:rsidRPr="003312E3" w:rsidRDefault="00D15D90" w:rsidP="00012E0D">
            <w:pPr>
              <w:spacing w:line="276" w:lineRule="auto"/>
              <w:rPr>
                <w:rFonts w:ascii="Arial" w:hAnsi="Arial" w:cs="Arial"/>
                <w:color w:val="000000"/>
                <w:sz w:val="20"/>
                <w:szCs w:val="16"/>
                <w:lang w:eastAsia="en-GB"/>
              </w:rPr>
            </w:pPr>
            <w:r w:rsidRPr="003312E3">
              <w:rPr>
                <w:rFonts w:ascii="Arial" w:hAnsi="Arial" w:cs="Arial"/>
                <w:color w:val="000000"/>
                <w:sz w:val="20"/>
                <w:szCs w:val="16"/>
                <w:lang w:eastAsia="en-GB"/>
              </w:rPr>
              <w:t>GMFRS</w:t>
            </w:r>
          </w:p>
        </w:tc>
        <w:tc>
          <w:tcPr>
            <w:tcW w:w="993" w:type="dxa"/>
            <w:tcBorders>
              <w:top w:val="single" w:sz="4" w:space="0" w:color="auto"/>
              <w:left w:val="single" w:sz="8" w:space="0" w:color="auto"/>
              <w:bottom w:val="single" w:sz="4" w:space="0" w:color="auto"/>
              <w:right w:val="single" w:sz="4" w:space="0" w:color="auto"/>
            </w:tcBorders>
            <w:shd w:val="clear" w:color="auto" w:fill="auto"/>
            <w:noWrap/>
            <w:hideMark/>
          </w:tcPr>
          <w:p w14:paraId="23782BD0"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130,308</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14:paraId="54357FB0"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(130,308)</w:t>
            </w:r>
          </w:p>
        </w:tc>
        <w:tc>
          <w:tcPr>
            <w:tcW w:w="694" w:type="dxa"/>
            <w:tcBorders>
              <w:top w:val="single" w:sz="4" w:space="0" w:color="auto"/>
              <w:left w:val="single" w:sz="4" w:space="0" w:color="auto"/>
              <w:bottom w:val="single" w:sz="4" w:space="0" w:color="auto"/>
              <w:right w:val="single" w:sz="8" w:space="0" w:color="auto"/>
            </w:tcBorders>
            <w:shd w:val="clear" w:color="auto" w:fill="auto"/>
            <w:noWrap/>
            <w:hideMark/>
          </w:tcPr>
          <w:p w14:paraId="23705476"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0</w:t>
            </w:r>
          </w:p>
        </w:tc>
        <w:tc>
          <w:tcPr>
            <w:tcW w:w="939" w:type="dxa"/>
            <w:tcBorders>
              <w:top w:val="single" w:sz="4" w:space="0" w:color="auto"/>
              <w:left w:val="nil"/>
              <w:bottom w:val="single" w:sz="4" w:space="0" w:color="auto"/>
              <w:right w:val="single" w:sz="4" w:space="0" w:color="auto"/>
            </w:tcBorders>
            <w:shd w:val="clear" w:color="auto" w:fill="auto"/>
            <w:noWrap/>
            <w:hideMark/>
          </w:tcPr>
          <w:p w14:paraId="2764FE52"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131,011</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14:paraId="687D6641"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(131,011)</w:t>
            </w:r>
          </w:p>
        </w:tc>
        <w:tc>
          <w:tcPr>
            <w:tcW w:w="850" w:type="dxa"/>
            <w:tcBorders>
              <w:top w:val="single" w:sz="4" w:space="0" w:color="auto"/>
              <w:left w:val="single" w:sz="4" w:space="0" w:color="auto"/>
              <w:bottom w:val="single" w:sz="4" w:space="0" w:color="auto"/>
              <w:right w:val="single" w:sz="8" w:space="0" w:color="auto"/>
            </w:tcBorders>
            <w:shd w:val="clear" w:color="auto" w:fill="auto"/>
            <w:noWrap/>
            <w:hideMark/>
          </w:tcPr>
          <w:p w14:paraId="2DC8BCFB"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0</w:t>
            </w:r>
          </w:p>
        </w:tc>
        <w:tc>
          <w:tcPr>
            <w:tcW w:w="961" w:type="dxa"/>
            <w:tcBorders>
              <w:top w:val="single" w:sz="4" w:space="0" w:color="auto"/>
              <w:left w:val="nil"/>
              <w:bottom w:val="single" w:sz="4" w:space="0" w:color="auto"/>
              <w:right w:val="single" w:sz="4" w:space="0" w:color="auto"/>
            </w:tcBorders>
            <w:shd w:val="clear" w:color="auto" w:fill="auto"/>
            <w:noWrap/>
            <w:hideMark/>
          </w:tcPr>
          <w:p w14:paraId="0906BC35"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702</w:t>
            </w:r>
          </w:p>
        </w:tc>
        <w:tc>
          <w:tcPr>
            <w:tcW w:w="1012" w:type="dxa"/>
            <w:tcBorders>
              <w:top w:val="single" w:sz="4" w:space="0" w:color="auto"/>
              <w:left w:val="single" w:sz="4" w:space="0" w:color="auto"/>
              <w:bottom w:val="single" w:sz="4" w:space="0" w:color="auto"/>
              <w:right w:val="single" w:sz="4" w:space="0" w:color="auto"/>
            </w:tcBorders>
            <w:shd w:val="clear" w:color="auto" w:fill="auto"/>
            <w:noWrap/>
            <w:hideMark/>
          </w:tcPr>
          <w:p w14:paraId="626EFA9E"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(702)</w:t>
            </w:r>
          </w:p>
        </w:tc>
        <w:tc>
          <w:tcPr>
            <w:tcW w:w="961" w:type="dxa"/>
            <w:tcBorders>
              <w:top w:val="single" w:sz="4" w:space="0" w:color="auto"/>
              <w:left w:val="single" w:sz="4" w:space="0" w:color="auto"/>
              <w:bottom w:val="single" w:sz="4" w:space="0" w:color="auto"/>
              <w:right w:val="single" w:sz="8" w:space="0" w:color="auto"/>
            </w:tcBorders>
            <w:shd w:val="clear" w:color="auto" w:fill="auto"/>
            <w:noWrap/>
            <w:hideMark/>
          </w:tcPr>
          <w:p w14:paraId="56917689"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0</w:t>
            </w:r>
          </w:p>
        </w:tc>
      </w:tr>
      <w:tr w:rsidR="00D15D90" w:rsidRPr="003312E3" w14:paraId="37FA37CE" w14:textId="77777777" w:rsidTr="00012E0D">
        <w:trPr>
          <w:trHeight w:val="279"/>
        </w:trPr>
        <w:tc>
          <w:tcPr>
            <w:tcW w:w="1691" w:type="dxa"/>
            <w:tcBorders>
              <w:top w:val="single" w:sz="4" w:space="0" w:color="auto"/>
              <w:left w:val="single" w:sz="8" w:space="0" w:color="auto"/>
              <w:bottom w:val="single" w:sz="4" w:space="0" w:color="auto"/>
              <w:right w:val="nil"/>
            </w:tcBorders>
            <w:shd w:val="clear" w:color="auto" w:fill="auto"/>
            <w:noWrap/>
            <w:vAlign w:val="center"/>
            <w:hideMark/>
          </w:tcPr>
          <w:p w14:paraId="4FE46204" w14:textId="77777777" w:rsidR="00D15D90" w:rsidRPr="003312E3" w:rsidRDefault="00D15D90" w:rsidP="00012E0D">
            <w:pPr>
              <w:spacing w:line="276" w:lineRule="auto"/>
              <w:rPr>
                <w:rFonts w:ascii="Arial" w:hAnsi="Arial" w:cs="Arial"/>
                <w:color w:val="000000"/>
                <w:sz w:val="20"/>
                <w:szCs w:val="16"/>
                <w:lang w:eastAsia="en-GB"/>
              </w:rPr>
            </w:pPr>
            <w:r w:rsidRPr="003312E3">
              <w:rPr>
                <w:rFonts w:ascii="Arial" w:hAnsi="Arial" w:cs="Arial"/>
                <w:color w:val="000000"/>
                <w:sz w:val="20"/>
                <w:szCs w:val="16"/>
                <w:lang w:eastAsia="en-GB"/>
              </w:rPr>
              <w:t>Waste</w:t>
            </w:r>
          </w:p>
        </w:tc>
        <w:tc>
          <w:tcPr>
            <w:tcW w:w="993" w:type="dxa"/>
            <w:tcBorders>
              <w:top w:val="single" w:sz="4" w:space="0" w:color="auto"/>
              <w:left w:val="single" w:sz="8" w:space="0" w:color="auto"/>
              <w:bottom w:val="single" w:sz="4" w:space="0" w:color="auto"/>
              <w:right w:val="single" w:sz="4" w:space="0" w:color="auto"/>
            </w:tcBorders>
            <w:shd w:val="clear" w:color="auto" w:fill="auto"/>
            <w:noWrap/>
            <w:hideMark/>
          </w:tcPr>
          <w:p w14:paraId="07912114"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169,023</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14:paraId="65AEA5C6"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(169,023)</w:t>
            </w:r>
          </w:p>
        </w:tc>
        <w:tc>
          <w:tcPr>
            <w:tcW w:w="694" w:type="dxa"/>
            <w:tcBorders>
              <w:top w:val="single" w:sz="4" w:space="0" w:color="auto"/>
              <w:left w:val="single" w:sz="4" w:space="0" w:color="auto"/>
              <w:bottom w:val="single" w:sz="4" w:space="0" w:color="auto"/>
              <w:right w:val="single" w:sz="8" w:space="0" w:color="auto"/>
            </w:tcBorders>
            <w:shd w:val="clear" w:color="auto" w:fill="auto"/>
            <w:noWrap/>
            <w:hideMark/>
          </w:tcPr>
          <w:p w14:paraId="781A8EE4"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0</w:t>
            </w:r>
          </w:p>
        </w:tc>
        <w:tc>
          <w:tcPr>
            <w:tcW w:w="939" w:type="dxa"/>
            <w:tcBorders>
              <w:top w:val="single" w:sz="4" w:space="0" w:color="auto"/>
              <w:left w:val="nil"/>
              <w:bottom w:val="single" w:sz="4" w:space="0" w:color="auto"/>
              <w:right w:val="single" w:sz="4" w:space="0" w:color="auto"/>
            </w:tcBorders>
            <w:shd w:val="clear" w:color="auto" w:fill="auto"/>
            <w:noWrap/>
            <w:hideMark/>
          </w:tcPr>
          <w:p w14:paraId="2DE8CB99"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149,719</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14:paraId="56D76F58"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(149,719)</w:t>
            </w:r>
          </w:p>
        </w:tc>
        <w:tc>
          <w:tcPr>
            <w:tcW w:w="850" w:type="dxa"/>
            <w:tcBorders>
              <w:top w:val="single" w:sz="4" w:space="0" w:color="auto"/>
              <w:left w:val="single" w:sz="4" w:space="0" w:color="auto"/>
              <w:bottom w:val="single" w:sz="4" w:space="0" w:color="auto"/>
              <w:right w:val="single" w:sz="8" w:space="0" w:color="auto"/>
            </w:tcBorders>
            <w:shd w:val="clear" w:color="auto" w:fill="auto"/>
            <w:noWrap/>
            <w:hideMark/>
          </w:tcPr>
          <w:p w14:paraId="21D756BE"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0</w:t>
            </w:r>
          </w:p>
        </w:tc>
        <w:tc>
          <w:tcPr>
            <w:tcW w:w="961" w:type="dxa"/>
            <w:tcBorders>
              <w:top w:val="single" w:sz="4" w:space="0" w:color="auto"/>
              <w:left w:val="nil"/>
              <w:bottom w:val="single" w:sz="4" w:space="0" w:color="auto"/>
              <w:right w:val="single" w:sz="4" w:space="0" w:color="auto"/>
            </w:tcBorders>
            <w:shd w:val="clear" w:color="auto" w:fill="auto"/>
            <w:noWrap/>
            <w:hideMark/>
          </w:tcPr>
          <w:p w14:paraId="5D276D58"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(19,304)</w:t>
            </w:r>
          </w:p>
        </w:tc>
        <w:tc>
          <w:tcPr>
            <w:tcW w:w="1012" w:type="dxa"/>
            <w:tcBorders>
              <w:top w:val="single" w:sz="4" w:space="0" w:color="auto"/>
              <w:left w:val="single" w:sz="4" w:space="0" w:color="auto"/>
              <w:bottom w:val="single" w:sz="4" w:space="0" w:color="auto"/>
              <w:right w:val="single" w:sz="4" w:space="0" w:color="auto"/>
            </w:tcBorders>
            <w:shd w:val="clear" w:color="auto" w:fill="auto"/>
            <w:noWrap/>
            <w:hideMark/>
          </w:tcPr>
          <w:p w14:paraId="4C9ABD42"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19,304</w:t>
            </w:r>
          </w:p>
        </w:tc>
        <w:tc>
          <w:tcPr>
            <w:tcW w:w="961" w:type="dxa"/>
            <w:tcBorders>
              <w:top w:val="single" w:sz="4" w:space="0" w:color="auto"/>
              <w:left w:val="single" w:sz="4" w:space="0" w:color="auto"/>
              <w:bottom w:val="single" w:sz="4" w:space="0" w:color="auto"/>
              <w:right w:val="single" w:sz="8" w:space="0" w:color="auto"/>
            </w:tcBorders>
            <w:shd w:val="clear" w:color="auto" w:fill="auto"/>
            <w:noWrap/>
            <w:hideMark/>
          </w:tcPr>
          <w:p w14:paraId="675B6338"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0</w:t>
            </w:r>
          </w:p>
        </w:tc>
      </w:tr>
      <w:tr w:rsidR="00D15D90" w:rsidRPr="003312E3" w14:paraId="6C3CEE3F" w14:textId="77777777" w:rsidTr="00012E0D">
        <w:trPr>
          <w:trHeight w:val="279"/>
        </w:trPr>
        <w:tc>
          <w:tcPr>
            <w:tcW w:w="1691" w:type="dxa"/>
            <w:tcBorders>
              <w:top w:val="single" w:sz="4" w:space="0" w:color="auto"/>
              <w:left w:val="single" w:sz="8" w:space="0" w:color="auto"/>
              <w:bottom w:val="single" w:sz="4" w:space="0" w:color="auto"/>
              <w:right w:val="nil"/>
            </w:tcBorders>
            <w:shd w:val="clear" w:color="auto" w:fill="auto"/>
            <w:noWrap/>
            <w:vAlign w:val="center"/>
            <w:hideMark/>
          </w:tcPr>
          <w:p w14:paraId="153BB939" w14:textId="77777777" w:rsidR="00D15D90" w:rsidRPr="003312E3" w:rsidRDefault="00D15D90" w:rsidP="00012E0D">
            <w:pPr>
              <w:spacing w:line="276" w:lineRule="auto"/>
              <w:rPr>
                <w:rFonts w:ascii="Arial" w:hAnsi="Arial" w:cs="Arial"/>
                <w:color w:val="000000"/>
                <w:sz w:val="20"/>
                <w:szCs w:val="16"/>
                <w:lang w:eastAsia="en-GB"/>
              </w:rPr>
            </w:pPr>
            <w:r w:rsidRPr="003312E3">
              <w:rPr>
                <w:rFonts w:ascii="Arial" w:hAnsi="Arial" w:cs="Arial"/>
                <w:color w:val="000000"/>
                <w:sz w:val="20"/>
                <w:szCs w:val="16"/>
                <w:lang w:eastAsia="en-GB"/>
              </w:rPr>
              <w:t>Transport inc:</w:t>
            </w:r>
          </w:p>
        </w:tc>
        <w:tc>
          <w:tcPr>
            <w:tcW w:w="993" w:type="dxa"/>
            <w:tcBorders>
              <w:top w:val="single" w:sz="4" w:space="0" w:color="auto"/>
              <w:left w:val="single" w:sz="8" w:space="0" w:color="auto"/>
              <w:bottom w:val="single" w:sz="4" w:space="0" w:color="auto"/>
              <w:right w:val="single" w:sz="4" w:space="0" w:color="auto"/>
            </w:tcBorders>
            <w:shd w:val="clear" w:color="auto" w:fill="auto"/>
            <w:noWrap/>
            <w:hideMark/>
          </w:tcPr>
          <w:p w14:paraId="2F3D7BF3"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311,898</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14:paraId="64C8F49D"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(311,898)</w:t>
            </w:r>
          </w:p>
        </w:tc>
        <w:tc>
          <w:tcPr>
            <w:tcW w:w="694" w:type="dxa"/>
            <w:tcBorders>
              <w:top w:val="single" w:sz="4" w:space="0" w:color="auto"/>
              <w:left w:val="single" w:sz="4" w:space="0" w:color="auto"/>
              <w:bottom w:val="single" w:sz="4" w:space="0" w:color="auto"/>
              <w:right w:val="single" w:sz="8" w:space="0" w:color="auto"/>
            </w:tcBorders>
            <w:shd w:val="clear" w:color="auto" w:fill="auto"/>
            <w:noWrap/>
            <w:hideMark/>
          </w:tcPr>
          <w:p w14:paraId="0C5D14FD"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0</w:t>
            </w:r>
          </w:p>
        </w:tc>
        <w:tc>
          <w:tcPr>
            <w:tcW w:w="939" w:type="dxa"/>
            <w:tcBorders>
              <w:top w:val="single" w:sz="4" w:space="0" w:color="auto"/>
              <w:left w:val="nil"/>
              <w:bottom w:val="single" w:sz="4" w:space="0" w:color="auto"/>
              <w:right w:val="single" w:sz="4" w:space="0" w:color="auto"/>
            </w:tcBorders>
            <w:shd w:val="clear" w:color="auto" w:fill="auto"/>
            <w:noWrap/>
            <w:hideMark/>
          </w:tcPr>
          <w:p w14:paraId="69FADB3D"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367,463</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14:paraId="57B9AF3E"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(367,463)</w:t>
            </w:r>
          </w:p>
        </w:tc>
        <w:tc>
          <w:tcPr>
            <w:tcW w:w="850" w:type="dxa"/>
            <w:tcBorders>
              <w:top w:val="single" w:sz="4" w:space="0" w:color="auto"/>
              <w:left w:val="single" w:sz="4" w:space="0" w:color="auto"/>
              <w:bottom w:val="single" w:sz="4" w:space="0" w:color="auto"/>
              <w:right w:val="single" w:sz="8" w:space="0" w:color="auto"/>
            </w:tcBorders>
            <w:shd w:val="clear" w:color="auto" w:fill="auto"/>
            <w:noWrap/>
            <w:hideMark/>
          </w:tcPr>
          <w:p w14:paraId="0984AF93"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0</w:t>
            </w:r>
          </w:p>
        </w:tc>
        <w:tc>
          <w:tcPr>
            <w:tcW w:w="961" w:type="dxa"/>
            <w:tcBorders>
              <w:top w:val="single" w:sz="4" w:space="0" w:color="auto"/>
              <w:left w:val="nil"/>
              <w:bottom w:val="single" w:sz="4" w:space="0" w:color="auto"/>
              <w:right w:val="single" w:sz="4" w:space="0" w:color="auto"/>
            </w:tcBorders>
            <w:shd w:val="clear" w:color="auto" w:fill="auto"/>
            <w:noWrap/>
            <w:hideMark/>
          </w:tcPr>
          <w:p w14:paraId="425049E8"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55,565</w:t>
            </w:r>
          </w:p>
        </w:tc>
        <w:tc>
          <w:tcPr>
            <w:tcW w:w="1012" w:type="dxa"/>
            <w:tcBorders>
              <w:top w:val="single" w:sz="4" w:space="0" w:color="auto"/>
              <w:left w:val="single" w:sz="4" w:space="0" w:color="auto"/>
              <w:bottom w:val="single" w:sz="4" w:space="0" w:color="auto"/>
              <w:right w:val="single" w:sz="4" w:space="0" w:color="auto"/>
            </w:tcBorders>
            <w:shd w:val="clear" w:color="auto" w:fill="auto"/>
            <w:noWrap/>
            <w:hideMark/>
          </w:tcPr>
          <w:p w14:paraId="1D302944"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(55,565)</w:t>
            </w:r>
          </w:p>
        </w:tc>
        <w:tc>
          <w:tcPr>
            <w:tcW w:w="961" w:type="dxa"/>
            <w:tcBorders>
              <w:top w:val="single" w:sz="4" w:space="0" w:color="auto"/>
              <w:left w:val="single" w:sz="4" w:space="0" w:color="auto"/>
              <w:bottom w:val="single" w:sz="4" w:space="0" w:color="auto"/>
              <w:right w:val="single" w:sz="8" w:space="0" w:color="auto"/>
            </w:tcBorders>
            <w:shd w:val="clear" w:color="auto" w:fill="auto"/>
            <w:noWrap/>
            <w:hideMark/>
          </w:tcPr>
          <w:p w14:paraId="5BABE354"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0</w:t>
            </w:r>
          </w:p>
        </w:tc>
      </w:tr>
      <w:tr w:rsidR="00D15D90" w:rsidRPr="003312E3" w14:paraId="39F90C71" w14:textId="77777777" w:rsidTr="00012E0D">
        <w:trPr>
          <w:trHeight w:val="279"/>
        </w:trPr>
        <w:tc>
          <w:tcPr>
            <w:tcW w:w="1691" w:type="dxa"/>
            <w:tcBorders>
              <w:top w:val="single" w:sz="4" w:space="0" w:color="auto"/>
              <w:left w:val="single" w:sz="8" w:space="0" w:color="auto"/>
              <w:bottom w:val="single" w:sz="8" w:space="0" w:color="auto"/>
              <w:right w:val="nil"/>
            </w:tcBorders>
            <w:shd w:val="clear" w:color="auto" w:fill="auto"/>
            <w:noWrap/>
            <w:vAlign w:val="center"/>
            <w:hideMark/>
          </w:tcPr>
          <w:p w14:paraId="788CD3D4" w14:textId="409FA062" w:rsidR="00D15D90" w:rsidRPr="003312E3" w:rsidRDefault="00D15D90" w:rsidP="00012E0D">
            <w:pPr>
              <w:spacing w:line="276" w:lineRule="auto"/>
              <w:rPr>
                <w:rFonts w:ascii="Arial" w:hAnsi="Arial" w:cs="Arial"/>
                <w:color w:val="000000"/>
                <w:sz w:val="20"/>
                <w:szCs w:val="16"/>
                <w:lang w:eastAsia="en-GB"/>
              </w:rPr>
            </w:pPr>
            <w:r w:rsidRPr="003312E3">
              <w:rPr>
                <w:rFonts w:ascii="Arial" w:hAnsi="Arial" w:cs="Arial"/>
                <w:color w:val="000000"/>
                <w:sz w:val="20"/>
                <w:szCs w:val="16"/>
                <w:lang w:eastAsia="en-GB"/>
              </w:rPr>
              <w:t>Transport (TfGM)</w:t>
            </w:r>
            <w:r w:rsidR="001E6260">
              <w:rPr>
                <w:rFonts w:ascii="Arial" w:hAnsi="Arial" w:cs="Arial"/>
                <w:color w:val="000000"/>
                <w:sz w:val="20"/>
                <w:szCs w:val="16"/>
                <w:lang w:eastAsia="en-GB"/>
              </w:rPr>
              <w:t>*</w:t>
            </w:r>
          </w:p>
        </w:tc>
        <w:tc>
          <w:tcPr>
            <w:tcW w:w="993" w:type="dxa"/>
            <w:tcBorders>
              <w:top w:val="single" w:sz="4" w:space="0" w:color="auto"/>
              <w:left w:val="single" w:sz="8" w:space="0" w:color="auto"/>
              <w:bottom w:val="single" w:sz="8" w:space="0" w:color="auto"/>
              <w:right w:val="single" w:sz="4" w:space="0" w:color="auto"/>
            </w:tcBorders>
            <w:shd w:val="clear" w:color="auto" w:fill="auto"/>
            <w:noWrap/>
            <w:hideMark/>
          </w:tcPr>
          <w:p w14:paraId="4DA7706A"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307,413</w:t>
            </w:r>
          </w:p>
        </w:tc>
        <w:tc>
          <w:tcPr>
            <w:tcW w:w="1073" w:type="dxa"/>
            <w:tcBorders>
              <w:top w:val="single" w:sz="4" w:space="0" w:color="auto"/>
              <w:left w:val="single" w:sz="4" w:space="0" w:color="auto"/>
              <w:bottom w:val="single" w:sz="8" w:space="0" w:color="auto"/>
              <w:right w:val="single" w:sz="4" w:space="0" w:color="auto"/>
            </w:tcBorders>
            <w:shd w:val="clear" w:color="auto" w:fill="auto"/>
            <w:noWrap/>
            <w:hideMark/>
          </w:tcPr>
          <w:p w14:paraId="2B906ADA" w14:textId="77777777" w:rsidR="00D15D90" w:rsidRPr="003312E3" w:rsidRDefault="00D15D90" w:rsidP="00012E0D">
            <w:pPr>
              <w:spacing w:line="276" w:lineRule="auto"/>
              <w:jc w:val="right"/>
              <w:rPr>
                <w:rFonts w:ascii="Arial" w:hAnsi="Arial" w:cs="Arial"/>
                <w:color w:val="000000"/>
                <w:sz w:val="20"/>
                <w:szCs w:val="16"/>
                <w:lang w:eastAsia="en-GB"/>
              </w:rPr>
            </w:pPr>
            <w:r>
              <w:rPr>
                <w:rFonts w:ascii="Arial" w:hAnsi="Arial" w:cs="Arial"/>
                <w:sz w:val="20"/>
                <w:szCs w:val="16"/>
              </w:rPr>
              <w:t>(</w:t>
            </w:r>
            <w:r w:rsidRPr="003312E3">
              <w:rPr>
                <w:rFonts w:ascii="Arial" w:hAnsi="Arial" w:cs="Arial"/>
                <w:sz w:val="20"/>
                <w:szCs w:val="16"/>
              </w:rPr>
              <w:t>247,413</w:t>
            </w:r>
            <w:r>
              <w:rPr>
                <w:rFonts w:ascii="Arial" w:hAnsi="Arial" w:cs="Arial"/>
                <w:sz w:val="20"/>
                <w:szCs w:val="16"/>
              </w:rPr>
              <w:t>)</w:t>
            </w:r>
          </w:p>
        </w:tc>
        <w:tc>
          <w:tcPr>
            <w:tcW w:w="694" w:type="dxa"/>
            <w:tcBorders>
              <w:top w:val="single" w:sz="4" w:space="0" w:color="auto"/>
              <w:left w:val="single" w:sz="4" w:space="0" w:color="auto"/>
              <w:bottom w:val="single" w:sz="8" w:space="0" w:color="auto"/>
              <w:right w:val="single" w:sz="8" w:space="0" w:color="auto"/>
            </w:tcBorders>
            <w:shd w:val="clear" w:color="auto" w:fill="auto"/>
            <w:noWrap/>
            <w:hideMark/>
          </w:tcPr>
          <w:p w14:paraId="5E5FE697" w14:textId="1F24E1EB" w:rsidR="00D15D90" w:rsidRPr="003312E3" w:rsidRDefault="001F1B0D" w:rsidP="00012E0D">
            <w:pPr>
              <w:spacing w:line="276" w:lineRule="auto"/>
              <w:jc w:val="right"/>
              <w:rPr>
                <w:rFonts w:ascii="Arial" w:hAnsi="Arial" w:cs="Arial"/>
                <w:color w:val="000000"/>
                <w:sz w:val="20"/>
                <w:szCs w:val="16"/>
                <w:lang w:eastAsia="en-GB"/>
              </w:rPr>
            </w:pPr>
            <w:r>
              <w:rPr>
                <w:rFonts w:ascii="Arial" w:hAnsi="Arial" w:cs="Arial"/>
                <w:sz w:val="20"/>
                <w:szCs w:val="16"/>
              </w:rPr>
              <w:t>6</w:t>
            </w:r>
            <w:r w:rsidR="00D15D90" w:rsidRPr="003312E3">
              <w:rPr>
                <w:rFonts w:ascii="Arial" w:hAnsi="Arial" w:cs="Arial"/>
                <w:sz w:val="20"/>
                <w:szCs w:val="16"/>
              </w:rPr>
              <w:t>0</w:t>
            </w:r>
            <w:r>
              <w:rPr>
                <w:rFonts w:ascii="Arial" w:hAnsi="Arial" w:cs="Arial"/>
                <w:sz w:val="20"/>
                <w:szCs w:val="16"/>
              </w:rPr>
              <w:t>,000</w:t>
            </w:r>
          </w:p>
        </w:tc>
        <w:tc>
          <w:tcPr>
            <w:tcW w:w="939" w:type="dxa"/>
            <w:tcBorders>
              <w:top w:val="single" w:sz="4" w:space="0" w:color="auto"/>
              <w:left w:val="nil"/>
              <w:bottom w:val="single" w:sz="8" w:space="0" w:color="auto"/>
              <w:right w:val="single" w:sz="4" w:space="0" w:color="auto"/>
            </w:tcBorders>
            <w:shd w:val="clear" w:color="auto" w:fill="auto"/>
            <w:noWrap/>
            <w:hideMark/>
          </w:tcPr>
          <w:p w14:paraId="201E0DF1"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295,210</w:t>
            </w:r>
          </w:p>
        </w:tc>
        <w:tc>
          <w:tcPr>
            <w:tcW w:w="1073" w:type="dxa"/>
            <w:tcBorders>
              <w:top w:val="single" w:sz="4" w:space="0" w:color="auto"/>
              <w:left w:val="single" w:sz="4" w:space="0" w:color="auto"/>
              <w:bottom w:val="single" w:sz="8" w:space="0" w:color="auto"/>
              <w:right w:val="single" w:sz="4" w:space="0" w:color="auto"/>
            </w:tcBorders>
            <w:shd w:val="clear" w:color="auto" w:fill="auto"/>
            <w:noWrap/>
            <w:hideMark/>
          </w:tcPr>
          <w:p w14:paraId="3C099D49" w14:textId="77777777" w:rsidR="00D15D90" w:rsidRPr="003312E3" w:rsidRDefault="00D15D90" w:rsidP="00012E0D">
            <w:pPr>
              <w:spacing w:line="276" w:lineRule="auto"/>
              <w:jc w:val="right"/>
              <w:rPr>
                <w:rFonts w:ascii="Arial" w:hAnsi="Arial" w:cs="Arial"/>
                <w:color w:val="000000"/>
                <w:sz w:val="20"/>
                <w:szCs w:val="16"/>
                <w:lang w:eastAsia="en-GB"/>
              </w:rPr>
            </w:pPr>
            <w:r>
              <w:rPr>
                <w:rFonts w:ascii="Arial" w:hAnsi="Arial" w:cs="Arial"/>
                <w:sz w:val="20"/>
                <w:szCs w:val="16"/>
              </w:rPr>
              <w:t>(</w:t>
            </w:r>
            <w:r w:rsidRPr="003312E3">
              <w:rPr>
                <w:rFonts w:ascii="Arial" w:hAnsi="Arial" w:cs="Arial"/>
                <w:sz w:val="20"/>
                <w:szCs w:val="16"/>
              </w:rPr>
              <w:t>295,210</w:t>
            </w:r>
            <w:r>
              <w:rPr>
                <w:rFonts w:ascii="Arial" w:hAnsi="Arial" w:cs="Arial"/>
                <w:sz w:val="20"/>
                <w:szCs w:val="16"/>
              </w:rPr>
              <w:t>)</w:t>
            </w:r>
          </w:p>
        </w:tc>
        <w:tc>
          <w:tcPr>
            <w:tcW w:w="850" w:type="dxa"/>
            <w:tcBorders>
              <w:top w:val="single" w:sz="4" w:space="0" w:color="auto"/>
              <w:left w:val="single" w:sz="4" w:space="0" w:color="auto"/>
              <w:bottom w:val="single" w:sz="8" w:space="0" w:color="auto"/>
              <w:right w:val="single" w:sz="8" w:space="0" w:color="auto"/>
            </w:tcBorders>
            <w:shd w:val="clear" w:color="auto" w:fill="auto"/>
            <w:noWrap/>
            <w:hideMark/>
          </w:tcPr>
          <w:p w14:paraId="57E3BEFA"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0</w:t>
            </w:r>
          </w:p>
        </w:tc>
        <w:tc>
          <w:tcPr>
            <w:tcW w:w="961" w:type="dxa"/>
            <w:tcBorders>
              <w:top w:val="single" w:sz="4" w:space="0" w:color="auto"/>
              <w:left w:val="nil"/>
              <w:bottom w:val="single" w:sz="8" w:space="0" w:color="auto"/>
              <w:right w:val="single" w:sz="4" w:space="0" w:color="auto"/>
            </w:tcBorders>
            <w:shd w:val="clear" w:color="auto" w:fill="auto"/>
            <w:noWrap/>
            <w:hideMark/>
          </w:tcPr>
          <w:p w14:paraId="57226545" w14:textId="77777777" w:rsidR="00D15D90" w:rsidRPr="003312E3" w:rsidRDefault="00D15D90" w:rsidP="00012E0D">
            <w:pPr>
              <w:spacing w:line="276" w:lineRule="auto"/>
              <w:jc w:val="right"/>
              <w:rPr>
                <w:rFonts w:ascii="Arial" w:hAnsi="Arial" w:cs="Arial"/>
                <w:color w:val="000000"/>
                <w:sz w:val="20"/>
                <w:szCs w:val="16"/>
                <w:lang w:eastAsia="en-GB"/>
              </w:rPr>
            </w:pPr>
            <w:r>
              <w:rPr>
                <w:rFonts w:ascii="Arial" w:hAnsi="Arial" w:cs="Arial"/>
                <w:sz w:val="20"/>
                <w:szCs w:val="16"/>
              </w:rPr>
              <w:t>(</w:t>
            </w:r>
            <w:r w:rsidRPr="003312E3">
              <w:rPr>
                <w:rFonts w:ascii="Arial" w:hAnsi="Arial" w:cs="Arial"/>
                <w:sz w:val="20"/>
                <w:szCs w:val="16"/>
              </w:rPr>
              <w:t>12,203</w:t>
            </w:r>
            <w:r>
              <w:rPr>
                <w:rFonts w:ascii="Arial" w:hAnsi="Arial" w:cs="Arial"/>
                <w:sz w:val="20"/>
                <w:szCs w:val="16"/>
              </w:rPr>
              <w:t>)</w:t>
            </w:r>
          </w:p>
        </w:tc>
        <w:tc>
          <w:tcPr>
            <w:tcW w:w="1012" w:type="dxa"/>
            <w:tcBorders>
              <w:top w:val="single" w:sz="4" w:space="0" w:color="auto"/>
              <w:left w:val="single" w:sz="4" w:space="0" w:color="auto"/>
              <w:bottom w:val="single" w:sz="8" w:space="0" w:color="auto"/>
              <w:right w:val="single" w:sz="4" w:space="0" w:color="auto"/>
            </w:tcBorders>
            <w:shd w:val="clear" w:color="auto" w:fill="auto"/>
            <w:noWrap/>
            <w:hideMark/>
          </w:tcPr>
          <w:p w14:paraId="5D93E9D9" w14:textId="77777777" w:rsidR="00D15D90" w:rsidRPr="003312E3" w:rsidRDefault="00D15D90" w:rsidP="00012E0D">
            <w:pPr>
              <w:spacing w:line="276" w:lineRule="auto"/>
              <w:jc w:val="right"/>
              <w:rPr>
                <w:rFonts w:ascii="Arial" w:hAnsi="Arial" w:cs="Arial"/>
                <w:color w:val="000000"/>
                <w:sz w:val="20"/>
                <w:szCs w:val="16"/>
                <w:lang w:eastAsia="en-GB"/>
              </w:rPr>
            </w:pPr>
            <w:r>
              <w:rPr>
                <w:rFonts w:ascii="Arial" w:hAnsi="Arial" w:cs="Arial"/>
                <w:sz w:val="20"/>
                <w:szCs w:val="16"/>
              </w:rPr>
              <w:t>(</w:t>
            </w:r>
            <w:r w:rsidRPr="003312E3">
              <w:rPr>
                <w:rFonts w:ascii="Arial" w:hAnsi="Arial" w:cs="Arial"/>
                <w:sz w:val="20"/>
                <w:szCs w:val="16"/>
              </w:rPr>
              <w:t>47,797</w:t>
            </w:r>
            <w:r>
              <w:rPr>
                <w:rFonts w:ascii="Arial" w:hAnsi="Arial" w:cs="Arial"/>
                <w:sz w:val="20"/>
                <w:szCs w:val="16"/>
              </w:rPr>
              <w:t>)</w:t>
            </w:r>
          </w:p>
        </w:tc>
        <w:tc>
          <w:tcPr>
            <w:tcW w:w="961" w:type="dxa"/>
            <w:tcBorders>
              <w:top w:val="single" w:sz="4" w:space="0" w:color="auto"/>
              <w:left w:val="single" w:sz="4" w:space="0" w:color="auto"/>
              <w:bottom w:val="single" w:sz="8" w:space="0" w:color="auto"/>
              <w:right w:val="single" w:sz="8" w:space="0" w:color="auto"/>
            </w:tcBorders>
            <w:shd w:val="clear" w:color="auto" w:fill="auto"/>
            <w:noWrap/>
            <w:hideMark/>
          </w:tcPr>
          <w:p w14:paraId="0E7F053F" w14:textId="27150DFA" w:rsidR="00D15D90" w:rsidRPr="003312E3" w:rsidRDefault="001F1B0D" w:rsidP="00012E0D">
            <w:pPr>
              <w:spacing w:line="276" w:lineRule="auto"/>
              <w:jc w:val="right"/>
              <w:rPr>
                <w:rFonts w:ascii="Arial" w:hAnsi="Arial" w:cs="Arial"/>
                <w:color w:val="000000"/>
                <w:sz w:val="20"/>
                <w:szCs w:val="16"/>
                <w:lang w:eastAsia="en-GB"/>
              </w:rPr>
            </w:pPr>
            <w:r>
              <w:rPr>
                <w:rFonts w:ascii="Arial" w:hAnsi="Arial" w:cs="Arial"/>
                <w:sz w:val="20"/>
                <w:szCs w:val="16"/>
              </w:rPr>
              <w:t>0</w:t>
            </w:r>
          </w:p>
        </w:tc>
      </w:tr>
    </w:tbl>
    <w:p w14:paraId="225F1AA0" w14:textId="75B3B0B2" w:rsidR="00D15D90" w:rsidRDefault="001E6260" w:rsidP="00D15D90">
      <w:pPr>
        <w:spacing w:line="360" w:lineRule="auto"/>
        <w:rPr>
          <w:rFonts w:ascii="Arial" w:hAnsi="Arial" w:cs="Arial"/>
        </w:rPr>
      </w:pPr>
      <w:r w:rsidRPr="001E6260">
        <w:rPr>
          <w:rFonts w:ascii="Arial" w:hAnsi="Arial" w:cs="Arial"/>
        </w:rPr>
        <w:t xml:space="preserve">*TfGM budget </w:t>
      </w:r>
      <w:r>
        <w:rPr>
          <w:rFonts w:ascii="Arial" w:hAnsi="Arial" w:cs="Arial"/>
        </w:rPr>
        <w:t>position was approved in February 2023 before mitigation measures were put in place.</w:t>
      </w:r>
    </w:p>
    <w:p w14:paraId="1DC20FA2" w14:textId="77777777" w:rsidR="001E6260" w:rsidRPr="001E6260" w:rsidRDefault="001E6260" w:rsidP="00D15D90">
      <w:pPr>
        <w:spacing w:line="360" w:lineRule="auto"/>
        <w:rPr>
          <w:rFonts w:ascii="Arial" w:hAnsi="Arial" w:cs="Arial"/>
        </w:rPr>
      </w:pPr>
    </w:p>
    <w:p w14:paraId="358D4238" w14:textId="77777777" w:rsidR="00D15D90" w:rsidRPr="00427AAE" w:rsidRDefault="00D15D90" w:rsidP="00D15D90">
      <w:pPr>
        <w:spacing w:line="360" w:lineRule="auto"/>
        <w:rPr>
          <w:rFonts w:ascii="Arial" w:hAnsi="Arial" w:cs="Arial"/>
          <w:u w:val="single"/>
        </w:rPr>
      </w:pPr>
      <w:r w:rsidRPr="00427AAE">
        <w:rPr>
          <w:rFonts w:ascii="Arial" w:hAnsi="Arial" w:cs="Arial"/>
          <w:u w:val="single"/>
        </w:rPr>
        <w:t>Capital budgets</w:t>
      </w:r>
    </w:p>
    <w:p w14:paraId="07322CDF" w14:textId="77777777" w:rsidR="00D15D90" w:rsidRDefault="00D15D90" w:rsidP="00D15D90">
      <w:pPr>
        <w:pStyle w:val="NormalNumbered"/>
        <w:spacing w:before="0" w:after="0"/>
        <w:ind w:left="0" w:firstLine="0"/>
      </w:pPr>
    </w:p>
    <w:p w14:paraId="2AF02847" w14:textId="77777777" w:rsidR="00D15D90" w:rsidRPr="00427AAE" w:rsidRDefault="00D15D90" w:rsidP="00D15D90">
      <w:pPr>
        <w:pStyle w:val="NormalNumbered"/>
        <w:spacing w:before="0" w:after="0"/>
        <w:ind w:left="0" w:firstLine="0"/>
      </w:pPr>
      <w:r w:rsidRPr="00427AAE">
        <w:t xml:space="preserve">GMCA’s capital programme includes GMFRS, Economic Development and Regeneration programmes, Waste and Resources Service and the continuation of the programme of activity currently being delivered by GMCA, </w:t>
      </w:r>
      <w:r w:rsidRPr="00427AAE">
        <w:rPr>
          <w:rFonts w:cs="Arial"/>
        </w:rPr>
        <w:t>TfGM and Greater Manchester local authorities</w:t>
      </w:r>
      <w:r w:rsidRPr="00427AAE">
        <w:t xml:space="preserve">.  </w:t>
      </w:r>
    </w:p>
    <w:p w14:paraId="5A45E749" w14:textId="77777777" w:rsidR="00D15D90" w:rsidRPr="00427AAE" w:rsidRDefault="00D15D90" w:rsidP="00D15D90">
      <w:pPr>
        <w:pStyle w:val="NormalNumbered"/>
        <w:spacing w:before="0" w:after="0"/>
        <w:ind w:left="0" w:firstLine="0"/>
      </w:pPr>
    </w:p>
    <w:p w14:paraId="46C6BDE6" w14:textId="77777777" w:rsidR="00D15D90" w:rsidRDefault="00D15D90" w:rsidP="00D15D90">
      <w:pPr>
        <w:spacing w:line="360" w:lineRule="auto"/>
        <w:rPr>
          <w:rFonts w:ascii="Arial" w:hAnsi="Arial" w:cs="Arial"/>
        </w:rPr>
      </w:pPr>
      <w:r w:rsidRPr="00427AAE">
        <w:rPr>
          <w:rFonts w:ascii="Arial" w:hAnsi="Arial" w:cs="Arial"/>
          <w:lang w:eastAsia="en-GB"/>
        </w:rPr>
        <w:t>The provisional capital expenditure for 2023/24 was £541.1m compared to revised budget of £610.4m. The Police Fund GMP capital programme was a further £25.3m of spend in 2023/24 compared to budget of £43.8m</w:t>
      </w:r>
      <w:r w:rsidRPr="00427AAE">
        <w:rPr>
          <w:rFonts w:ascii="Arial" w:hAnsi="Arial" w:cs="Arial"/>
        </w:rPr>
        <w:t>. The tables below provide a breakdown of provisional capital expenditure by GMCA function and capital financing for 2023/24:</w:t>
      </w:r>
    </w:p>
    <w:p w14:paraId="51700D5A" w14:textId="77777777" w:rsidR="00D15D90" w:rsidRPr="00427AAE" w:rsidRDefault="00D15D90" w:rsidP="00D15D90">
      <w:pPr>
        <w:spacing w:line="360" w:lineRule="auto"/>
        <w:rPr>
          <w:rFonts w:ascii="Arial" w:hAnsi="Arial" w:cs="Arial"/>
        </w:rPr>
      </w:pPr>
    </w:p>
    <w:tbl>
      <w:tblPr>
        <w:tblStyle w:val="TableGrid"/>
        <w:tblW w:w="0" w:type="auto"/>
        <w:tblLook w:val="04A0" w:firstRow="1" w:lastRow="0" w:firstColumn="1" w:lastColumn="0" w:noHBand="0" w:noVBand="1"/>
      </w:tblPr>
      <w:tblGrid>
        <w:gridCol w:w="3681"/>
        <w:gridCol w:w="1778"/>
        <w:gridCol w:w="1778"/>
        <w:gridCol w:w="1779"/>
      </w:tblGrid>
      <w:tr w:rsidR="00D15D90" w:rsidRPr="00427AAE" w14:paraId="69C7A445" w14:textId="77777777" w:rsidTr="00012E0D">
        <w:tc>
          <w:tcPr>
            <w:tcW w:w="3681" w:type="dxa"/>
          </w:tcPr>
          <w:p w14:paraId="52BD05A5" w14:textId="77777777" w:rsidR="00D15D90" w:rsidRPr="00427AAE" w:rsidRDefault="00D15D90" w:rsidP="00012E0D">
            <w:pPr>
              <w:rPr>
                <w:rFonts w:ascii="Arial" w:hAnsi="Arial" w:cs="Arial"/>
                <w:b/>
                <w:bCs/>
              </w:rPr>
            </w:pPr>
            <w:r w:rsidRPr="00427AAE">
              <w:rPr>
                <w:rFonts w:ascii="Arial" w:hAnsi="Arial" w:cs="Arial"/>
                <w:b/>
                <w:bCs/>
              </w:rPr>
              <w:t>Capital Programme Provisional Outturn</w:t>
            </w:r>
          </w:p>
          <w:p w14:paraId="388E5D83" w14:textId="77777777" w:rsidR="00D15D90" w:rsidRPr="00427AAE" w:rsidRDefault="00D15D90" w:rsidP="00012E0D">
            <w:pPr>
              <w:rPr>
                <w:rFonts w:ascii="Arial" w:hAnsi="Arial" w:cs="Arial"/>
                <w:b/>
                <w:bCs/>
              </w:rPr>
            </w:pPr>
            <w:r w:rsidRPr="00427AAE">
              <w:rPr>
                <w:rFonts w:ascii="Arial" w:hAnsi="Arial" w:cs="Arial"/>
                <w:b/>
                <w:bCs/>
              </w:rPr>
              <w:t>2023/24</w:t>
            </w:r>
          </w:p>
        </w:tc>
        <w:tc>
          <w:tcPr>
            <w:tcW w:w="1778" w:type="dxa"/>
          </w:tcPr>
          <w:p w14:paraId="48A64ADF" w14:textId="77777777" w:rsidR="00D15D90" w:rsidRPr="00427AAE" w:rsidRDefault="00D15D90" w:rsidP="00012E0D">
            <w:pPr>
              <w:jc w:val="center"/>
              <w:rPr>
                <w:rFonts w:ascii="Arial" w:hAnsi="Arial" w:cs="Arial"/>
                <w:b/>
                <w:bCs/>
              </w:rPr>
            </w:pPr>
            <w:r w:rsidRPr="00427AAE">
              <w:rPr>
                <w:rFonts w:ascii="Arial" w:hAnsi="Arial" w:cs="Arial"/>
                <w:b/>
                <w:bCs/>
              </w:rPr>
              <w:t>Approved Budget</w:t>
            </w:r>
          </w:p>
          <w:p w14:paraId="2E933683" w14:textId="77777777" w:rsidR="00D15D90" w:rsidRPr="00427AAE" w:rsidRDefault="00D15D90" w:rsidP="00012E0D">
            <w:pPr>
              <w:jc w:val="center"/>
              <w:rPr>
                <w:rFonts w:ascii="Arial" w:hAnsi="Arial" w:cs="Arial"/>
                <w:b/>
                <w:bCs/>
              </w:rPr>
            </w:pPr>
            <w:r w:rsidRPr="00427AAE">
              <w:rPr>
                <w:rFonts w:ascii="Arial" w:hAnsi="Arial" w:cs="Arial"/>
                <w:b/>
                <w:bCs/>
              </w:rPr>
              <w:t>£000s</w:t>
            </w:r>
          </w:p>
        </w:tc>
        <w:tc>
          <w:tcPr>
            <w:tcW w:w="1778" w:type="dxa"/>
          </w:tcPr>
          <w:p w14:paraId="609F0FD6" w14:textId="77777777" w:rsidR="00D15D90" w:rsidRPr="00427AAE" w:rsidRDefault="00D15D90" w:rsidP="00012E0D">
            <w:pPr>
              <w:jc w:val="center"/>
              <w:rPr>
                <w:rFonts w:ascii="Arial" w:hAnsi="Arial" w:cs="Arial"/>
                <w:b/>
                <w:bCs/>
              </w:rPr>
            </w:pPr>
            <w:r w:rsidRPr="00427AAE">
              <w:rPr>
                <w:rFonts w:ascii="Arial" w:hAnsi="Arial" w:cs="Arial"/>
                <w:b/>
                <w:bCs/>
              </w:rPr>
              <w:t>Provisional Outturn</w:t>
            </w:r>
          </w:p>
          <w:p w14:paraId="512F7330" w14:textId="77777777" w:rsidR="00D15D90" w:rsidRPr="00427AAE" w:rsidRDefault="00D15D90" w:rsidP="00012E0D">
            <w:pPr>
              <w:jc w:val="center"/>
              <w:rPr>
                <w:rFonts w:ascii="Arial" w:hAnsi="Arial" w:cs="Arial"/>
                <w:b/>
                <w:bCs/>
              </w:rPr>
            </w:pPr>
            <w:r w:rsidRPr="00427AAE">
              <w:rPr>
                <w:rFonts w:ascii="Arial" w:hAnsi="Arial" w:cs="Arial"/>
                <w:b/>
                <w:bCs/>
              </w:rPr>
              <w:t>£000s</w:t>
            </w:r>
          </w:p>
        </w:tc>
        <w:tc>
          <w:tcPr>
            <w:tcW w:w="1779" w:type="dxa"/>
          </w:tcPr>
          <w:p w14:paraId="2462C83D" w14:textId="77777777" w:rsidR="00D15D90" w:rsidRPr="00427AAE" w:rsidRDefault="00D15D90" w:rsidP="00012E0D">
            <w:pPr>
              <w:jc w:val="center"/>
              <w:rPr>
                <w:rFonts w:ascii="Arial" w:hAnsi="Arial" w:cs="Arial"/>
                <w:b/>
                <w:bCs/>
              </w:rPr>
            </w:pPr>
            <w:r w:rsidRPr="00427AAE">
              <w:rPr>
                <w:rFonts w:ascii="Arial" w:hAnsi="Arial" w:cs="Arial"/>
                <w:b/>
                <w:bCs/>
              </w:rPr>
              <w:t>Provisional Variance</w:t>
            </w:r>
          </w:p>
          <w:p w14:paraId="7CA890CB" w14:textId="77777777" w:rsidR="00D15D90" w:rsidRPr="00427AAE" w:rsidRDefault="00D15D90" w:rsidP="00012E0D">
            <w:pPr>
              <w:jc w:val="center"/>
              <w:rPr>
                <w:rFonts w:ascii="Arial" w:hAnsi="Arial" w:cs="Arial"/>
                <w:b/>
                <w:bCs/>
              </w:rPr>
            </w:pPr>
            <w:r w:rsidRPr="00427AAE">
              <w:rPr>
                <w:rFonts w:ascii="Arial" w:hAnsi="Arial" w:cs="Arial"/>
                <w:b/>
                <w:bCs/>
              </w:rPr>
              <w:t>£000s</w:t>
            </w:r>
          </w:p>
        </w:tc>
      </w:tr>
      <w:tr w:rsidR="00D15D90" w:rsidRPr="00427AAE" w14:paraId="13DBA9E8" w14:textId="77777777" w:rsidTr="00012E0D">
        <w:tc>
          <w:tcPr>
            <w:tcW w:w="3681" w:type="dxa"/>
          </w:tcPr>
          <w:p w14:paraId="2AF5D3E5" w14:textId="77777777" w:rsidR="00D15D90" w:rsidRPr="00427AAE" w:rsidRDefault="00D15D90" w:rsidP="00012E0D">
            <w:pPr>
              <w:rPr>
                <w:rFonts w:ascii="Arial" w:hAnsi="Arial" w:cs="Arial"/>
              </w:rPr>
            </w:pPr>
            <w:r w:rsidRPr="00427AAE">
              <w:rPr>
                <w:rFonts w:ascii="Arial" w:hAnsi="Arial" w:cs="Arial"/>
              </w:rPr>
              <w:t>Transport</w:t>
            </w:r>
          </w:p>
        </w:tc>
        <w:tc>
          <w:tcPr>
            <w:tcW w:w="1778" w:type="dxa"/>
            <w:vAlign w:val="center"/>
          </w:tcPr>
          <w:p w14:paraId="33CEB017" w14:textId="77777777" w:rsidR="00D15D90" w:rsidRPr="00427AAE" w:rsidRDefault="00D15D90" w:rsidP="00012E0D">
            <w:pPr>
              <w:jc w:val="right"/>
              <w:rPr>
                <w:rFonts w:ascii="Arial" w:hAnsi="Arial" w:cs="Arial"/>
              </w:rPr>
            </w:pPr>
            <w:r w:rsidRPr="00427AAE">
              <w:rPr>
                <w:rFonts w:ascii="Arial" w:hAnsi="Arial" w:cs="Arial"/>
              </w:rPr>
              <w:t>346,419</w:t>
            </w:r>
          </w:p>
        </w:tc>
        <w:tc>
          <w:tcPr>
            <w:tcW w:w="1778" w:type="dxa"/>
            <w:vAlign w:val="center"/>
          </w:tcPr>
          <w:p w14:paraId="1B46292A" w14:textId="77777777" w:rsidR="00D15D90" w:rsidRPr="00427AAE" w:rsidRDefault="00D15D90" w:rsidP="00012E0D">
            <w:pPr>
              <w:jc w:val="right"/>
              <w:rPr>
                <w:rFonts w:ascii="Arial" w:hAnsi="Arial" w:cs="Arial"/>
              </w:rPr>
            </w:pPr>
            <w:r w:rsidRPr="00427AAE">
              <w:rPr>
                <w:rFonts w:ascii="Arial" w:hAnsi="Arial" w:cs="Arial"/>
              </w:rPr>
              <w:t>344,970</w:t>
            </w:r>
          </w:p>
        </w:tc>
        <w:tc>
          <w:tcPr>
            <w:tcW w:w="1779" w:type="dxa"/>
            <w:vAlign w:val="center"/>
          </w:tcPr>
          <w:p w14:paraId="6DA5FCAF" w14:textId="77777777" w:rsidR="00D15D90" w:rsidRPr="00427AAE" w:rsidRDefault="00D15D90" w:rsidP="00012E0D">
            <w:pPr>
              <w:jc w:val="right"/>
              <w:rPr>
                <w:rFonts w:ascii="Arial" w:hAnsi="Arial" w:cs="Arial"/>
              </w:rPr>
            </w:pPr>
            <w:r w:rsidRPr="00427AAE">
              <w:rPr>
                <w:rFonts w:ascii="Arial" w:hAnsi="Arial" w:cs="Arial"/>
              </w:rPr>
              <w:t>(1,449)</w:t>
            </w:r>
          </w:p>
        </w:tc>
      </w:tr>
      <w:tr w:rsidR="00D15D90" w:rsidRPr="00427AAE" w14:paraId="2A2F5499" w14:textId="77777777" w:rsidTr="00012E0D">
        <w:tc>
          <w:tcPr>
            <w:tcW w:w="3681" w:type="dxa"/>
          </w:tcPr>
          <w:p w14:paraId="6D11E526" w14:textId="77777777" w:rsidR="00D15D90" w:rsidRPr="00427AAE" w:rsidRDefault="00D15D90" w:rsidP="00012E0D">
            <w:pPr>
              <w:rPr>
                <w:rFonts w:ascii="Arial" w:hAnsi="Arial" w:cs="Arial"/>
              </w:rPr>
            </w:pPr>
            <w:r w:rsidRPr="00427AAE">
              <w:rPr>
                <w:rFonts w:ascii="Arial" w:hAnsi="Arial" w:cs="Arial"/>
              </w:rPr>
              <w:t>Economic Development &amp; Regeneration</w:t>
            </w:r>
          </w:p>
        </w:tc>
        <w:tc>
          <w:tcPr>
            <w:tcW w:w="1778" w:type="dxa"/>
            <w:vAlign w:val="center"/>
          </w:tcPr>
          <w:p w14:paraId="6290C1AA" w14:textId="77777777" w:rsidR="00D15D90" w:rsidRDefault="00D15D90" w:rsidP="00012E0D">
            <w:pPr>
              <w:jc w:val="right"/>
              <w:rPr>
                <w:rFonts w:ascii="Arial" w:hAnsi="Arial" w:cs="Arial"/>
              </w:rPr>
            </w:pPr>
            <w:r w:rsidRPr="00427AAE">
              <w:rPr>
                <w:rFonts w:ascii="Arial" w:hAnsi="Arial" w:cs="Arial"/>
              </w:rPr>
              <w:t>215,407</w:t>
            </w:r>
          </w:p>
          <w:p w14:paraId="66626F19" w14:textId="77777777" w:rsidR="00D15D90" w:rsidRPr="00427AAE" w:rsidRDefault="00D15D90" w:rsidP="00012E0D">
            <w:pPr>
              <w:jc w:val="right"/>
              <w:rPr>
                <w:rFonts w:ascii="Arial" w:hAnsi="Arial" w:cs="Arial"/>
              </w:rPr>
            </w:pPr>
          </w:p>
        </w:tc>
        <w:tc>
          <w:tcPr>
            <w:tcW w:w="1778" w:type="dxa"/>
            <w:vAlign w:val="center"/>
          </w:tcPr>
          <w:p w14:paraId="694CF1D7" w14:textId="77777777" w:rsidR="00D15D90" w:rsidRDefault="00D15D90" w:rsidP="00012E0D">
            <w:pPr>
              <w:jc w:val="right"/>
              <w:rPr>
                <w:rFonts w:ascii="Arial" w:hAnsi="Arial" w:cs="Arial"/>
              </w:rPr>
            </w:pPr>
            <w:r w:rsidRPr="00427AAE">
              <w:rPr>
                <w:rFonts w:ascii="Arial" w:hAnsi="Arial" w:cs="Arial"/>
              </w:rPr>
              <w:t>182,790</w:t>
            </w:r>
          </w:p>
          <w:p w14:paraId="47E6A430" w14:textId="77777777" w:rsidR="00D15D90" w:rsidRPr="00427AAE" w:rsidRDefault="00D15D90" w:rsidP="00012E0D">
            <w:pPr>
              <w:jc w:val="right"/>
              <w:rPr>
                <w:rFonts w:ascii="Arial" w:hAnsi="Arial" w:cs="Arial"/>
              </w:rPr>
            </w:pPr>
          </w:p>
        </w:tc>
        <w:tc>
          <w:tcPr>
            <w:tcW w:w="1779" w:type="dxa"/>
            <w:vAlign w:val="center"/>
          </w:tcPr>
          <w:p w14:paraId="7635B288" w14:textId="77777777" w:rsidR="00D15D90" w:rsidRDefault="00D15D90" w:rsidP="00012E0D">
            <w:pPr>
              <w:jc w:val="right"/>
              <w:rPr>
                <w:rFonts w:ascii="Arial" w:hAnsi="Arial" w:cs="Arial"/>
              </w:rPr>
            </w:pPr>
            <w:r w:rsidRPr="00427AAE">
              <w:rPr>
                <w:rFonts w:ascii="Arial" w:hAnsi="Arial" w:cs="Arial"/>
              </w:rPr>
              <w:t>(32,617)</w:t>
            </w:r>
          </w:p>
          <w:p w14:paraId="050EF73B" w14:textId="77777777" w:rsidR="00D15D90" w:rsidRPr="00427AAE" w:rsidRDefault="00D15D90" w:rsidP="00012E0D">
            <w:pPr>
              <w:jc w:val="right"/>
              <w:rPr>
                <w:rFonts w:ascii="Arial" w:hAnsi="Arial" w:cs="Arial"/>
              </w:rPr>
            </w:pPr>
          </w:p>
        </w:tc>
      </w:tr>
      <w:tr w:rsidR="00D15D90" w:rsidRPr="00427AAE" w14:paraId="2C694D23" w14:textId="77777777" w:rsidTr="00012E0D">
        <w:tc>
          <w:tcPr>
            <w:tcW w:w="3681" w:type="dxa"/>
          </w:tcPr>
          <w:p w14:paraId="74CD33F7" w14:textId="77777777" w:rsidR="00D15D90" w:rsidRPr="00427AAE" w:rsidRDefault="00D15D90" w:rsidP="00012E0D">
            <w:pPr>
              <w:rPr>
                <w:rFonts w:ascii="Arial" w:hAnsi="Arial" w:cs="Arial"/>
              </w:rPr>
            </w:pPr>
            <w:r w:rsidRPr="00427AAE">
              <w:rPr>
                <w:rFonts w:ascii="Arial" w:hAnsi="Arial" w:cs="Arial"/>
              </w:rPr>
              <w:t>Fire &amp; Rescue Service</w:t>
            </w:r>
          </w:p>
        </w:tc>
        <w:tc>
          <w:tcPr>
            <w:tcW w:w="1778" w:type="dxa"/>
            <w:vAlign w:val="center"/>
          </w:tcPr>
          <w:p w14:paraId="7F4F8862" w14:textId="77777777" w:rsidR="00D15D90" w:rsidRPr="00427AAE" w:rsidRDefault="00D15D90" w:rsidP="00012E0D">
            <w:pPr>
              <w:jc w:val="right"/>
              <w:rPr>
                <w:rFonts w:ascii="Arial" w:hAnsi="Arial" w:cs="Arial"/>
              </w:rPr>
            </w:pPr>
            <w:r w:rsidRPr="00427AAE">
              <w:rPr>
                <w:rFonts w:ascii="Arial" w:hAnsi="Arial" w:cs="Arial"/>
              </w:rPr>
              <w:t>23,177</w:t>
            </w:r>
          </w:p>
        </w:tc>
        <w:tc>
          <w:tcPr>
            <w:tcW w:w="1778" w:type="dxa"/>
            <w:vAlign w:val="center"/>
          </w:tcPr>
          <w:p w14:paraId="293008F8" w14:textId="77777777" w:rsidR="00D15D90" w:rsidRPr="00427AAE" w:rsidRDefault="00D15D90" w:rsidP="00012E0D">
            <w:pPr>
              <w:jc w:val="right"/>
              <w:rPr>
                <w:rFonts w:ascii="Arial" w:hAnsi="Arial" w:cs="Arial"/>
              </w:rPr>
            </w:pPr>
            <w:r w:rsidRPr="00427AAE">
              <w:rPr>
                <w:rFonts w:ascii="Arial" w:hAnsi="Arial" w:cs="Arial"/>
              </w:rPr>
              <w:t>9,937</w:t>
            </w:r>
          </w:p>
        </w:tc>
        <w:tc>
          <w:tcPr>
            <w:tcW w:w="1779" w:type="dxa"/>
            <w:vAlign w:val="center"/>
          </w:tcPr>
          <w:p w14:paraId="32D4E531" w14:textId="77777777" w:rsidR="00D15D90" w:rsidRPr="00427AAE" w:rsidRDefault="00D15D90" w:rsidP="00012E0D">
            <w:pPr>
              <w:jc w:val="right"/>
              <w:rPr>
                <w:rFonts w:ascii="Arial" w:hAnsi="Arial" w:cs="Arial"/>
              </w:rPr>
            </w:pPr>
            <w:r w:rsidRPr="00427AAE">
              <w:rPr>
                <w:rFonts w:ascii="Arial" w:hAnsi="Arial" w:cs="Arial"/>
              </w:rPr>
              <w:t>(13,240)</w:t>
            </w:r>
          </w:p>
        </w:tc>
      </w:tr>
      <w:tr w:rsidR="00D15D90" w:rsidRPr="00427AAE" w14:paraId="642FB4AF" w14:textId="77777777" w:rsidTr="00012E0D">
        <w:tc>
          <w:tcPr>
            <w:tcW w:w="3681" w:type="dxa"/>
          </w:tcPr>
          <w:p w14:paraId="5EC1045D" w14:textId="77777777" w:rsidR="00D15D90" w:rsidRPr="00427AAE" w:rsidRDefault="00D15D90" w:rsidP="00012E0D">
            <w:pPr>
              <w:rPr>
                <w:rFonts w:ascii="Arial" w:hAnsi="Arial" w:cs="Arial"/>
              </w:rPr>
            </w:pPr>
            <w:r w:rsidRPr="00427AAE">
              <w:rPr>
                <w:rFonts w:ascii="Arial" w:hAnsi="Arial" w:cs="Arial"/>
              </w:rPr>
              <w:t>Waste &amp; Resources Service</w:t>
            </w:r>
          </w:p>
        </w:tc>
        <w:tc>
          <w:tcPr>
            <w:tcW w:w="1778" w:type="dxa"/>
            <w:vAlign w:val="center"/>
          </w:tcPr>
          <w:p w14:paraId="2DD15D05" w14:textId="77777777" w:rsidR="00D15D90" w:rsidRPr="00427AAE" w:rsidRDefault="00D15D90" w:rsidP="00012E0D">
            <w:pPr>
              <w:jc w:val="right"/>
              <w:rPr>
                <w:rFonts w:ascii="Arial" w:hAnsi="Arial" w:cs="Arial"/>
              </w:rPr>
            </w:pPr>
            <w:r w:rsidRPr="00427AAE">
              <w:rPr>
                <w:rFonts w:ascii="Arial" w:hAnsi="Arial" w:cs="Arial"/>
              </w:rPr>
              <w:t>6,780</w:t>
            </w:r>
          </w:p>
        </w:tc>
        <w:tc>
          <w:tcPr>
            <w:tcW w:w="1778" w:type="dxa"/>
            <w:vAlign w:val="center"/>
          </w:tcPr>
          <w:p w14:paraId="53EA5E9C" w14:textId="77777777" w:rsidR="00D15D90" w:rsidRPr="00427AAE" w:rsidRDefault="00D15D90" w:rsidP="00012E0D">
            <w:pPr>
              <w:jc w:val="right"/>
              <w:rPr>
                <w:rFonts w:ascii="Arial" w:hAnsi="Arial" w:cs="Arial"/>
              </w:rPr>
            </w:pPr>
            <w:r w:rsidRPr="00427AAE">
              <w:rPr>
                <w:rFonts w:ascii="Arial" w:hAnsi="Arial" w:cs="Arial"/>
              </w:rPr>
              <w:t>3,367</w:t>
            </w:r>
          </w:p>
        </w:tc>
        <w:tc>
          <w:tcPr>
            <w:tcW w:w="1779" w:type="dxa"/>
            <w:vAlign w:val="center"/>
          </w:tcPr>
          <w:p w14:paraId="613C5FAF" w14:textId="77777777" w:rsidR="00D15D90" w:rsidRPr="00427AAE" w:rsidRDefault="00D15D90" w:rsidP="00012E0D">
            <w:pPr>
              <w:jc w:val="right"/>
              <w:rPr>
                <w:rFonts w:ascii="Arial" w:hAnsi="Arial" w:cs="Arial"/>
              </w:rPr>
            </w:pPr>
            <w:r w:rsidRPr="00427AAE">
              <w:rPr>
                <w:rFonts w:ascii="Arial" w:hAnsi="Arial" w:cs="Arial"/>
              </w:rPr>
              <w:t>(3,413)</w:t>
            </w:r>
          </w:p>
        </w:tc>
      </w:tr>
      <w:tr w:rsidR="00D15D90" w:rsidRPr="00427AAE" w14:paraId="06E62724" w14:textId="77777777" w:rsidTr="00012E0D">
        <w:tc>
          <w:tcPr>
            <w:tcW w:w="3681" w:type="dxa"/>
          </w:tcPr>
          <w:p w14:paraId="15337DEF" w14:textId="77777777" w:rsidR="00D15D90" w:rsidRPr="00427AAE" w:rsidRDefault="00D15D90" w:rsidP="00012E0D">
            <w:pPr>
              <w:rPr>
                <w:rFonts w:ascii="Arial" w:hAnsi="Arial" w:cs="Arial"/>
                <w:b/>
                <w:bCs/>
              </w:rPr>
            </w:pPr>
            <w:r w:rsidRPr="00427AAE">
              <w:rPr>
                <w:rFonts w:ascii="Arial" w:hAnsi="Arial" w:cs="Arial"/>
                <w:b/>
                <w:bCs/>
              </w:rPr>
              <w:t>Total exc. Greater Manchester Police</w:t>
            </w:r>
          </w:p>
        </w:tc>
        <w:tc>
          <w:tcPr>
            <w:tcW w:w="1778" w:type="dxa"/>
            <w:vAlign w:val="center"/>
          </w:tcPr>
          <w:p w14:paraId="737303ED" w14:textId="77777777" w:rsidR="00D15D90" w:rsidRDefault="00D15D90" w:rsidP="00012E0D">
            <w:pPr>
              <w:jc w:val="right"/>
              <w:rPr>
                <w:rFonts w:ascii="Arial" w:hAnsi="Arial" w:cs="Arial"/>
                <w:b/>
                <w:bCs/>
              </w:rPr>
            </w:pPr>
            <w:r w:rsidRPr="00427AAE">
              <w:rPr>
                <w:rFonts w:ascii="Arial" w:hAnsi="Arial" w:cs="Arial"/>
                <w:b/>
                <w:bCs/>
              </w:rPr>
              <w:t>591,783</w:t>
            </w:r>
          </w:p>
          <w:p w14:paraId="1E6A8D97" w14:textId="77777777" w:rsidR="00D15D90" w:rsidRPr="00427AAE" w:rsidRDefault="00D15D90" w:rsidP="00012E0D">
            <w:pPr>
              <w:jc w:val="right"/>
              <w:rPr>
                <w:rFonts w:ascii="Arial" w:hAnsi="Arial" w:cs="Arial"/>
                <w:b/>
                <w:bCs/>
              </w:rPr>
            </w:pPr>
          </w:p>
        </w:tc>
        <w:tc>
          <w:tcPr>
            <w:tcW w:w="1778" w:type="dxa"/>
            <w:vAlign w:val="center"/>
          </w:tcPr>
          <w:p w14:paraId="78C6A24F" w14:textId="77777777" w:rsidR="00D15D90" w:rsidRDefault="00D15D90" w:rsidP="00012E0D">
            <w:pPr>
              <w:jc w:val="right"/>
              <w:rPr>
                <w:rFonts w:ascii="Arial" w:hAnsi="Arial" w:cs="Arial"/>
                <w:b/>
                <w:bCs/>
              </w:rPr>
            </w:pPr>
            <w:r w:rsidRPr="00427AAE">
              <w:rPr>
                <w:rFonts w:ascii="Arial" w:hAnsi="Arial" w:cs="Arial"/>
                <w:b/>
                <w:bCs/>
              </w:rPr>
              <w:t>541,064</w:t>
            </w:r>
          </w:p>
          <w:p w14:paraId="774DA356" w14:textId="77777777" w:rsidR="00D15D90" w:rsidRPr="00427AAE" w:rsidRDefault="00D15D90" w:rsidP="00012E0D">
            <w:pPr>
              <w:jc w:val="right"/>
              <w:rPr>
                <w:rFonts w:ascii="Arial" w:hAnsi="Arial" w:cs="Arial"/>
                <w:b/>
                <w:bCs/>
              </w:rPr>
            </w:pPr>
          </w:p>
        </w:tc>
        <w:tc>
          <w:tcPr>
            <w:tcW w:w="1779" w:type="dxa"/>
            <w:vAlign w:val="center"/>
          </w:tcPr>
          <w:p w14:paraId="78801725" w14:textId="77777777" w:rsidR="00D15D90" w:rsidRDefault="00D15D90" w:rsidP="00012E0D">
            <w:pPr>
              <w:jc w:val="right"/>
              <w:rPr>
                <w:rFonts w:ascii="Arial" w:hAnsi="Arial" w:cs="Arial"/>
                <w:b/>
                <w:bCs/>
              </w:rPr>
            </w:pPr>
            <w:r w:rsidRPr="00427AAE">
              <w:rPr>
                <w:rFonts w:ascii="Arial" w:hAnsi="Arial" w:cs="Arial"/>
                <w:b/>
                <w:bCs/>
              </w:rPr>
              <w:t>(50,719)</w:t>
            </w:r>
          </w:p>
          <w:p w14:paraId="6504DED9" w14:textId="77777777" w:rsidR="00D15D90" w:rsidRPr="00427AAE" w:rsidRDefault="00D15D90" w:rsidP="00012E0D">
            <w:pPr>
              <w:jc w:val="right"/>
              <w:rPr>
                <w:rFonts w:ascii="Arial" w:hAnsi="Arial" w:cs="Arial"/>
                <w:b/>
                <w:bCs/>
              </w:rPr>
            </w:pPr>
          </w:p>
        </w:tc>
      </w:tr>
      <w:tr w:rsidR="00D15D90" w:rsidRPr="00427AAE" w14:paraId="1C64D135" w14:textId="77777777" w:rsidTr="00012E0D">
        <w:tc>
          <w:tcPr>
            <w:tcW w:w="3681" w:type="dxa"/>
          </w:tcPr>
          <w:p w14:paraId="467850AB" w14:textId="77777777" w:rsidR="00D15D90" w:rsidRPr="00427AAE" w:rsidRDefault="00D15D90" w:rsidP="00012E0D">
            <w:pPr>
              <w:rPr>
                <w:rFonts w:ascii="Arial" w:hAnsi="Arial" w:cs="Arial"/>
              </w:rPr>
            </w:pPr>
            <w:r w:rsidRPr="00427AAE">
              <w:rPr>
                <w:rFonts w:ascii="Arial" w:hAnsi="Arial" w:cs="Arial"/>
              </w:rPr>
              <w:t>Police Fund (GMP)</w:t>
            </w:r>
          </w:p>
        </w:tc>
        <w:tc>
          <w:tcPr>
            <w:tcW w:w="1778" w:type="dxa"/>
            <w:vAlign w:val="center"/>
          </w:tcPr>
          <w:p w14:paraId="10BB79A1" w14:textId="77777777" w:rsidR="00D15D90" w:rsidRPr="00427AAE" w:rsidRDefault="00D15D90" w:rsidP="00012E0D">
            <w:pPr>
              <w:jc w:val="right"/>
              <w:rPr>
                <w:rFonts w:ascii="Arial" w:hAnsi="Arial" w:cs="Arial"/>
              </w:rPr>
            </w:pPr>
            <w:r w:rsidRPr="00427AAE">
              <w:rPr>
                <w:rFonts w:ascii="Arial" w:hAnsi="Arial" w:cs="Arial"/>
              </w:rPr>
              <w:t>43,843</w:t>
            </w:r>
          </w:p>
        </w:tc>
        <w:tc>
          <w:tcPr>
            <w:tcW w:w="1778" w:type="dxa"/>
            <w:vAlign w:val="center"/>
          </w:tcPr>
          <w:p w14:paraId="0335D03C" w14:textId="77777777" w:rsidR="00D15D90" w:rsidRPr="00427AAE" w:rsidRDefault="00D15D90" w:rsidP="00012E0D">
            <w:pPr>
              <w:jc w:val="right"/>
              <w:rPr>
                <w:rFonts w:ascii="Arial" w:hAnsi="Arial" w:cs="Arial"/>
              </w:rPr>
            </w:pPr>
            <w:r w:rsidRPr="00427AAE">
              <w:rPr>
                <w:rFonts w:ascii="Arial" w:hAnsi="Arial" w:cs="Arial"/>
              </w:rPr>
              <w:t>25,254</w:t>
            </w:r>
          </w:p>
        </w:tc>
        <w:tc>
          <w:tcPr>
            <w:tcW w:w="1779" w:type="dxa"/>
            <w:vAlign w:val="center"/>
          </w:tcPr>
          <w:p w14:paraId="428250DC" w14:textId="77777777" w:rsidR="00D15D90" w:rsidRPr="00427AAE" w:rsidRDefault="00D15D90" w:rsidP="00012E0D">
            <w:pPr>
              <w:jc w:val="right"/>
              <w:rPr>
                <w:rFonts w:ascii="Arial" w:hAnsi="Arial" w:cs="Arial"/>
              </w:rPr>
            </w:pPr>
            <w:r w:rsidRPr="00427AAE">
              <w:rPr>
                <w:rFonts w:ascii="Arial" w:hAnsi="Arial" w:cs="Arial"/>
              </w:rPr>
              <w:t>(18,589)</w:t>
            </w:r>
          </w:p>
        </w:tc>
      </w:tr>
      <w:tr w:rsidR="00D15D90" w:rsidRPr="00427AAE" w14:paraId="24B0AE7E" w14:textId="77777777" w:rsidTr="00012E0D">
        <w:tc>
          <w:tcPr>
            <w:tcW w:w="3681" w:type="dxa"/>
          </w:tcPr>
          <w:p w14:paraId="62BA9B18" w14:textId="77777777" w:rsidR="00D15D90" w:rsidRPr="00427AAE" w:rsidRDefault="00D15D90" w:rsidP="00012E0D">
            <w:pPr>
              <w:rPr>
                <w:rFonts w:ascii="Arial" w:hAnsi="Arial" w:cs="Arial"/>
                <w:b/>
                <w:bCs/>
              </w:rPr>
            </w:pPr>
            <w:r w:rsidRPr="00427AAE">
              <w:rPr>
                <w:rFonts w:ascii="Arial" w:hAnsi="Arial" w:cs="Arial"/>
                <w:b/>
                <w:bCs/>
              </w:rPr>
              <w:t>Total Capital</w:t>
            </w:r>
          </w:p>
        </w:tc>
        <w:tc>
          <w:tcPr>
            <w:tcW w:w="1778" w:type="dxa"/>
            <w:vAlign w:val="center"/>
          </w:tcPr>
          <w:p w14:paraId="2BDCD471" w14:textId="77777777" w:rsidR="00D15D90" w:rsidRPr="00427AAE" w:rsidRDefault="00D15D90" w:rsidP="00012E0D">
            <w:pPr>
              <w:jc w:val="right"/>
              <w:rPr>
                <w:rFonts w:ascii="Arial" w:hAnsi="Arial" w:cs="Arial"/>
                <w:b/>
                <w:bCs/>
              </w:rPr>
            </w:pPr>
            <w:r w:rsidRPr="00427AAE">
              <w:rPr>
                <w:rFonts w:ascii="Arial" w:hAnsi="Arial" w:cs="Arial"/>
                <w:b/>
                <w:bCs/>
              </w:rPr>
              <w:t>635,626</w:t>
            </w:r>
          </w:p>
        </w:tc>
        <w:tc>
          <w:tcPr>
            <w:tcW w:w="1778" w:type="dxa"/>
            <w:vAlign w:val="center"/>
          </w:tcPr>
          <w:p w14:paraId="51CEBC08" w14:textId="77777777" w:rsidR="00D15D90" w:rsidRPr="00427AAE" w:rsidRDefault="00D15D90" w:rsidP="00012E0D">
            <w:pPr>
              <w:jc w:val="right"/>
              <w:rPr>
                <w:rFonts w:ascii="Arial" w:hAnsi="Arial" w:cs="Arial"/>
                <w:b/>
                <w:bCs/>
              </w:rPr>
            </w:pPr>
            <w:r w:rsidRPr="00427AAE">
              <w:rPr>
                <w:rFonts w:ascii="Arial" w:hAnsi="Arial" w:cs="Arial"/>
                <w:b/>
                <w:bCs/>
              </w:rPr>
              <w:t>566,318</w:t>
            </w:r>
          </w:p>
        </w:tc>
        <w:tc>
          <w:tcPr>
            <w:tcW w:w="1779" w:type="dxa"/>
            <w:vAlign w:val="center"/>
          </w:tcPr>
          <w:p w14:paraId="0310559A" w14:textId="77777777" w:rsidR="00D15D90" w:rsidRPr="00427AAE" w:rsidRDefault="00D15D90" w:rsidP="00012E0D">
            <w:pPr>
              <w:jc w:val="right"/>
              <w:rPr>
                <w:rFonts w:ascii="Arial" w:hAnsi="Arial" w:cs="Arial"/>
                <w:b/>
                <w:bCs/>
              </w:rPr>
            </w:pPr>
            <w:r w:rsidRPr="00427AAE">
              <w:rPr>
                <w:rFonts w:ascii="Arial" w:hAnsi="Arial" w:cs="Arial"/>
                <w:b/>
                <w:bCs/>
              </w:rPr>
              <w:t>(69,308)</w:t>
            </w:r>
          </w:p>
        </w:tc>
      </w:tr>
    </w:tbl>
    <w:p w14:paraId="2922DE6F" w14:textId="77777777" w:rsidR="00D15D90" w:rsidRDefault="00D15D90" w:rsidP="00D15D90">
      <w:pPr>
        <w:spacing w:line="360" w:lineRule="auto"/>
        <w:rPr>
          <w:rFonts w:ascii="Arial" w:hAnsi="Arial" w:cs="Arial"/>
          <w:highlight w:val="green"/>
        </w:rPr>
      </w:pPr>
    </w:p>
    <w:p w14:paraId="39BC1DD1" w14:textId="77777777" w:rsidR="00D15D90" w:rsidRDefault="00D15D90" w:rsidP="00D15D90">
      <w:pPr>
        <w:spacing w:line="360" w:lineRule="auto"/>
        <w:rPr>
          <w:rFonts w:ascii="Arial" w:hAnsi="Arial" w:cs="Arial"/>
          <w:highlight w:val="green"/>
        </w:rPr>
      </w:pPr>
    </w:p>
    <w:p w14:paraId="671347AD" w14:textId="77777777" w:rsidR="00A63D82" w:rsidRDefault="00A63D82" w:rsidP="00D15D90">
      <w:pPr>
        <w:spacing w:line="360" w:lineRule="auto"/>
        <w:rPr>
          <w:rFonts w:ascii="Arial" w:hAnsi="Arial" w:cs="Arial"/>
          <w:highlight w:val="green"/>
        </w:rPr>
      </w:pPr>
    </w:p>
    <w:tbl>
      <w:tblPr>
        <w:tblStyle w:val="TableGrid"/>
        <w:tblW w:w="0" w:type="auto"/>
        <w:tblLook w:val="04A0" w:firstRow="1" w:lastRow="0" w:firstColumn="1" w:lastColumn="0" w:noHBand="0" w:noVBand="1"/>
      </w:tblPr>
      <w:tblGrid>
        <w:gridCol w:w="4673"/>
        <w:gridCol w:w="1417"/>
        <w:gridCol w:w="1418"/>
        <w:gridCol w:w="1418"/>
      </w:tblGrid>
      <w:tr w:rsidR="00D15D90" w:rsidRPr="00427AAE" w14:paraId="29E39C72" w14:textId="77777777" w:rsidTr="00012E0D">
        <w:tc>
          <w:tcPr>
            <w:tcW w:w="4673" w:type="dxa"/>
          </w:tcPr>
          <w:p w14:paraId="00D0BE6F" w14:textId="77777777" w:rsidR="00D15D90" w:rsidRPr="00427AAE" w:rsidRDefault="00D15D90" w:rsidP="00012E0D">
            <w:pPr>
              <w:rPr>
                <w:rFonts w:ascii="Arial" w:hAnsi="Arial" w:cs="Arial"/>
                <w:b/>
                <w:bCs/>
              </w:rPr>
            </w:pPr>
            <w:r w:rsidRPr="00427AAE">
              <w:rPr>
                <w:rFonts w:ascii="Arial" w:hAnsi="Arial" w:cs="Arial"/>
                <w:b/>
                <w:bCs/>
              </w:rPr>
              <w:lastRenderedPageBreak/>
              <w:t>Capital Financing</w:t>
            </w:r>
          </w:p>
          <w:p w14:paraId="63266431" w14:textId="77777777" w:rsidR="00D15D90" w:rsidRPr="00427AAE" w:rsidRDefault="00D15D90" w:rsidP="00012E0D">
            <w:pPr>
              <w:rPr>
                <w:rFonts w:ascii="Arial" w:hAnsi="Arial" w:cs="Arial"/>
                <w:b/>
                <w:bCs/>
              </w:rPr>
            </w:pPr>
            <w:r w:rsidRPr="00427AAE">
              <w:rPr>
                <w:rFonts w:ascii="Arial" w:hAnsi="Arial" w:cs="Arial"/>
                <w:b/>
                <w:bCs/>
              </w:rPr>
              <w:t>2023/24</w:t>
            </w:r>
          </w:p>
        </w:tc>
        <w:tc>
          <w:tcPr>
            <w:tcW w:w="1417" w:type="dxa"/>
          </w:tcPr>
          <w:p w14:paraId="52DE8AA9" w14:textId="77777777" w:rsidR="00D15D90" w:rsidRPr="00427AAE" w:rsidRDefault="00D15D90" w:rsidP="00012E0D">
            <w:pPr>
              <w:jc w:val="center"/>
              <w:rPr>
                <w:rFonts w:ascii="Arial" w:hAnsi="Arial" w:cs="Arial"/>
                <w:b/>
                <w:bCs/>
              </w:rPr>
            </w:pPr>
            <w:r w:rsidRPr="00427AAE">
              <w:rPr>
                <w:rFonts w:ascii="Arial" w:hAnsi="Arial" w:cs="Arial"/>
                <w:b/>
                <w:bCs/>
              </w:rPr>
              <w:t>GMCA</w:t>
            </w:r>
          </w:p>
          <w:p w14:paraId="3E7A590D" w14:textId="77777777" w:rsidR="00D15D90" w:rsidRPr="00427AAE" w:rsidRDefault="00D15D90" w:rsidP="00012E0D">
            <w:pPr>
              <w:jc w:val="center"/>
              <w:rPr>
                <w:rFonts w:ascii="Arial" w:hAnsi="Arial" w:cs="Arial"/>
                <w:b/>
                <w:bCs/>
              </w:rPr>
            </w:pPr>
            <w:r w:rsidRPr="00427AAE">
              <w:rPr>
                <w:rFonts w:ascii="Arial" w:hAnsi="Arial" w:cs="Arial"/>
                <w:b/>
                <w:bCs/>
              </w:rPr>
              <w:t>£000s</w:t>
            </w:r>
          </w:p>
        </w:tc>
        <w:tc>
          <w:tcPr>
            <w:tcW w:w="1418" w:type="dxa"/>
          </w:tcPr>
          <w:p w14:paraId="76B71186" w14:textId="77777777" w:rsidR="00D15D90" w:rsidRPr="00427AAE" w:rsidRDefault="00D15D90" w:rsidP="00012E0D">
            <w:pPr>
              <w:jc w:val="center"/>
              <w:rPr>
                <w:rFonts w:ascii="Arial" w:hAnsi="Arial" w:cs="Arial"/>
                <w:b/>
                <w:bCs/>
              </w:rPr>
            </w:pPr>
            <w:r w:rsidRPr="00427AAE">
              <w:rPr>
                <w:rFonts w:ascii="Arial" w:hAnsi="Arial" w:cs="Arial"/>
                <w:b/>
                <w:bCs/>
              </w:rPr>
              <w:t>GMP</w:t>
            </w:r>
          </w:p>
          <w:p w14:paraId="68283EA8" w14:textId="77777777" w:rsidR="00D15D90" w:rsidRPr="00427AAE" w:rsidRDefault="00D15D90" w:rsidP="00012E0D">
            <w:pPr>
              <w:jc w:val="center"/>
              <w:rPr>
                <w:rFonts w:ascii="Arial" w:hAnsi="Arial" w:cs="Arial"/>
                <w:b/>
                <w:bCs/>
              </w:rPr>
            </w:pPr>
            <w:r w:rsidRPr="00427AAE">
              <w:rPr>
                <w:rFonts w:ascii="Arial" w:hAnsi="Arial" w:cs="Arial"/>
                <w:b/>
                <w:bCs/>
              </w:rPr>
              <w:t>£000s</w:t>
            </w:r>
          </w:p>
        </w:tc>
        <w:tc>
          <w:tcPr>
            <w:tcW w:w="1418" w:type="dxa"/>
          </w:tcPr>
          <w:p w14:paraId="6AF8B255" w14:textId="77777777" w:rsidR="00D15D90" w:rsidRPr="00427AAE" w:rsidRDefault="00D15D90" w:rsidP="00012E0D">
            <w:pPr>
              <w:jc w:val="center"/>
              <w:rPr>
                <w:rFonts w:ascii="Arial" w:hAnsi="Arial" w:cs="Arial"/>
                <w:b/>
                <w:bCs/>
              </w:rPr>
            </w:pPr>
            <w:r w:rsidRPr="00427AAE">
              <w:rPr>
                <w:rFonts w:ascii="Arial" w:hAnsi="Arial" w:cs="Arial"/>
                <w:b/>
                <w:bCs/>
              </w:rPr>
              <w:t>Total</w:t>
            </w:r>
          </w:p>
          <w:p w14:paraId="61DE5805" w14:textId="77777777" w:rsidR="00D15D90" w:rsidRPr="00427AAE" w:rsidRDefault="00D15D90" w:rsidP="00012E0D">
            <w:pPr>
              <w:jc w:val="center"/>
              <w:rPr>
                <w:rFonts w:ascii="Arial" w:hAnsi="Arial" w:cs="Arial"/>
                <w:b/>
                <w:bCs/>
              </w:rPr>
            </w:pPr>
            <w:r w:rsidRPr="00427AAE">
              <w:rPr>
                <w:rFonts w:ascii="Arial" w:hAnsi="Arial" w:cs="Arial"/>
                <w:b/>
                <w:bCs/>
              </w:rPr>
              <w:t>£000s</w:t>
            </w:r>
          </w:p>
        </w:tc>
      </w:tr>
      <w:tr w:rsidR="00D15D90" w:rsidRPr="00427AAE" w14:paraId="25B6D011" w14:textId="77777777" w:rsidTr="00012E0D">
        <w:tc>
          <w:tcPr>
            <w:tcW w:w="4673" w:type="dxa"/>
          </w:tcPr>
          <w:p w14:paraId="1BF59915" w14:textId="77777777" w:rsidR="00D15D90" w:rsidRPr="00427AAE" w:rsidRDefault="00D15D90" w:rsidP="00012E0D">
            <w:pPr>
              <w:rPr>
                <w:rFonts w:ascii="Arial" w:hAnsi="Arial" w:cs="Arial"/>
              </w:rPr>
            </w:pPr>
            <w:r w:rsidRPr="00427AAE">
              <w:rPr>
                <w:rFonts w:ascii="Arial" w:hAnsi="Arial" w:cs="Arial"/>
              </w:rPr>
              <w:t>Borrowing</w:t>
            </w:r>
          </w:p>
        </w:tc>
        <w:tc>
          <w:tcPr>
            <w:tcW w:w="1417" w:type="dxa"/>
            <w:vAlign w:val="center"/>
          </w:tcPr>
          <w:p w14:paraId="37FE8209" w14:textId="77777777" w:rsidR="00D15D90" w:rsidRPr="00427AAE" w:rsidRDefault="00D15D90" w:rsidP="00012E0D">
            <w:pPr>
              <w:jc w:val="right"/>
              <w:rPr>
                <w:rFonts w:ascii="Arial" w:hAnsi="Arial" w:cs="Arial"/>
              </w:rPr>
            </w:pPr>
            <w:r w:rsidRPr="00427AAE">
              <w:rPr>
                <w:rFonts w:ascii="Arial" w:hAnsi="Arial" w:cs="Arial"/>
              </w:rPr>
              <w:t>1</w:t>
            </w:r>
            <w:r>
              <w:rPr>
                <w:rFonts w:ascii="Arial" w:hAnsi="Arial" w:cs="Arial"/>
              </w:rPr>
              <w:t>40</w:t>
            </w:r>
            <w:r w:rsidRPr="00427AAE">
              <w:rPr>
                <w:rFonts w:ascii="Arial" w:hAnsi="Arial" w:cs="Arial"/>
              </w:rPr>
              <w:t>,</w:t>
            </w:r>
            <w:r>
              <w:rPr>
                <w:rFonts w:ascii="Arial" w:hAnsi="Arial" w:cs="Arial"/>
              </w:rPr>
              <w:t>726</w:t>
            </w:r>
          </w:p>
        </w:tc>
        <w:tc>
          <w:tcPr>
            <w:tcW w:w="1418" w:type="dxa"/>
            <w:vAlign w:val="center"/>
          </w:tcPr>
          <w:p w14:paraId="39CF7115" w14:textId="77777777" w:rsidR="00D15D90" w:rsidRPr="00427AAE" w:rsidRDefault="00D15D90" w:rsidP="00012E0D">
            <w:pPr>
              <w:jc w:val="right"/>
              <w:rPr>
                <w:rFonts w:ascii="Arial" w:hAnsi="Arial" w:cs="Arial"/>
              </w:rPr>
            </w:pPr>
            <w:r w:rsidRPr="00427AAE">
              <w:rPr>
                <w:rFonts w:ascii="Arial" w:hAnsi="Arial" w:cs="Arial"/>
              </w:rPr>
              <w:t>24,045</w:t>
            </w:r>
          </w:p>
        </w:tc>
        <w:tc>
          <w:tcPr>
            <w:tcW w:w="1418" w:type="dxa"/>
            <w:vAlign w:val="center"/>
          </w:tcPr>
          <w:p w14:paraId="6631F5FD" w14:textId="77777777" w:rsidR="00D15D90" w:rsidRPr="00427AAE" w:rsidRDefault="00D15D90" w:rsidP="00012E0D">
            <w:pPr>
              <w:jc w:val="right"/>
              <w:rPr>
                <w:rFonts w:ascii="Arial" w:hAnsi="Arial" w:cs="Arial"/>
              </w:rPr>
            </w:pPr>
            <w:r w:rsidRPr="00427AAE">
              <w:rPr>
                <w:rFonts w:ascii="Arial" w:hAnsi="Arial" w:cs="Arial"/>
              </w:rPr>
              <w:t>16</w:t>
            </w:r>
            <w:r>
              <w:rPr>
                <w:rFonts w:ascii="Arial" w:hAnsi="Arial" w:cs="Arial"/>
              </w:rPr>
              <w:t>4</w:t>
            </w:r>
            <w:r w:rsidRPr="00427AAE">
              <w:rPr>
                <w:rFonts w:ascii="Arial" w:hAnsi="Arial" w:cs="Arial"/>
              </w:rPr>
              <w:t>,</w:t>
            </w:r>
            <w:r>
              <w:rPr>
                <w:rFonts w:ascii="Arial" w:hAnsi="Arial" w:cs="Arial"/>
              </w:rPr>
              <w:t>771</w:t>
            </w:r>
          </w:p>
        </w:tc>
      </w:tr>
      <w:tr w:rsidR="00D15D90" w:rsidRPr="00427AAE" w14:paraId="2EE17193" w14:textId="77777777" w:rsidTr="00012E0D">
        <w:tc>
          <w:tcPr>
            <w:tcW w:w="4673" w:type="dxa"/>
          </w:tcPr>
          <w:p w14:paraId="7158D7E4" w14:textId="77777777" w:rsidR="00D15D90" w:rsidRPr="00427AAE" w:rsidRDefault="00D15D90" w:rsidP="00012E0D">
            <w:pPr>
              <w:rPr>
                <w:rFonts w:ascii="Arial" w:hAnsi="Arial" w:cs="Arial"/>
              </w:rPr>
            </w:pPr>
            <w:r w:rsidRPr="00427AAE">
              <w:rPr>
                <w:rFonts w:ascii="Arial" w:hAnsi="Arial" w:cs="Arial"/>
              </w:rPr>
              <w:t>Capital Grants</w:t>
            </w:r>
          </w:p>
        </w:tc>
        <w:tc>
          <w:tcPr>
            <w:tcW w:w="1417" w:type="dxa"/>
            <w:vAlign w:val="center"/>
          </w:tcPr>
          <w:p w14:paraId="785F3D1C" w14:textId="77777777" w:rsidR="00D15D90" w:rsidRPr="00427AAE" w:rsidRDefault="00D15D90" w:rsidP="00012E0D">
            <w:pPr>
              <w:jc w:val="right"/>
              <w:rPr>
                <w:rFonts w:ascii="Arial" w:hAnsi="Arial" w:cs="Arial"/>
              </w:rPr>
            </w:pPr>
            <w:r w:rsidRPr="00427AAE">
              <w:rPr>
                <w:rFonts w:ascii="Arial" w:hAnsi="Arial" w:cs="Arial"/>
              </w:rPr>
              <w:t>2</w:t>
            </w:r>
            <w:r>
              <w:rPr>
                <w:rFonts w:ascii="Arial" w:hAnsi="Arial" w:cs="Arial"/>
              </w:rPr>
              <w:t>68</w:t>
            </w:r>
            <w:r w:rsidRPr="00427AAE">
              <w:rPr>
                <w:rFonts w:ascii="Arial" w:hAnsi="Arial" w:cs="Arial"/>
              </w:rPr>
              <w:t>,</w:t>
            </w:r>
            <w:r>
              <w:rPr>
                <w:rFonts w:ascii="Arial" w:hAnsi="Arial" w:cs="Arial"/>
              </w:rPr>
              <w:t>7</w:t>
            </w:r>
            <w:r w:rsidRPr="00427AAE">
              <w:rPr>
                <w:rFonts w:ascii="Arial" w:hAnsi="Arial" w:cs="Arial"/>
              </w:rPr>
              <w:t>02</w:t>
            </w:r>
          </w:p>
        </w:tc>
        <w:tc>
          <w:tcPr>
            <w:tcW w:w="1418" w:type="dxa"/>
            <w:vAlign w:val="center"/>
          </w:tcPr>
          <w:p w14:paraId="78B861F7" w14:textId="77777777" w:rsidR="00D15D90" w:rsidRPr="00427AAE" w:rsidRDefault="00D15D90" w:rsidP="00012E0D">
            <w:pPr>
              <w:jc w:val="right"/>
              <w:rPr>
                <w:rFonts w:ascii="Arial" w:hAnsi="Arial" w:cs="Arial"/>
              </w:rPr>
            </w:pPr>
            <w:r w:rsidRPr="00427AAE">
              <w:rPr>
                <w:rFonts w:ascii="Arial" w:hAnsi="Arial" w:cs="Arial"/>
              </w:rPr>
              <w:t>823</w:t>
            </w:r>
          </w:p>
        </w:tc>
        <w:tc>
          <w:tcPr>
            <w:tcW w:w="1418" w:type="dxa"/>
            <w:vAlign w:val="center"/>
          </w:tcPr>
          <w:p w14:paraId="5493383D" w14:textId="77777777" w:rsidR="00D15D90" w:rsidRPr="00427AAE" w:rsidRDefault="00D15D90" w:rsidP="00012E0D">
            <w:pPr>
              <w:jc w:val="right"/>
              <w:rPr>
                <w:rFonts w:ascii="Arial" w:hAnsi="Arial" w:cs="Arial"/>
              </w:rPr>
            </w:pPr>
            <w:r w:rsidRPr="00427AAE">
              <w:rPr>
                <w:rFonts w:ascii="Arial" w:hAnsi="Arial" w:cs="Arial"/>
              </w:rPr>
              <w:t>2</w:t>
            </w:r>
            <w:r>
              <w:rPr>
                <w:rFonts w:ascii="Arial" w:hAnsi="Arial" w:cs="Arial"/>
              </w:rPr>
              <w:t>69</w:t>
            </w:r>
            <w:r w:rsidRPr="00427AAE">
              <w:rPr>
                <w:rFonts w:ascii="Arial" w:hAnsi="Arial" w:cs="Arial"/>
              </w:rPr>
              <w:t>,</w:t>
            </w:r>
            <w:r>
              <w:rPr>
                <w:rFonts w:ascii="Arial" w:hAnsi="Arial" w:cs="Arial"/>
              </w:rPr>
              <w:t>5</w:t>
            </w:r>
            <w:r w:rsidRPr="00427AAE">
              <w:rPr>
                <w:rFonts w:ascii="Arial" w:hAnsi="Arial" w:cs="Arial"/>
              </w:rPr>
              <w:t>25</w:t>
            </w:r>
          </w:p>
        </w:tc>
      </w:tr>
      <w:tr w:rsidR="00D15D90" w:rsidRPr="00427AAE" w14:paraId="4620C0A6" w14:textId="77777777" w:rsidTr="00012E0D">
        <w:tc>
          <w:tcPr>
            <w:tcW w:w="4673" w:type="dxa"/>
          </w:tcPr>
          <w:p w14:paraId="19CEE015" w14:textId="77777777" w:rsidR="00D15D90" w:rsidRPr="00427AAE" w:rsidRDefault="00D15D90" w:rsidP="00012E0D">
            <w:pPr>
              <w:rPr>
                <w:rFonts w:ascii="Arial" w:hAnsi="Arial" w:cs="Arial"/>
              </w:rPr>
            </w:pPr>
            <w:r w:rsidRPr="00427AAE">
              <w:rPr>
                <w:rFonts w:ascii="Arial" w:hAnsi="Arial" w:cs="Arial"/>
              </w:rPr>
              <w:t>Revenue Contribution to Capital Outlay</w:t>
            </w:r>
          </w:p>
        </w:tc>
        <w:tc>
          <w:tcPr>
            <w:tcW w:w="1417" w:type="dxa"/>
            <w:vAlign w:val="center"/>
          </w:tcPr>
          <w:p w14:paraId="30774AA4" w14:textId="77777777" w:rsidR="00D15D90" w:rsidRPr="00427AAE" w:rsidRDefault="00D15D90" w:rsidP="00012E0D">
            <w:pPr>
              <w:jc w:val="right"/>
              <w:rPr>
                <w:rFonts w:ascii="Arial" w:hAnsi="Arial" w:cs="Arial"/>
              </w:rPr>
            </w:pPr>
            <w:r w:rsidRPr="00427AAE">
              <w:rPr>
                <w:rFonts w:ascii="Arial" w:hAnsi="Arial" w:cs="Arial"/>
              </w:rPr>
              <w:t>4,708</w:t>
            </w:r>
          </w:p>
        </w:tc>
        <w:tc>
          <w:tcPr>
            <w:tcW w:w="1418" w:type="dxa"/>
            <w:vAlign w:val="center"/>
          </w:tcPr>
          <w:p w14:paraId="6B773437" w14:textId="77777777" w:rsidR="00D15D90" w:rsidRPr="00427AAE" w:rsidRDefault="00D15D90" w:rsidP="00012E0D">
            <w:pPr>
              <w:jc w:val="right"/>
              <w:rPr>
                <w:rFonts w:ascii="Arial" w:hAnsi="Arial" w:cs="Arial"/>
              </w:rPr>
            </w:pPr>
            <w:r w:rsidRPr="00427AAE">
              <w:rPr>
                <w:rFonts w:ascii="Arial" w:hAnsi="Arial" w:cs="Arial"/>
              </w:rPr>
              <w:t>386</w:t>
            </w:r>
          </w:p>
        </w:tc>
        <w:tc>
          <w:tcPr>
            <w:tcW w:w="1418" w:type="dxa"/>
            <w:vAlign w:val="center"/>
          </w:tcPr>
          <w:p w14:paraId="571B1C7D" w14:textId="77777777" w:rsidR="00D15D90" w:rsidRPr="00427AAE" w:rsidRDefault="00D15D90" w:rsidP="00012E0D">
            <w:pPr>
              <w:jc w:val="right"/>
              <w:rPr>
                <w:rFonts w:ascii="Arial" w:hAnsi="Arial" w:cs="Arial"/>
              </w:rPr>
            </w:pPr>
            <w:r w:rsidRPr="00427AAE">
              <w:rPr>
                <w:rFonts w:ascii="Arial" w:hAnsi="Arial" w:cs="Arial"/>
              </w:rPr>
              <w:t>5,094</w:t>
            </w:r>
          </w:p>
        </w:tc>
      </w:tr>
      <w:tr w:rsidR="00D15D90" w:rsidRPr="00427AAE" w14:paraId="1C2E2FE5" w14:textId="77777777" w:rsidTr="00012E0D">
        <w:tc>
          <w:tcPr>
            <w:tcW w:w="4673" w:type="dxa"/>
          </w:tcPr>
          <w:p w14:paraId="718B86F4" w14:textId="77777777" w:rsidR="00D15D90" w:rsidRPr="00427AAE" w:rsidRDefault="00D15D90" w:rsidP="00012E0D">
            <w:pPr>
              <w:rPr>
                <w:rFonts w:ascii="Arial" w:hAnsi="Arial" w:cs="Arial"/>
              </w:rPr>
            </w:pPr>
            <w:r w:rsidRPr="00427AAE">
              <w:rPr>
                <w:rFonts w:ascii="Arial" w:hAnsi="Arial" w:cs="Arial"/>
              </w:rPr>
              <w:t>Capital Receipts</w:t>
            </w:r>
          </w:p>
        </w:tc>
        <w:tc>
          <w:tcPr>
            <w:tcW w:w="1417" w:type="dxa"/>
            <w:vAlign w:val="center"/>
          </w:tcPr>
          <w:p w14:paraId="10C53900" w14:textId="77777777" w:rsidR="00D15D90" w:rsidRPr="00427AAE" w:rsidRDefault="00D15D90" w:rsidP="00012E0D">
            <w:pPr>
              <w:jc w:val="right"/>
              <w:rPr>
                <w:rFonts w:ascii="Arial" w:hAnsi="Arial" w:cs="Arial"/>
              </w:rPr>
            </w:pPr>
            <w:r w:rsidRPr="00427AAE">
              <w:rPr>
                <w:rFonts w:ascii="Arial" w:hAnsi="Arial" w:cs="Arial"/>
              </w:rPr>
              <w:t>9</w:t>
            </w:r>
            <w:r>
              <w:rPr>
                <w:rFonts w:ascii="Arial" w:hAnsi="Arial" w:cs="Arial"/>
              </w:rPr>
              <w:t>0</w:t>
            </w:r>
            <w:r w:rsidRPr="00427AAE">
              <w:rPr>
                <w:rFonts w:ascii="Arial" w:hAnsi="Arial" w:cs="Arial"/>
              </w:rPr>
              <w:t>,</w:t>
            </w:r>
            <w:r>
              <w:rPr>
                <w:rFonts w:ascii="Arial" w:hAnsi="Arial" w:cs="Arial"/>
              </w:rPr>
              <w:t>943</w:t>
            </w:r>
          </w:p>
        </w:tc>
        <w:tc>
          <w:tcPr>
            <w:tcW w:w="1418" w:type="dxa"/>
            <w:vAlign w:val="center"/>
          </w:tcPr>
          <w:p w14:paraId="7928804D" w14:textId="77777777" w:rsidR="00D15D90" w:rsidRPr="00427AAE" w:rsidRDefault="00D15D90" w:rsidP="00012E0D">
            <w:pPr>
              <w:jc w:val="right"/>
              <w:rPr>
                <w:rFonts w:ascii="Arial" w:hAnsi="Arial" w:cs="Arial"/>
              </w:rPr>
            </w:pPr>
            <w:r w:rsidRPr="00427AAE">
              <w:rPr>
                <w:rFonts w:ascii="Arial" w:hAnsi="Arial" w:cs="Arial"/>
              </w:rPr>
              <w:t>0</w:t>
            </w:r>
          </w:p>
        </w:tc>
        <w:tc>
          <w:tcPr>
            <w:tcW w:w="1418" w:type="dxa"/>
            <w:vAlign w:val="center"/>
          </w:tcPr>
          <w:p w14:paraId="21CEF8DE" w14:textId="77777777" w:rsidR="00D15D90" w:rsidRPr="00427AAE" w:rsidRDefault="00D15D90" w:rsidP="00012E0D">
            <w:pPr>
              <w:jc w:val="right"/>
              <w:rPr>
                <w:rFonts w:ascii="Arial" w:hAnsi="Arial" w:cs="Arial"/>
              </w:rPr>
            </w:pPr>
            <w:r w:rsidRPr="00427AAE">
              <w:rPr>
                <w:rFonts w:ascii="Arial" w:hAnsi="Arial" w:cs="Arial"/>
              </w:rPr>
              <w:t>9</w:t>
            </w:r>
            <w:r>
              <w:rPr>
                <w:rFonts w:ascii="Arial" w:hAnsi="Arial" w:cs="Arial"/>
              </w:rPr>
              <w:t>0</w:t>
            </w:r>
            <w:r w:rsidRPr="00427AAE">
              <w:rPr>
                <w:rFonts w:ascii="Arial" w:hAnsi="Arial" w:cs="Arial"/>
              </w:rPr>
              <w:t>,</w:t>
            </w:r>
            <w:r>
              <w:rPr>
                <w:rFonts w:ascii="Arial" w:hAnsi="Arial" w:cs="Arial"/>
              </w:rPr>
              <w:t>943</w:t>
            </w:r>
          </w:p>
        </w:tc>
      </w:tr>
      <w:tr w:rsidR="00D15D90" w:rsidRPr="00427AAE" w14:paraId="46F732F6" w14:textId="77777777" w:rsidTr="00012E0D">
        <w:tc>
          <w:tcPr>
            <w:tcW w:w="4673" w:type="dxa"/>
          </w:tcPr>
          <w:p w14:paraId="32F03677" w14:textId="77777777" w:rsidR="00D15D90" w:rsidRPr="00427AAE" w:rsidRDefault="00D15D90" w:rsidP="00012E0D">
            <w:pPr>
              <w:rPr>
                <w:rFonts w:ascii="Arial" w:hAnsi="Arial" w:cs="Arial"/>
              </w:rPr>
            </w:pPr>
            <w:r w:rsidRPr="00427AAE">
              <w:rPr>
                <w:rFonts w:ascii="Arial" w:hAnsi="Arial" w:cs="Arial"/>
              </w:rPr>
              <w:t>External Contributions</w:t>
            </w:r>
          </w:p>
        </w:tc>
        <w:tc>
          <w:tcPr>
            <w:tcW w:w="1417" w:type="dxa"/>
            <w:vAlign w:val="center"/>
          </w:tcPr>
          <w:p w14:paraId="446637A4" w14:textId="77777777" w:rsidR="00D15D90" w:rsidRPr="00427AAE" w:rsidRDefault="00D15D90" w:rsidP="00012E0D">
            <w:pPr>
              <w:jc w:val="right"/>
              <w:rPr>
                <w:rFonts w:ascii="Arial" w:hAnsi="Arial" w:cs="Arial"/>
              </w:rPr>
            </w:pPr>
            <w:r w:rsidRPr="00427AAE">
              <w:rPr>
                <w:rFonts w:ascii="Arial" w:hAnsi="Arial" w:cs="Arial"/>
              </w:rPr>
              <w:t>1,55</w:t>
            </w:r>
            <w:r>
              <w:rPr>
                <w:rFonts w:ascii="Arial" w:hAnsi="Arial" w:cs="Arial"/>
              </w:rPr>
              <w:t>7</w:t>
            </w:r>
          </w:p>
        </w:tc>
        <w:tc>
          <w:tcPr>
            <w:tcW w:w="1418" w:type="dxa"/>
            <w:vAlign w:val="center"/>
          </w:tcPr>
          <w:p w14:paraId="20716233" w14:textId="77777777" w:rsidR="00D15D90" w:rsidRPr="00427AAE" w:rsidRDefault="00D15D90" w:rsidP="00012E0D">
            <w:pPr>
              <w:jc w:val="right"/>
              <w:rPr>
                <w:rFonts w:ascii="Arial" w:hAnsi="Arial" w:cs="Arial"/>
              </w:rPr>
            </w:pPr>
            <w:r w:rsidRPr="00427AAE">
              <w:rPr>
                <w:rFonts w:ascii="Arial" w:hAnsi="Arial" w:cs="Arial"/>
              </w:rPr>
              <w:t>0</w:t>
            </w:r>
          </w:p>
        </w:tc>
        <w:tc>
          <w:tcPr>
            <w:tcW w:w="1418" w:type="dxa"/>
            <w:vAlign w:val="center"/>
          </w:tcPr>
          <w:p w14:paraId="38D10D47" w14:textId="77777777" w:rsidR="00D15D90" w:rsidRPr="00427AAE" w:rsidRDefault="00D15D90" w:rsidP="00012E0D">
            <w:pPr>
              <w:jc w:val="right"/>
              <w:rPr>
                <w:rFonts w:ascii="Arial" w:hAnsi="Arial" w:cs="Arial"/>
              </w:rPr>
            </w:pPr>
            <w:r w:rsidRPr="00427AAE">
              <w:rPr>
                <w:rFonts w:ascii="Arial" w:hAnsi="Arial" w:cs="Arial"/>
              </w:rPr>
              <w:t>1,55</w:t>
            </w:r>
            <w:r>
              <w:rPr>
                <w:rFonts w:ascii="Arial" w:hAnsi="Arial" w:cs="Arial"/>
              </w:rPr>
              <w:t>7</w:t>
            </w:r>
          </w:p>
        </w:tc>
      </w:tr>
      <w:tr w:rsidR="00D15D90" w14:paraId="04E1B292" w14:textId="77777777" w:rsidTr="00012E0D">
        <w:tc>
          <w:tcPr>
            <w:tcW w:w="0" w:type="auto"/>
          </w:tcPr>
          <w:p w14:paraId="146ADCDD" w14:textId="77777777" w:rsidR="00D15D90" w:rsidRPr="00F72DDD" w:rsidRDefault="00D15D90" w:rsidP="00012E0D">
            <w:pPr>
              <w:rPr>
                <w:rFonts w:ascii="Arial" w:hAnsi="Arial" w:cs="Arial"/>
              </w:rPr>
            </w:pPr>
            <w:r w:rsidRPr="00F72DDD">
              <w:rPr>
                <w:rFonts w:ascii="Arial" w:hAnsi="Arial" w:cs="Arial"/>
              </w:rPr>
              <w:t>External Contributions TfGM</w:t>
            </w:r>
          </w:p>
        </w:tc>
        <w:tc>
          <w:tcPr>
            <w:tcW w:w="0" w:type="auto"/>
          </w:tcPr>
          <w:p w14:paraId="62A7C76D" w14:textId="77777777" w:rsidR="00D15D90" w:rsidRPr="00F72DDD" w:rsidRDefault="00D15D90" w:rsidP="00012E0D">
            <w:pPr>
              <w:jc w:val="right"/>
              <w:rPr>
                <w:rFonts w:ascii="Arial" w:hAnsi="Arial" w:cs="Arial"/>
              </w:rPr>
            </w:pPr>
            <w:r w:rsidRPr="00F72DDD">
              <w:rPr>
                <w:rFonts w:ascii="Arial" w:hAnsi="Arial" w:cs="Arial"/>
              </w:rPr>
              <w:t>34,428</w:t>
            </w:r>
          </w:p>
        </w:tc>
        <w:tc>
          <w:tcPr>
            <w:tcW w:w="0" w:type="auto"/>
          </w:tcPr>
          <w:p w14:paraId="599A82D4" w14:textId="77777777" w:rsidR="00D15D90" w:rsidRPr="00F72DDD" w:rsidRDefault="00D15D90" w:rsidP="00012E0D">
            <w:pPr>
              <w:jc w:val="right"/>
              <w:rPr>
                <w:rFonts w:ascii="Arial" w:hAnsi="Arial" w:cs="Arial"/>
              </w:rPr>
            </w:pPr>
            <w:r w:rsidRPr="00F72DDD">
              <w:rPr>
                <w:rFonts w:ascii="Arial" w:hAnsi="Arial" w:cs="Arial"/>
              </w:rPr>
              <w:t>0</w:t>
            </w:r>
          </w:p>
        </w:tc>
        <w:tc>
          <w:tcPr>
            <w:tcW w:w="0" w:type="auto"/>
          </w:tcPr>
          <w:p w14:paraId="1799DDE1" w14:textId="77777777" w:rsidR="00D15D90" w:rsidRPr="00F72DDD" w:rsidRDefault="00D15D90" w:rsidP="00012E0D">
            <w:pPr>
              <w:jc w:val="right"/>
              <w:rPr>
                <w:rFonts w:ascii="Arial" w:hAnsi="Arial" w:cs="Arial"/>
              </w:rPr>
            </w:pPr>
            <w:r w:rsidRPr="00F72DDD">
              <w:rPr>
                <w:rFonts w:ascii="Arial" w:hAnsi="Arial" w:cs="Arial"/>
              </w:rPr>
              <w:t>34,428</w:t>
            </w:r>
          </w:p>
        </w:tc>
      </w:tr>
      <w:tr w:rsidR="00D15D90" w:rsidRPr="00E33B99" w14:paraId="5E406FFB" w14:textId="77777777" w:rsidTr="00012E0D">
        <w:tc>
          <w:tcPr>
            <w:tcW w:w="0" w:type="auto"/>
          </w:tcPr>
          <w:p w14:paraId="618C367F" w14:textId="77777777" w:rsidR="00D15D90" w:rsidRPr="00F72DDD" w:rsidRDefault="00D15D90" w:rsidP="00012E0D">
            <w:pPr>
              <w:rPr>
                <w:rFonts w:ascii="Arial" w:hAnsi="Arial" w:cs="Arial"/>
                <w:b/>
                <w:bCs/>
              </w:rPr>
            </w:pPr>
            <w:r w:rsidRPr="00F72DDD">
              <w:rPr>
                <w:rFonts w:ascii="Arial" w:hAnsi="Arial" w:cs="Arial"/>
                <w:b/>
                <w:bCs/>
              </w:rPr>
              <w:t>Total Funding</w:t>
            </w:r>
          </w:p>
        </w:tc>
        <w:tc>
          <w:tcPr>
            <w:tcW w:w="0" w:type="auto"/>
          </w:tcPr>
          <w:p w14:paraId="5B138D76" w14:textId="77777777" w:rsidR="00D15D90" w:rsidRPr="00F72DDD" w:rsidRDefault="00D15D90" w:rsidP="00012E0D">
            <w:pPr>
              <w:jc w:val="right"/>
              <w:rPr>
                <w:rFonts w:ascii="Arial" w:hAnsi="Arial" w:cs="Arial"/>
                <w:b/>
                <w:bCs/>
              </w:rPr>
            </w:pPr>
            <w:r w:rsidRPr="00F72DDD">
              <w:rPr>
                <w:rFonts w:ascii="Arial" w:hAnsi="Arial" w:cs="Arial"/>
                <w:b/>
                <w:bCs/>
              </w:rPr>
              <w:t>541,064</w:t>
            </w:r>
          </w:p>
        </w:tc>
        <w:tc>
          <w:tcPr>
            <w:tcW w:w="0" w:type="auto"/>
          </w:tcPr>
          <w:p w14:paraId="1826D437" w14:textId="77777777" w:rsidR="00D15D90" w:rsidRPr="00F72DDD" w:rsidRDefault="00D15D90" w:rsidP="00012E0D">
            <w:pPr>
              <w:jc w:val="right"/>
              <w:rPr>
                <w:rFonts w:ascii="Arial" w:hAnsi="Arial" w:cs="Arial"/>
                <w:b/>
                <w:bCs/>
              </w:rPr>
            </w:pPr>
            <w:r w:rsidRPr="00F72DDD">
              <w:rPr>
                <w:rFonts w:ascii="Arial" w:hAnsi="Arial" w:cs="Arial"/>
                <w:b/>
                <w:bCs/>
              </w:rPr>
              <w:t>25,254</w:t>
            </w:r>
          </w:p>
        </w:tc>
        <w:tc>
          <w:tcPr>
            <w:tcW w:w="0" w:type="auto"/>
          </w:tcPr>
          <w:p w14:paraId="24A80E7C" w14:textId="77777777" w:rsidR="00D15D90" w:rsidRPr="00F72DDD" w:rsidRDefault="00D15D90" w:rsidP="00012E0D">
            <w:pPr>
              <w:jc w:val="right"/>
              <w:rPr>
                <w:rFonts w:ascii="Arial" w:hAnsi="Arial" w:cs="Arial"/>
                <w:b/>
                <w:bCs/>
              </w:rPr>
            </w:pPr>
            <w:r w:rsidRPr="00F72DDD">
              <w:rPr>
                <w:rFonts w:ascii="Arial" w:hAnsi="Arial" w:cs="Arial"/>
                <w:b/>
                <w:bCs/>
              </w:rPr>
              <w:t>566,318</w:t>
            </w:r>
          </w:p>
        </w:tc>
      </w:tr>
    </w:tbl>
    <w:p w14:paraId="6914CE37" w14:textId="77777777" w:rsidR="00D15D90" w:rsidRPr="00A67FAE" w:rsidRDefault="00D15D90" w:rsidP="00D15D90">
      <w:pPr>
        <w:spacing w:line="360" w:lineRule="auto"/>
        <w:rPr>
          <w:rFonts w:ascii="Arial" w:hAnsi="Arial" w:cs="Arial"/>
          <w:highlight w:val="green"/>
        </w:rPr>
      </w:pPr>
    </w:p>
    <w:p w14:paraId="5E38129C" w14:textId="77777777" w:rsidR="00D15D90" w:rsidRPr="00A67FAE" w:rsidRDefault="00D15D90" w:rsidP="00D15D90">
      <w:pPr>
        <w:pStyle w:val="ListParagraph"/>
        <w:spacing w:line="360" w:lineRule="auto"/>
        <w:ind w:left="0"/>
        <w:jc w:val="both"/>
        <w:rPr>
          <w:rFonts w:ascii="Arial" w:hAnsi="Arial" w:cs="Arial"/>
          <w:sz w:val="24"/>
          <w:szCs w:val="24"/>
          <w:highlight w:val="green"/>
          <w:lang w:eastAsia="en-US"/>
        </w:rPr>
      </w:pPr>
    </w:p>
    <w:p w14:paraId="282EC377" w14:textId="77777777" w:rsidR="00D15D90" w:rsidRPr="00427AAE" w:rsidRDefault="00D15D90" w:rsidP="00D15D90">
      <w:pPr>
        <w:pStyle w:val="ListParagraph"/>
        <w:spacing w:after="0" w:line="360" w:lineRule="auto"/>
        <w:ind w:left="0"/>
        <w:jc w:val="both"/>
        <w:rPr>
          <w:rFonts w:ascii="Arial" w:hAnsi="Arial" w:cs="Arial"/>
          <w:snapToGrid w:val="0"/>
          <w:sz w:val="24"/>
          <w:u w:val="single"/>
        </w:rPr>
      </w:pPr>
      <w:bookmarkStart w:id="17" w:name="_Hlk140011029"/>
      <w:r w:rsidRPr="00427AAE">
        <w:rPr>
          <w:rFonts w:ascii="Arial" w:hAnsi="Arial" w:cs="Arial"/>
          <w:snapToGrid w:val="0"/>
          <w:sz w:val="24"/>
          <w:u w:val="single"/>
        </w:rPr>
        <w:t>Greater Manchester Investment Strategy</w:t>
      </w:r>
    </w:p>
    <w:p w14:paraId="250D6913" w14:textId="77777777" w:rsidR="00D15D90" w:rsidRPr="00B61013" w:rsidRDefault="00D15D90" w:rsidP="00D15D90">
      <w:pPr>
        <w:pStyle w:val="ListParagraph"/>
        <w:spacing w:after="0" w:line="360" w:lineRule="auto"/>
        <w:ind w:left="0"/>
        <w:jc w:val="both"/>
        <w:rPr>
          <w:rFonts w:ascii="Arial" w:hAnsi="Arial" w:cs="Arial"/>
          <w:snapToGrid w:val="0"/>
          <w:sz w:val="24"/>
          <w:szCs w:val="24"/>
          <w:u w:val="single"/>
        </w:rPr>
      </w:pPr>
    </w:p>
    <w:p w14:paraId="0E84C443" w14:textId="77777777" w:rsidR="00D15D90" w:rsidRPr="00B61013" w:rsidRDefault="00D15D90" w:rsidP="00D15D90">
      <w:pPr>
        <w:keepNext/>
        <w:spacing w:line="360" w:lineRule="auto"/>
        <w:rPr>
          <w:rFonts w:ascii="Arial" w:hAnsi="Arial" w:cs="Arial"/>
          <w:b/>
          <w:bCs/>
        </w:rPr>
      </w:pPr>
      <w:r w:rsidRPr="00B61013">
        <w:rPr>
          <w:rFonts w:ascii="Arial" w:hAnsi="Arial" w:cs="Arial"/>
        </w:rPr>
        <w:t>In 2023/24 the Greater Manchester Investment Strategy continued to support regeneration and job creation in the region through targeted investment that reflects the strengths and opportunities in the local economy. The investment strategy was based on sustainably generating returns that can be recycled and reinvested so as existing loans and investments are repaid, they can be reinvested in new projects.</w:t>
      </w:r>
      <w:r w:rsidRPr="00B61013">
        <w:rPr>
          <w:rFonts w:ascii="Arial" w:hAnsi="Arial" w:cs="Arial"/>
          <w:b/>
          <w:bCs/>
        </w:rPr>
        <w:t xml:space="preserve"> </w:t>
      </w:r>
      <w:r w:rsidRPr="00B61013">
        <w:rPr>
          <w:rFonts w:ascii="Arial" w:hAnsi="Arial" w:cs="Arial"/>
          <w:bdr w:val="none" w:sz="0" w:space="0" w:color="auto" w:frame="1"/>
          <w:lang w:eastAsia="en-GB"/>
        </w:rPr>
        <w:t>Investment funds are used as a lever to deliver the strategy and focus on our strategic priorities in business, housing and commercial property. The main elements of the funds are:</w:t>
      </w:r>
    </w:p>
    <w:p w14:paraId="166A0753" w14:textId="77777777" w:rsidR="00D15D90" w:rsidRPr="00B61013" w:rsidRDefault="00D15D90" w:rsidP="00D15D90">
      <w:pPr>
        <w:spacing w:line="360" w:lineRule="auto"/>
      </w:pPr>
    </w:p>
    <w:p w14:paraId="7CA7AB7A" w14:textId="77777777" w:rsidR="00D15D90" w:rsidRPr="00B61013" w:rsidRDefault="00D15D90" w:rsidP="00D15D90">
      <w:pPr>
        <w:pStyle w:val="ListParagraph"/>
        <w:numPr>
          <w:ilvl w:val="0"/>
          <w:numId w:val="75"/>
        </w:numPr>
        <w:spacing w:after="0" w:line="360" w:lineRule="auto"/>
        <w:ind w:left="426" w:hanging="426"/>
        <w:textAlignment w:val="baseline"/>
        <w:rPr>
          <w:rFonts w:cs="Calibri"/>
          <w:i/>
          <w:iCs/>
          <w:sz w:val="24"/>
          <w:szCs w:val="24"/>
        </w:rPr>
      </w:pPr>
      <w:r w:rsidRPr="00B61013">
        <w:rPr>
          <w:rFonts w:ascii="Arial" w:hAnsi="Arial" w:cs="Arial"/>
          <w:i/>
          <w:iCs/>
          <w:sz w:val="24"/>
          <w:szCs w:val="24"/>
        </w:rPr>
        <w:t xml:space="preserve">The Greater Manchester Housing Investment Loans Fund (HILF): </w:t>
      </w:r>
    </w:p>
    <w:p w14:paraId="476A6D97" w14:textId="77777777" w:rsidR="00D15D90" w:rsidRPr="00B61013" w:rsidRDefault="00D15D90" w:rsidP="00D15D90">
      <w:pPr>
        <w:pStyle w:val="ListParagraph"/>
        <w:spacing w:after="0" w:line="360" w:lineRule="auto"/>
        <w:ind w:left="426"/>
        <w:textAlignment w:val="baseline"/>
        <w:rPr>
          <w:rFonts w:ascii="Arial" w:hAnsi="Arial" w:cs="Arial"/>
          <w:sz w:val="24"/>
          <w:szCs w:val="24"/>
        </w:rPr>
      </w:pPr>
      <w:r w:rsidRPr="00B61013">
        <w:rPr>
          <w:rFonts w:ascii="Arial" w:hAnsi="Arial" w:cs="Arial"/>
          <w:sz w:val="24"/>
          <w:szCs w:val="24"/>
        </w:rPr>
        <w:t>HILF aims to unlock the delivery of at least 10,000 homes over the 10-year life of the fund providing the high quality housing offer needed to support the region’s economic growth. In 2018/19 HIF novated from Manchester City Council to the GMCA. As existing investments made by the Fund are repaid the monies are available for reinvestment by the Fund and at the time of writing there have been no defaults.</w:t>
      </w:r>
    </w:p>
    <w:p w14:paraId="58FB26E0" w14:textId="77777777" w:rsidR="00D15D90" w:rsidRPr="00B61013" w:rsidRDefault="00D15D90" w:rsidP="00D15D90">
      <w:pPr>
        <w:pStyle w:val="ListParagraph"/>
        <w:spacing w:after="0" w:line="360" w:lineRule="auto"/>
        <w:ind w:left="426" w:hanging="568"/>
        <w:textAlignment w:val="baseline"/>
        <w:rPr>
          <w:rFonts w:ascii="Arial" w:hAnsi="Arial" w:cs="Arial"/>
          <w:sz w:val="24"/>
          <w:szCs w:val="24"/>
        </w:rPr>
      </w:pPr>
    </w:p>
    <w:p w14:paraId="360F443B" w14:textId="77777777" w:rsidR="00D15D90" w:rsidRPr="00B61013" w:rsidRDefault="00D15D90" w:rsidP="00D15D90">
      <w:pPr>
        <w:pStyle w:val="ListParagraph"/>
        <w:numPr>
          <w:ilvl w:val="0"/>
          <w:numId w:val="75"/>
        </w:numPr>
        <w:spacing w:after="0" w:line="360" w:lineRule="auto"/>
        <w:ind w:left="426" w:hanging="426"/>
        <w:textAlignment w:val="baseline"/>
        <w:rPr>
          <w:rFonts w:cs="Calibri"/>
          <w:i/>
          <w:iCs/>
          <w:sz w:val="24"/>
          <w:szCs w:val="24"/>
        </w:rPr>
      </w:pPr>
      <w:r w:rsidRPr="00B61013">
        <w:rPr>
          <w:rFonts w:ascii="Arial" w:hAnsi="Arial" w:cs="Arial"/>
          <w:i/>
          <w:iCs/>
          <w:sz w:val="24"/>
          <w:szCs w:val="24"/>
        </w:rPr>
        <w:t xml:space="preserve">City Deal Receipts: </w:t>
      </w:r>
    </w:p>
    <w:p w14:paraId="02B951A5" w14:textId="77777777" w:rsidR="00D15D90" w:rsidRPr="00B61013" w:rsidRDefault="00D15D90" w:rsidP="00D15D90">
      <w:pPr>
        <w:pStyle w:val="ListParagraph"/>
        <w:spacing w:after="0" w:line="360" w:lineRule="auto"/>
        <w:ind w:left="426"/>
        <w:textAlignment w:val="baseline"/>
        <w:rPr>
          <w:rFonts w:ascii="Arial" w:hAnsi="Arial" w:cs="Arial"/>
          <w:sz w:val="24"/>
          <w:szCs w:val="24"/>
        </w:rPr>
      </w:pPr>
      <w:r w:rsidRPr="00B61013">
        <w:rPr>
          <w:rFonts w:ascii="Arial" w:hAnsi="Arial" w:cs="Arial"/>
          <w:sz w:val="24"/>
          <w:szCs w:val="24"/>
        </w:rPr>
        <w:t>In 2015 it was agreed that receipts realised by Homes England from the disposal of its land and property within Greater Manchester would be provided to GMCA to invest in support of the housing and regeneration objectives set out in the 2012 Greater Manchester City Deal.</w:t>
      </w:r>
    </w:p>
    <w:p w14:paraId="1A7DE1FD" w14:textId="77777777" w:rsidR="00D15D90" w:rsidRDefault="00D15D90" w:rsidP="00D15D90">
      <w:pPr>
        <w:pStyle w:val="ListParagraph"/>
        <w:spacing w:after="0" w:line="360" w:lineRule="auto"/>
        <w:ind w:left="426"/>
        <w:textAlignment w:val="baseline"/>
        <w:rPr>
          <w:rFonts w:ascii="Arial" w:hAnsi="Arial" w:cs="Arial"/>
          <w:sz w:val="24"/>
          <w:szCs w:val="24"/>
        </w:rPr>
      </w:pPr>
    </w:p>
    <w:p w14:paraId="5F70791A" w14:textId="77777777" w:rsidR="00A63D82" w:rsidRDefault="00A63D82" w:rsidP="00D15D90">
      <w:pPr>
        <w:pStyle w:val="ListParagraph"/>
        <w:spacing w:after="0" w:line="360" w:lineRule="auto"/>
        <w:ind w:left="426"/>
        <w:textAlignment w:val="baseline"/>
        <w:rPr>
          <w:rFonts w:ascii="Arial" w:hAnsi="Arial" w:cs="Arial"/>
          <w:sz w:val="24"/>
          <w:szCs w:val="24"/>
        </w:rPr>
      </w:pPr>
    </w:p>
    <w:p w14:paraId="30F96ED7" w14:textId="77777777" w:rsidR="00A63D82" w:rsidRPr="00B61013" w:rsidRDefault="00A63D82" w:rsidP="00D15D90">
      <w:pPr>
        <w:pStyle w:val="ListParagraph"/>
        <w:spacing w:after="0" w:line="360" w:lineRule="auto"/>
        <w:ind w:left="426"/>
        <w:textAlignment w:val="baseline"/>
        <w:rPr>
          <w:rFonts w:ascii="Arial" w:hAnsi="Arial" w:cs="Arial"/>
          <w:sz w:val="24"/>
          <w:szCs w:val="24"/>
        </w:rPr>
      </w:pPr>
    </w:p>
    <w:p w14:paraId="6A535F7B" w14:textId="77777777" w:rsidR="00D15D90" w:rsidRPr="00B61013" w:rsidRDefault="00D15D90" w:rsidP="00D15D90">
      <w:pPr>
        <w:pStyle w:val="ListParagraph"/>
        <w:numPr>
          <w:ilvl w:val="0"/>
          <w:numId w:val="75"/>
        </w:numPr>
        <w:spacing w:after="0" w:line="360" w:lineRule="auto"/>
        <w:ind w:left="426" w:hanging="426"/>
        <w:textAlignment w:val="baseline"/>
        <w:rPr>
          <w:rFonts w:cs="Calibri"/>
          <w:i/>
          <w:iCs/>
          <w:sz w:val="24"/>
          <w:szCs w:val="24"/>
        </w:rPr>
      </w:pPr>
      <w:r w:rsidRPr="00B61013">
        <w:rPr>
          <w:rFonts w:ascii="Arial" w:hAnsi="Arial" w:cs="Arial"/>
          <w:i/>
          <w:iCs/>
          <w:sz w:val="24"/>
          <w:szCs w:val="24"/>
        </w:rPr>
        <w:lastRenderedPageBreak/>
        <w:t xml:space="preserve">The Core Recycled Funds: </w:t>
      </w:r>
    </w:p>
    <w:p w14:paraId="1B82E7D9" w14:textId="77777777" w:rsidR="00D15D90" w:rsidRPr="00B61013" w:rsidRDefault="00D15D90" w:rsidP="00D15D90">
      <w:pPr>
        <w:spacing w:line="360" w:lineRule="auto"/>
        <w:ind w:left="426"/>
        <w:textAlignment w:val="baseline"/>
        <w:rPr>
          <w:rFonts w:ascii="Arial" w:hAnsi="Arial" w:cs="Arial"/>
        </w:rPr>
      </w:pPr>
      <w:r w:rsidRPr="00B61013">
        <w:rPr>
          <w:rFonts w:ascii="Arial" w:hAnsi="Arial" w:cs="Arial"/>
        </w:rPr>
        <w:t xml:space="preserve">The Core Recycled Funds originated from Regional Growth Fund (RGF) and Growing Places Fund (GPF) monies which have been recycled and are now reinvested into businesses and commercial property. As part of this overarching programme, the funds offered investments at commercial rates to businesses and organisations to fund schemes that boost local employment, improve skills and contribute to the region's economic growth. </w:t>
      </w:r>
      <w:r w:rsidRPr="00B61013">
        <w:rPr>
          <w:rFonts w:ascii="Arial" w:hAnsi="Arial" w:cs="Arial"/>
          <w:lang w:eastAsia="en-GB"/>
        </w:rPr>
        <w:t xml:space="preserve">Funds that have been provided to businesses have been used to support a market gap for finance and therefore, given the nature of the portfolio, defaults are expected. Provisions have been made to estimate the risk, in accordance with International Financial Reporting Standards - IFRS 9. </w:t>
      </w:r>
    </w:p>
    <w:p w14:paraId="08053478" w14:textId="77777777" w:rsidR="00D15D90" w:rsidRPr="00B61013" w:rsidRDefault="00D15D90" w:rsidP="00D15D90">
      <w:pPr>
        <w:spacing w:line="360" w:lineRule="auto"/>
        <w:ind w:left="426"/>
        <w:textAlignment w:val="baseline"/>
        <w:rPr>
          <w:lang w:eastAsia="en-GB"/>
        </w:rPr>
      </w:pPr>
    </w:p>
    <w:p w14:paraId="4ABAA1C1" w14:textId="77777777" w:rsidR="00D15D90" w:rsidRPr="00B61013" w:rsidRDefault="00D15D90" w:rsidP="00D15D90">
      <w:pPr>
        <w:pStyle w:val="ListParagraph"/>
        <w:numPr>
          <w:ilvl w:val="0"/>
          <w:numId w:val="75"/>
        </w:numPr>
        <w:spacing w:after="0" w:line="360" w:lineRule="auto"/>
        <w:ind w:left="426" w:hanging="426"/>
        <w:textAlignment w:val="baseline"/>
        <w:rPr>
          <w:rFonts w:ascii="Times New Roman" w:hAnsi="Times New Roman"/>
          <w:sz w:val="24"/>
          <w:szCs w:val="24"/>
        </w:rPr>
      </w:pPr>
      <w:r w:rsidRPr="00B61013">
        <w:rPr>
          <w:rFonts w:ascii="Arial" w:hAnsi="Arial" w:cs="Arial"/>
          <w:i/>
          <w:iCs/>
          <w:sz w:val="24"/>
          <w:szCs w:val="24"/>
        </w:rPr>
        <w:t>Commercial property funds:</w:t>
      </w:r>
      <w:r w:rsidRPr="00B61013">
        <w:rPr>
          <w:rFonts w:ascii="Arial" w:hAnsi="Arial" w:cs="Arial"/>
          <w:sz w:val="24"/>
          <w:szCs w:val="24"/>
        </w:rPr>
        <w:t xml:space="preserve"> </w:t>
      </w:r>
    </w:p>
    <w:p w14:paraId="74DC51DC" w14:textId="77777777" w:rsidR="00D15D90" w:rsidRPr="00B61013" w:rsidRDefault="00D15D90" w:rsidP="00D15D90">
      <w:pPr>
        <w:spacing w:line="360" w:lineRule="auto"/>
        <w:ind w:left="426"/>
        <w:textAlignment w:val="baseline"/>
        <w:rPr>
          <w:rFonts w:ascii="Arial" w:hAnsi="Arial" w:cs="Arial"/>
          <w:lang w:eastAsia="en-GB"/>
        </w:rPr>
      </w:pPr>
      <w:r w:rsidRPr="00B61013">
        <w:rPr>
          <w:rFonts w:ascii="Arial" w:hAnsi="Arial" w:cs="Arial"/>
          <w:lang w:eastAsia="en-GB"/>
        </w:rPr>
        <w:t xml:space="preserve">The dedicated commercial property funds are managed by CBRE Ltd on behalf of the Authority and have supported the development of commercial floor space and the redevelopment of Brownfield land. </w:t>
      </w:r>
    </w:p>
    <w:p w14:paraId="433D6294" w14:textId="77777777" w:rsidR="00D15D90" w:rsidRPr="00B61013" w:rsidRDefault="00D15D90" w:rsidP="00D15D90">
      <w:pPr>
        <w:spacing w:line="360" w:lineRule="auto"/>
        <w:ind w:left="426"/>
        <w:textAlignment w:val="baseline"/>
        <w:rPr>
          <w:lang w:eastAsia="en-GB"/>
        </w:rPr>
      </w:pPr>
    </w:p>
    <w:p w14:paraId="24FB92C5" w14:textId="77777777" w:rsidR="00D15D90" w:rsidRPr="00B61013" w:rsidRDefault="00D15D90" w:rsidP="00D15D90">
      <w:pPr>
        <w:pStyle w:val="ListParagraph"/>
        <w:numPr>
          <w:ilvl w:val="0"/>
          <w:numId w:val="75"/>
        </w:numPr>
        <w:spacing w:after="0" w:line="360" w:lineRule="auto"/>
        <w:ind w:left="426" w:hanging="426"/>
        <w:textAlignment w:val="baseline"/>
        <w:rPr>
          <w:rFonts w:ascii="Arial" w:hAnsi="Arial" w:cs="Arial"/>
          <w:sz w:val="24"/>
          <w:szCs w:val="24"/>
        </w:rPr>
      </w:pPr>
      <w:r w:rsidRPr="00B61013">
        <w:rPr>
          <w:rFonts w:ascii="Arial" w:hAnsi="Arial" w:cs="Arial"/>
          <w:i/>
          <w:iCs/>
          <w:sz w:val="24"/>
          <w:szCs w:val="24"/>
        </w:rPr>
        <w:t>Life Sciences Fund</w:t>
      </w:r>
      <w:r w:rsidRPr="00B61013">
        <w:rPr>
          <w:rFonts w:ascii="Arial" w:hAnsi="Arial" w:cs="Arial"/>
          <w:sz w:val="24"/>
          <w:szCs w:val="24"/>
        </w:rPr>
        <w:t xml:space="preserve">: </w:t>
      </w:r>
    </w:p>
    <w:p w14:paraId="623A6296" w14:textId="77777777" w:rsidR="00D15D90" w:rsidRPr="00B61013" w:rsidRDefault="00D15D90" w:rsidP="00D15D90">
      <w:pPr>
        <w:spacing w:line="360" w:lineRule="auto"/>
        <w:ind w:left="426"/>
        <w:textAlignment w:val="baseline"/>
        <w:rPr>
          <w:rFonts w:ascii="Arial" w:hAnsi="Arial" w:cs="Arial"/>
          <w:lang w:eastAsia="en-GB"/>
        </w:rPr>
      </w:pPr>
      <w:r w:rsidRPr="00B61013">
        <w:rPr>
          <w:rFonts w:ascii="Arial" w:hAnsi="Arial" w:cs="Arial"/>
          <w:lang w:eastAsia="en-GB"/>
        </w:rPr>
        <w:t>The first £30m Life Sciences Fund was established in 2016 in partnership with Cheshire East Council, Cheshire and Warrington Local Enterprise Partnership (LEP) and Bruntwood to further develop the Alderley Park site and support life sciences businesses across the city region. The first fund is managed by Catapult Ventures. A second £20m fund was established in 2022 in partnership with Cheshire and Warrington LEP and Bruntwood, this fund is managed by Praetura Ventures.</w:t>
      </w:r>
    </w:p>
    <w:p w14:paraId="74E4F838" w14:textId="77777777" w:rsidR="00D15D90" w:rsidRPr="00B61013" w:rsidRDefault="00D15D90" w:rsidP="00D15D90">
      <w:pPr>
        <w:spacing w:line="360" w:lineRule="auto"/>
        <w:ind w:left="426"/>
        <w:textAlignment w:val="baseline"/>
        <w:rPr>
          <w:rFonts w:ascii="Arial" w:hAnsi="Arial" w:cs="Arial"/>
          <w:lang w:eastAsia="en-GB"/>
        </w:rPr>
      </w:pPr>
    </w:p>
    <w:p w14:paraId="0F13737C" w14:textId="77777777" w:rsidR="00D15D90" w:rsidRPr="00B61013" w:rsidRDefault="00D15D90" w:rsidP="00D15D90">
      <w:pPr>
        <w:pStyle w:val="ListParagraph"/>
        <w:numPr>
          <w:ilvl w:val="0"/>
          <w:numId w:val="75"/>
        </w:numPr>
        <w:spacing w:after="0" w:line="360" w:lineRule="auto"/>
        <w:ind w:left="426" w:hanging="426"/>
        <w:textAlignment w:val="baseline"/>
        <w:rPr>
          <w:rFonts w:ascii="Arial" w:hAnsi="Arial" w:cs="Arial"/>
          <w:sz w:val="24"/>
          <w:szCs w:val="24"/>
        </w:rPr>
      </w:pPr>
      <w:r w:rsidRPr="00B61013">
        <w:rPr>
          <w:rFonts w:ascii="Arial" w:hAnsi="Arial" w:cs="Arial"/>
          <w:i/>
          <w:iCs/>
          <w:sz w:val="24"/>
          <w:szCs w:val="24"/>
        </w:rPr>
        <w:t>Low Carbon Fund:</w:t>
      </w:r>
      <w:r w:rsidRPr="00B61013">
        <w:rPr>
          <w:rFonts w:ascii="Arial" w:hAnsi="Arial" w:cs="Arial"/>
          <w:sz w:val="24"/>
          <w:szCs w:val="24"/>
        </w:rPr>
        <w:t xml:space="preserve"> The £15m Low Carbon Fund is managed by CBRE Ltd on behalf of the GMCA. The Fund has provided development finance for energy efficient new building stock and will continue to recycle funding to deliver carbon reduction in the region.</w:t>
      </w:r>
    </w:p>
    <w:bookmarkEnd w:id="17"/>
    <w:p w14:paraId="78420854" w14:textId="77777777" w:rsidR="00D15D90" w:rsidRDefault="00D15D90" w:rsidP="00D15D90">
      <w:pPr>
        <w:spacing w:line="360" w:lineRule="auto"/>
        <w:rPr>
          <w:rFonts w:ascii="Arial" w:hAnsi="Arial" w:cs="Arial"/>
          <w:b/>
          <w:bCs/>
          <w:highlight w:val="yellow"/>
        </w:rPr>
      </w:pPr>
    </w:p>
    <w:p w14:paraId="573A9F8D" w14:textId="77777777" w:rsidR="00A63D82" w:rsidRDefault="00A63D82" w:rsidP="00D15D90">
      <w:pPr>
        <w:spacing w:line="360" w:lineRule="auto"/>
        <w:rPr>
          <w:rFonts w:ascii="Arial" w:hAnsi="Arial" w:cs="Arial"/>
          <w:b/>
          <w:bCs/>
          <w:highlight w:val="yellow"/>
        </w:rPr>
      </w:pPr>
    </w:p>
    <w:p w14:paraId="67D6B4B0" w14:textId="77777777" w:rsidR="00A63D82" w:rsidRDefault="00A63D82" w:rsidP="00D15D90">
      <w:pPr>
        <w:spacing w:line="360" w:lineRule="auto"/>
        <w:rPr>
          <w:rFonts w:ascii="Arial" w:hAnsi="Arial" w:cs="Arial"/>
          <w:b/>
          <w:bCs/>
          <w:highlight w:val="yellow"/>
        </w:rPr>
      </w:pPr>
    </w:p>
    <w:p w14:paraId="254B7F72" w14:textId="77777777" w:rsidR="00A63D82" w:rsidRDefault="00A63D82" w:rsidP="00D15D90">
      <w:pPr>
        <w:spacing w:line="360" w:lineRule="auto"/>
        <w:rPr>
          <w:rFonts w:ascii="Arial" w:hAnsi="Arial" w:cs="Arial"/>
          <w:b/>
          <w:bCs/>
          <w:highlight w:val="yellow"/>
        </w:rPr>
      </w:pPr>
    </w:p>
    <w:p w14:paraId="27BD0FDD" w14:textId="77777777" w:rsidR="00A63D82" w:rsidRPr="00B15622" w:rsidRDefault="00A63D82" w:rsidP="00D15D90">
      <w:pPr>
        <w:spacing w:line="360" w:lineRule="auto"/>
        <w:rPr>
          <w:rFonts w:ascii="Arial" w:hAnsi="Arial" w:cs="Arial"/>
          <w:b/>
          <w:bCs/>
          <w:highlight w:val="yellow"/>
        </w:rPr>
      </w:pPr>
    </w:p>
    <w:p w14:paraId="184665C5" w14:textId="77777777" w:rsidR="00D15D90" w:rsidRPr="004A5A2D" w:rsidRDefault="00D15D90" w:rsidP="00D15D90">
      <w:pPr>
        <w:spacing w:line="360" w:lineRule="auto"/>
        <w:jc w:val="both"/>
        <w:rPr>
          <w:rFonts w:ascii="Arial" w:hAnsi="Arial" w:cs="Arial"/>
          <w:b/>
          <w:bCs/>
        </w:rPr>
      </w:pPr>
      <w:r w:rsidRPr="004A5A2D">
        <w:rPr>
          <w:rFonts w:ascii="Arial" w:hAnsi="Arial" w:cs="Arial"/>
          <w:b/>
          <w:bCs/>
        </w:rPr>
        <w:lastRenderedPageBreak/>
        <w:t>GMCA General – Economic, Development and Regeneration</w:t>
      </w:r>
    </w:p>
    <w:p w14:paraId="5FBAF5BB" w14:textId="77777777" w:rsidR="00D15D90" w:rsidRPr="00B15622" w:rsidRDefault="00D15D90" w:rsidP="00D15D90">
      <w:pPr>
        <w:spacing w:line="360" w:lineRule="auto"/>
        <w:jc w:val="both"/>
        <w:rPr>
          <w:rFonts w:ascii="Arial" w:hAnsi="Arial" w:cs="Arial"/>
          <w:b/>
          <w:bCs/>
          <w:highlight w:val="yellow"/>
        </w:rPr>
      </w:pPr>
    </w:p>
    <w:p w14:paraId="2271E57F" w14:textId="77777777" w:rsidR="00D15D90" w:rsidRPr="00B15622" w:rsidRDefault="00D15D90" w:rsidP="00D15D90">
      <w:pPr>
        <w:tabs>
          <w:tab w:val="left" w:pos="142"/>
        </w:tabs>
        <w:spacing w:line="360" w:lineRule="auto"/>
        <w:rPr>
          <w:rFonts w:ascii="Arial" w:hAnsi="Arial" w:cs="Arial"/>
          <w:snapToGrid w:val="0"/>
          <w:highlight w:val="yellow"/>
        </w:rPr>
      </w:pPr>
      <w:r w:rsidRPr="00C5715B">
        <w:rPr>
          <w:rFonts w:ascii="Arial" w:hAnsi="Arial" w:cs="Arial"/>
          <w:snapToGrid w:val="0"/>
        </w:rPr>
        <w:t xml:space="preserve">The GMCA General budget includes corporate services and </w:t>
      </w:r>
      <w:r w:rsidRPr="00C5715B">
        <w:rPr>
          <w:rFonts w:ascii="Arial" w:hAnsi="Arial" w:cs="Arial"/>
        </w:rPr>
        <w:t>economic, development and regeneration</w:t>
      </w:r>
      <w:r w:rsidRPr="00C5715B">
        <w:rPr>
          <w:rFonts w:ascii="Arial" w:hAnsi="Arial" w:cs="Arial"/>
          <w:snapToGrid w:val="0"/>
        </w:rPr>
        <w:t xml:space="preserve"> functions.  The original budget approved in February 202</w:t>
      </w:r>
      <w:r>
        <w:rPr>
          <w:rFonts w:ascii="Arial" w:hAnsi="Arial" w:cs="Arial"/>
          <w:snapToGrid w:val="0"/>
        </w:rPr>
        <w:t>3</w:t>
      </w:r>
      <w:r w:rsidRPr="00C5715B">
        <w:rPr>
          <w:rFonts w:ascii="Arial" w:hAnsi="Arial" w:cs="Arial"/>
          <w:snapToGrid w:val="0"/>
        </w:rPr>
        <w:t xml:space="preserve"> was </w:t>
      </w:r>
      <w:r w:rsidRPr="00152794">
        <w:rPr>
          <w:rFonts w:ascii="Arial" w:hAnsi="Arial" w:cs="Arial"/>
          <w:snapToGrid w:val="0"/>
        </w:rPr>
        <w:t xml:space="preserve">£245.6m. </w:t>
      </w:r>
      <w:r w:rsidRPr="00C5715B">
        <w:rPr>
          <w:rFonts w:ascii="Arial" w:hAnsi="Arial" w:cs="Arial"/>
          <w:snapToGrid w:val="0"/>
        </w:rPr>
        <w:t xml:space="preserve">Throughout the financial year as part of the quarterly update reports the budget has been revised to reflect changes </w:t>
      </w:r>
      <w:r w:rsidRPr="003312E3">
        <w:rPr>
          <w:rFonts w:ascii="Arial" w:hAnsi="Arial" w:cs="Arial"/>
          <w:snapToGrid w:val="0"/>
        </w:rPr>
        <w:t>in funding</w:t>
      </w:r>
      <w:r>
        <w:rPr>
          <w:rFonts w:ascii="Arial" w:hAnsi="Arial" w:cs="Arial"/>
          <w:snapToGrid w:val="0"/>
        </w:rPr>
        <w:t>:</w:t>
      </w:r>
    </w:p>
    <w:p w14:paraId="067DF575" w14:textId="77777777" w:rsidR="00D15D90" w:rsidRDefault="00D15D90" w:rsidP="00D15D90">
      <w:pPr>
        <w:tabs>
          <w:tab w:val="left" w:pos="142"/>
        </w:tabs>
        <w:spacing w:line="360" w:lineRule="auto"/>
        <w:rPr>
          <w:rFonts w:ascii="Arial" w:hAnsi="Arial" w:cs="Arial"/>
          <w:snapToGrid w:val="0"/>
          <w:highlight w:val="yellow"/>
        </w:rPr>
      </w:pPr>
    </w:p>
    <w:tbl>
      <w:tblPr>
        <w:tblW w:w="7478" w:type="dxa"/>
        <w:tblInd w:w="132" w:type="dxa"/>
        <w:tblLayout w:type="fixed"/>
        <w:tblLook w:val="04A0" w:firstRow="1" w:lastRow="0" w:firstColumn="1" w:lastColumn="0" w:noHBand="0" w:noVBand="1"/>
      </w:tblPr>
      <w:tblGrid>
        <w:gridCol w:w="3366"/>
        <w:gridCol w:w="1214"/>
        <w:gridCol w:w="1375"/>
        <w:gridCol w:w="1271"/>
        <w:gridCol w:w="252"/>
      </w:tblGrid>
      <w:tr w:rsidR="00D15D90" w:rsidRPr="003312E3" w14:paraId="4B02BE36" w14:textId="77777777" w:rsidTr="00012E0D">
        <w:trPr>
          <w:gridAfter w:val="1"/>
          <w:wAfter w:w="252" w:type="dxa"/>
          <w:trHeight w:val="458"/>
        </w:trPr>
        <w:tc>
          <w:tcPr>
            <w:tcW w:w="3366" w:type="dxa"/>
            <w:vMerge w:val="restart"/>
            <w:tcBorders>
              <w:top w:val="single" w:sz="8" w:space="0" w:color="auto"/>
              <w:left w:val="single" w:sz="8" w:space="0" w:color="auto"/>
              <w:bottom w:val="single" w:sz="4" w:space="0" w:color="000000"/>
              <w:right w:val="single" w:sz="4" w:space="0" w:color="auto"/>
            </w:tcBorders>
            <w:shd w:val="clear" w:color="auto" w:fill="auto"/>
            <w:hideMark/>
          </w:tcPr>
          <w:p w14:paraId="293E4573" w14:textId="77777777" w:rsidR="00D15D90" w:rsidRPr="003312E3" w:rsidRDefault="00D15D90" w:rsidP="00012E0D">
            <w:pPr>
              <w:rPr>
                <w:rFonts w:ascii="Arial" w:hAnsi="Arial" w:cs="Arial"/>
                <w:b/>
                <w:bCs/>
                <w:sz w:val="20"/>
                <w:szCs w:val="20"/>
                <w:lang w:eastAsia="en-GB"/>
              </w:rPr>
            </w:pPr>
            <w:bookmarkStart w:id="18" w:name="OLE_LINK1"/>
            <w:bookmarkStart w:id="19" w:name="_Hlk171676209"/>
            <w:r w:rsidRPr="003312E3">
              <w:rPr>
                <w:rFonts w:ascii="Arial" w:hAnsi="Arial" w:cs="Arial"/>
                <w:b/>
                <w:bCs/>
                <w:sz w:val="20"/>
                <w:szCs w:val="20"/>
                <w:lang w:eastAsia="en-GB"/>
              </w:rPr>
              <w:t xml:space="preserve">GMCA Revenue General </w:t>
            </w:r>
          </w:p>
          <w:p w14:paraId="54FB0C3E" w14:textId="77777777" w:rsidR="00D15D90" w:rsidRPr="003312E3" w:rsidRDefault="00D15D90" w:rsidP="00012E0D">
            <w:pPr>
              <w:rPr>
                <w:rFonts w:ascii="Arial" w:hAnsi="Arial" w:cs="Arial"/>
                <w:b/>
                <w:bCs/>
                <w:sz w:val="20"/>
                <w:szCs w:val="20"/>
                <w:lang w:eastAsia="en-GB"/>
              </w:rPr>
            </w:pPr>
            <w:r w:rsidRPr="003312E3">
              <w:rPr>
                <w:rFonts w:ascii="Arial" w:hAnsi="Arial" w:cs="Arial"/>
                <w:b/>
                <w:bCs/>
                <w:sz w:val="20"/>
                <w:szCs w:val="20"/>
                <w:lang w:eastAsia="en-GB"/>
              </w:rPr>
              <w:t xml:space="preserve">Budget 2023/24 </w:t>
            </w:r>
          </w:p>
          <w:p w14:paraId="3E117A98" w14:textId="77777777" w:rsidR="00D15D90" w:rsidRPr="003312E3" w:rsidRDefault="00D15D90" w:rsidP="00012E0D">
            <w:pPr>
              <w:rPr>
                <w:rFonts w:ascii="Arial" w:hAnsi="Arial" w:cs="Arial"/>
                <w:b/>
                <w:bCs/>
                <w:sz w:val="20"/>
                <w:szCs w:val="20"/>
                <w:lang w:eastAsia="en-GB"/>
              </w:rPr>
            </w:pPr>
            <w:r w:rsidRPr="003312E3">
              <w:rPr>
                <w:rFonts w:ascii="Arial" w:hAnsi="Arial" w:cs="Arial"/>
                <w:b/>
                <w:bCs/>
                <w:sz w:val="20"/>
                <w:szCs w:val="20"/>
                <w:lang w:eastAsia="en-GB"/>
              </w:rPr>
              <w:t>Provisional Outturn</w:t>
            </w:r>
            <w:bookmarkEnd w:id="18"/>
          </w:p>
        </w:tc>
        <w:tc>
          <w:tcPr>
            <w:tcW w:w="1214" w:type="dxa"/>
            <w:vMerge w:val="restart"/>
            <w:tcBorders>
              <w:top w:val="single" w:sz="8" w:space="0" w:color="auto"/>
              <w:left w:val="single" w:sz="4" w:space="0" w:color="auto"/>
              <w:bottom w:val="single" w:sz="4" w:space="0" w:color="000000"/>
              <w:right w:val="single" w:sz="4" w:space="0" w:color="auto"/>
            </w:tcBorders>
            <w:shd w:val="clear" w:color="auto" w:fill="auto"/>
            <w:hideMark/>
          </w:tcPr>
          <w:p w14:paraId="3F98EB6A" w14:textId="77777777" w:rsidR="00D15D90" w:rsidRPr="003312E3" w:rsidRDefault="00D15D90" w:rsidP="00012E0D">
            <w:pPr>
              <w:jc w:val="center"/>
              <w:rPr>
                <w:rFonts w:ascii="Arial" w:hAnsi="Arial" w:cs="Arial"/>
                <w:b/>
                <w:bCs/>
                <w:sz w:val="20"/>
                <w:szCs w:val="20"/>
                <w:lang w:eastAsia="en-GB"/>
              </w:rPr>
            </w:pPr>
            <w:r w:rsidRPr="003312E3">
              <w:rPr>
                <w:rFonts w:ascii="Arial" w:hAnsi="Arial" w:cs="Arial"/>
                <w:b/>
                <w:bCs/>
                <w:sz w:val="20"/>
                <w:szCs w:val="20"/>
                <w:lang w:eastAsia="en-GB"/>
              </w:rPr>
              <w:t xml:space="preserve"> Original Budget </w:t>
            </w:r>
          </w:p>
        </w:tc>
        <w:tc>
          <w:tcPr>
            <w:tcW w:w="1375" w:type="dxa"/>
            <w:vMerge w:val="restart"/>
            <w:tcBorders>
              <w:top w:val="single" w:sz="8" w:space="0" w:color="auto"/>
              <w:left w:val="single" w:sz="4" w:space="0" w:color="auto"/>
              <w:bottom w:val="single" w:sz="4" w:space="0" w:color="000000"/>
              <w:right w:val="single" w:sz="4" w:space="0" w:color="auto"/>
            </w:tcBorders>
            <w:shd w:val="clear" w:color="auto" w:fill="auto"/>
            <w:hideMark/>
          </w:tcPr>
          <w:p w14:paraId="688C254F" w14:textId="77777777" w:rsidR="00D15D90" w:rsidRPr="003312E3" w:rsidRDefault="00D15D90" w:rsidP="00012E0D">
            <w:pPr>
              <w:jc w:val="center"/>
              <w:rPr>
                <w:rFonts w:ascii="Arial" w:hAnsi="Arial" w:cs="Arial"/>
                <w:b/>
                <w:bCs/>
                <w:sz w:val="20"/>
                <w:szCs w:val="20"/>
                <w:lang w:eastAsia="en-GB"/>
              </w:rPr>
            </w:pPr>
            <w:r w:rsidRPr="003312E3">
              <w:rPr>
                <w:rFonts w:ascii="Arial" w:hAnsi="Arial" w:cs="Arial"/>
                <w:b/>
                <w:bCs/>
                <w:sz w:val="20"/>
                <w:szCs w:val="20"/>
                <w:lang w:eastAsia="en-GB"/>
              </w:rPr>
              <w:t xml:space="preserve">Provisional Outturn </w:t>
            </w:r>
          </w:p>
        </w:tc>
        <w:tc>
          <w:tcPr>
            <w:tcW w:w="1271" w:type="dxa"/>
            <w:vMerge w:val="restart"/>
            <w:tcBorders>
              <w:top w:val="single" w:sz="8" w:space="0" w:color="auto"/>
              <w:left w:val="single" w:sz="4" w:space="0" w:color="auto"/>
              <w:bottom w:val="single" w:sz="4" w:space="0" w:color="000000"/>
              <w:right w:val="single" w:sz="8" w:space="0" w:color="auto"/>
            </w:tcBorders>
            <w:shd w:val="clear" w:color="auto" w:fill="auto"/>
            <w:hideMark/>
          </w:tcPr>
          <w:p w14:paraId="638045CD" w14:textId="77777777" w:rsidR="00D15D90" w:rsidRPr="003312E3" w:rsidRDefault="00D15D90" w:rsidP="00012E0D">
            <w:pPr>
              <w:jc w:val="center"/>
              <w:rPr>
                <w:rFonts w:ascii="Arial" w:hAnsi="Arial" w:cs="Arial"/>
                <w:b/>
                <w:bCs/>
                <w:sz w:val="20"/>
                <w:szCs w:val="20"/>
                <w:lang w:eastAsia="en-GB"/>
              </w:rPr>
            </w:pPr>
            <w:r w:rsidRPr="003312E3">
              <w:rPr>
                <w:rFonts w:ascii="Arial" w:hAnsi="Arial" w:cs="Arial"/>
                <w:b/>
                <w:bCs/>
                <w:sz w:val="20"/>
                <w:szCs w:val="20"/>
                <w:lang w:eastAsia="en-GB"/>
              </w:rPr>
              <w:t xml:space="preserve">Variance </w:t>
            </w:r>
          </w:p>
        </w:tc>
      </w:tr>
      <w:tr w:rsidR="00D15D90" w:rsidRPr="003312E3" w14:paraId="566F7282" w14:textId="77777777" w:rsidTr="00012E0D">
        <w:trPr>
          <w:trHeight w:val="279"/>
        </w:trPr>
        <w:tc>
          <w:tcPr>
            <w:tcW w:w="3366" w:type="dxa"/>
            <w:vMerge/>
            <w:tcBorders>
              <w:top w:val="single" w:sz="8" w:space="0" w:color="auto"/>
              <w:left w:val="single" w:sz="8" w:space="0" w:color="auto"/>
              <w:bottom w:val="single" w:sz="4" w:space="0" w:color="000000"/>
              <w:right w:val="single" w:sz="4" w:space="0" w:color="auto"/>
            </w:tcBorders>
            <w:shd w:val="clear" w:color="auto" w:fill="auto"/>
            <w:vAlign w:val="center"/>
            <w:hideMark/>
          </w:tcPr>
          <w:p w14:paraId="4347F74E" w14:textId="77777777" w:rsidR="00D15D90" w:rsidRPr="003312E3" w:rsidRDefault="00D15D90" w:rsidP="00012E0D">
            <w:pPr>
              <w:rPr>
                <w:rFonts w:ascii="Arial" w:hAnsi="Arial" w:cs="Arial"/>
                <w:b/>
                <w:bCs/>
                <w:sz w:val="20"/>
                <w:szCs w:val="20"/>
                <w:lang w:eastAsia="en-GB"/>
              </w:rPr>
            </w:pPr>
          </w:p>
        </w:tc>
        <w:tc>
          <w:tcPr>
            <w:tcW w:w="1214" w:type="dxa"/>
            <w:vMerge/>
            <w:tcBorders>
              <w:top w:val="single" w:sz="8" w:space="0" w:color="auto"/>
              <w:left w:val="single" w:sz="4" w:space="0" w:color="auto"/>
              <w:bottom w:val="single" w:sz="4" w:space="0" w:color="000000"/>
              <w:right w:val="single" w:sz="4" w:space="0" w:color="auto"/>
            </w:tcBorders>
            <w:shd w:val="clear" w:color="auto" w:fill="auto"/>
            <w:vAlign w:val="center"/>
            <w:hideMark/>
          </w:tcPr>
          <w:p w14:paraId="3AE7556F" w14:textId="77777777" w:rsidR="00D15D90" w:rsidRPr="003312E3" w:rsidRDefault="00D15D90" w:rsidP="00012E0D">
            <w:pPr>
              <w:rPr>
                <w:rFonts w:ascii="Arial" w:hAnsi="Arial" w:cs="Arial"/>
                <w:b/>
                <w:bCs/>
                <w:sz w:val="20"/>
                <w:szCs w:val="20"/>
                <w:lang w:eastAsia="en-GB"/>
              </w:rPr>
            </w:pPr>
          </w:p>
        </w:tc>
        <w:tc>
          <w:tcPr>
            <w:tcW w:w="1375" w:type="dxa"/>
            <w:vMerge/>
            <w:tcBorders>
              <w:top w:val="single" w:sz="8" w:space="0" w:color="auto"/>
              <w:left w:val="single" w:sz="4" w:space="0" w:color="auto"/>
              <w:bottom w:val="single" w:sz="4" w:space="0" w:color="000000"/>
              <w:right w:val="single" w:sz="4" w:space="0" w:color="auto"/>
            </w:tcBorders>
            <w:shd w:val="clear" w:color="auto" w:fill="auto"/>
            <w:vAlign w:val="center"/>
            <w:hideMark/>
          </w:tcPr>
          <w:p w14:paraId="57C564F4" w14:textId="77777777" w:rsidR="00D15D90" w:rsidRPr="003312E3" w:rsidRDefault="00D15D90" w:rsidP="00012E0D">
            <w:pPr>
              <w:rPr>
                <w:rFonts w:ascii="Arial" w:hAnsi="Arial" w:cs="Arial"/>
                <w:b/>
                <w:bCs/>
                <w:sz w:val="20"/>
                <w:szCs w:val="20"/>
                <w:lang w:eastAsia="en-GB"/>
              </w:rPr>
            </w:pPr>
          </w:p>
        </w:tc>
        <w:tc>
          <w:tcPr>
            <w:tcW w:w="1271" w:type="dxa"/>
            <w:vMerge/>
            <w:tcBorders>
              <w:top w:val="single" w:sz="8" w:space="0" w:color="auto"/>
              <w:left w:val="single" w:sz="4" w:space="0" w:color="auto"/>
              <w:bottom w:val="single" w:sz="4" w:space="0" w:color="000000"/>
              <w:right w:val="single" w:sz="8" w:space="0" w:color="auto"/>
            </w:tcBorders>
            <w:shd w:val="clear" w:color="auto" w:fill="auto"/>
            <w:vAlign w:val="center"/>
            <w:hideMark/>
          </w:tcPr>
          <w:p w14:paraId="4ABED87B" w14:textId="77777777" w:rsidR="00D15D90" w:rsidRPr="003312E3" w:rsidRDefault="00D15D90" w:rsidP="00012E0D">
            <w:pPr>
              <w:rPr>
                <w:rFonts w:ascii="Arial" w:hAnsi="Arial" w:cs="Arial"/>
                <w:b/>
                <w:bCs/>
                <w:sz w:val="20"/>
                <w:szCs w:val="20"/>
                <w:lang w:eastAsia="en-GB"/>
              </w:rPr>
            </w:pPr>
          </w:p>
        </w:tc>
        <w:tc>
          <w:tcPr>
            <w:tcW w:w="252" w:type="dxa"/>
            <w:tcBorders>
              <w:top w:val="nil"/>
              <w:left w:val="nil"/>
              <w:bottom w:val="nil"/>
              <w:right w:val="nil"/>
            </w:tcBorders>
            <w:shd w:val="clear" w:color="auto" w:fill="auto"/>
            <w:noWrap/>
            <w:vAlign w:val="bottom"/>
            <w:hideMark/>
          </w:tcPr>
          <w:p w14:paraId="1683B97B" w14:textId="77777777" w:rsidR="00D15D90" w:rsidRPr="003312E3" w:rsidRDefault="00D15D90" w:rsidP="00012E0D">
            <w:pPr>
              <w:jc w:val="center"/>
              <w:rPr>
                <w:rFonts w:ascii="Arial" w:hAnsi="Arial" w:cs="Arial"/>
                <w:b/>
                <w:bCs/>
                <w:sz w:val="20"/>
                <w:szCs w:val="20"/>
                <w:lang w:eastAsia="en-GB"/>
              </w:rPr>
            </w:pPr>
          </w:p>
        </w:tc>
      </w:tr>
      <w:tr w:rsidR="00D15D90" w:rsidRPr="003312E3" w14:paraId="72B01D63"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0C88C25E" w14:textId="77777777" w:rsidR="00D15D90" w:rsidRPr="003312E3" w:rsidRDefault="00D15D90" w:rsidP="00012E0D">
            <w:pPr>
              <w:rPr>
                <w:rFonts w:ascii="Arial" w:hAnsi="Arial" w:cs="Arial"/>
                <w:sz w:val="20"/>
                <w:szCs w:val="20"/>
                <w:lang w:eastAsia="en-GB"/>
              </w:rPr>
            </w:pPr>
            <w:r w:rsidRPr="003312E3">
              <w:rPr>
                <w:rFonts w:ascii="Arial" w:hAnsi="Arial" w:cs="Arial"/>
                <w:sz w:val="20"/>
                <w:szCs w:val="20"/>
                <w:lang w:eastAsia="en-GB"/>
              </w:rPr>
              <w:t> </w:t>
            </w:r>
          </w:p>
        </w:tc>
        <w:tc>
          <w:tcPr>
            <w:tcW w:w="1214" w:type="dxa"/>
            <w:tcBorders>
              <w:top w:val="nil"/>
              <w:left w:val="single" w:sz="4" w:space="0" w:color="auto"/>
              <w:bottom w:val="nil"/>
              <w:right w:val="single" w:sz="4" w:space="0" w:color="auto"/>
            </w:tcBorders>
            <w:shd w:val="clear" w:color="auto" w:fill="auto"/>
            <w:noWrap/>
            <w:vAlign w:val="bottom"/>
            <w:hideMark/>
          </w:tcPr>
          <w:p w14:paraId="75953B28" w14:textId="77777777" w:rsidR="00D15D90" w:rsidRPr="003312E3" w:rsidRDefault="00D15D90" w:rsidP="00012E0D">
            <w:pPr>
              <w:jc w:val="center"/>
              <w:rPr>
                <w:rFonts w:ascii="Arial" w:hAnsi="Arial" w:cs="Arial"/>
                <w:b/>
                <w:bCs/>
                <w:sz w:val="20"/>
                <w:szCs w:val="20"/>
                <w:lang w:eastAsia="en-GB"/>
              </w:rPr>
            </w:pPr>
            <w:r w:rsidRPr="003312E3">
              <w:rPr>
                <w:rFonts w:ascii="Arial" w:hAnsi="Arial" w:cs="Arial"/>
                <w:b/>
                <w:bCs/>
                <w:sz w:val="20"/>
                <w:szCs w:val="20"/>
                <w:lang w:eastAsia="en-GB"/>
              </w:rPr>
              <w:t xml:space="preserve"> £000</w:t>
            </w:r>
            <w:r>
              <w:rPr>
                <w:rFonts w:ascii="Arial" w:hAnsi="Arial" w:cs="Arial"/>
                <w:b/>
                <w:bCs/>
                <w:sz w:val="20"/>
                <w:szCs w:val="20"/>
                <w:lang w:eastAsia="en-GB"/>
              </w:rPr>
              <w:t>s</w:t>
            </w:r>
            <w:r w:rsidRPr="003312E3">
              <w:rPr>
                <w:rFonts w:ascii="Arial" w:hAnsi="Arial" w:cs="Arial"/>
                <w:b/>
                <w:bCs/>
                <w:sz w:val="20"/>
                <w:szCs w:val="20"/>
                <w:lang w:eastAsia="en-GB"/>
              </w:rPr>
              <w:t xml:space="preserve"> </w:t>
            </w:r>
          </w:p>
        </w:tc>
        <w:tc>
          <w:tcPr>
            <w:tcW w:w="1375" w:type="dxa"/>
            <w:tcBorders>
              <w:top w:val="nil"/>
              <w:left w:val="nil"/>
              <w:bottom w:val="nil"/>
              <w:right w:val="single" w:sz="4" w:space="0" w:color="auto"/>
            </w:tcBorders>
            <w:shd w:val="clear" w:color="auto" w:fill="auto"/>
            <w:noWrap/>
            <w:vAlign w:val="bottom"/>
            <w:hideMark/>
          </w:tcPr>
          <w:p w14:paraId="790B5168" w14:textId="77777777" w:rsidR="00D15D90" w:rsidRPr="003312E3" w:rsidRDefault="00D15D90" w:rsidP="00012E0D">
            <w:pPr>
              <w:jc w:val="center"/>
              <w:rPr>
                <w:rFonts w:ascii="Arial" w:hAnsi="Arial" w:cs="Arial"/>
                <w:b/>
                <w:bCs/>
                <w:sz w:val="20"/>
                <w:szCs w:val="20"/>
                <w:lang w:eastAsia="en-GB"/>
              </w:rPr>
            </w:pPr>
            <w:r w:rsidRPr="003312E3">
              <w:rPr>
                <w:rFonts w:ascii="Arial" w:hAnsi="Arial" w:cs="Arial"/>
                <w:b/>
                <w:bCs/>
                <w:sz w:val="20"/>
                <w:szCs w:val="20"/>
                <w:lang w:eastAsia="en-GB"/>
              </w:rPr>
              <w:t xml:space="preserve"> £000</w:t>
            </w:r>
            <w:r>
              <w:rPr>
                <w:rFonts w:ascii="Arial" w:hAnsi="Arial" w:cs="Arial"/>
                <w:b/>
                <w:bCs/>
                <w:sz w:val="20"/>
                <w:szCs w:val="20"/>
                <w:lang w:eastAsia="en-GB"/>
              </w:rPr>
              <w:t>s</w:t>
            </w:r>
            <w:r w:rsidRPr="003312E3">
              <w:rPr>
                <w:rFonts w:ascii="Arial" w:hAnsi="Arial" w:cs="Arial"/>
                <w:b/>
                <w:bCs/>
                <w:sz w:val="20"/>
                <w:szCs w:val="20"/>
                <w:lang w:eastAsia="en-GB"/>
              </w:rPr>
              <w:t xml:space="preserve"> </w:t>
            </w:r>
          </w:p>
        </w:tc>
        <w:tc>
          <w:tcPr>
            <w:tcW w:w="1271" w:type="dxa"/>
            <w:tcBorders>
              <w:top w:val="nil"/>
              <w:left w:val="nil"/>
              <w:bottom w:val="nil"/>
              <w:right w:val="single" w:sz="8" w:space="0" w:color="auto"/>
            </w:tcBorders>
            <w:shd w:val="clear" w:color="auto" w:fill="auto"/>
            <w:noWrap/>
            <w:vAlign w:val="bottom"/>
            <w:hideMark/>
          </w:tcPr>
          <w:p w14:paraId="423F07EE" w14:textId="77777777" w:rsidR="00D15D90" w:rsidRPr="003312E3" w:rsidRDefault="00D15D90" w:rsidP="00012E0D">
            <w:pPr>
              <w:jc w:val="center"/>
              <w:rPr>
                <w:rFonts w:ascii="Arial" w:hAnsi="Arial" w:cs="Arial"/>
                <w:b/>
                <w:bCs/>
                <w:sz w:val="20"/>
                <w:szCs w:val="20"/>
                <w:lang w:eastAsia="en-GB"/>
              </w:rPr>
            </w:pPr>
            <w:r w:rsidRPr="003312E3">
              <w:rPr>
                <w:rFonts w:ascii="Arial" w:hAnsi="Arial" w:cs="Arial"/>
                <w:b/>
                <w:bCs/>
                <w:sz w:val="20"/>
                <w:szCs w:val="20"/>
                <w:lang w:eastAsia="en-GB"/>
              </w:rPr>
              <w:t xml:space="preserve"> £000</w:t>
            </w:r>
            <w:r>
              <w:rPr>
                <w:rFonts w:ascii="Arial" w:hAnsi="Arial" w:cs="Arial"/>
                <w:b/>
                <w:bCs/>
                <w:sz w:val="20"/>
                <w:szCs w:val="20"/>
                <w:lang w:eastAsia="en-GB"/>
              </w:rPr>
              <w:t>s</w:t>
            </w:r>
            <w:r w:rsidRPr="003312E3">
              <w:rPr>
                <w:rFonts w:ascii="Arial" w:hAnsi="Arial" w:cs="Arial"/>
                <w:b/>
                <w:bCs/>
                <w:sz w:val="20"/>
                <w:szCs w:val="20"/>
                <w:lang w:eastAsia="en-GB"/>
              </w:rPr>
              <w:t xml:space="preserve"> </w:t>
            </w:r>
          </w:p>
        </w:tc>
        <w:tc>
          <w:tcPr>
            <w:tcW w:w="252" w:type="dxa"/>
            <w:shd w:val="clear" w:color="auto" w:fill="auto"/>
            <w:vAlign w:val="center"/>
            <w:hideMark/>
          </w:tcPr>
          <w:p w14:paraId="072006C3" w14:textId="77777777" w:rsidR="00D15D90" w:rsidRPr="003312E3" w:rsidRDefault="00D15D90" w:rsidP="00012E0D">
            <w:pPr>
              <w:rPr>
                <w:sz w:val="20"/>
                <w:szCs w:val="20"/>
                <w:highlight w:val="yellow"/>
                <w:lang w:eastAsia="en-GB"/>
              </w:rPr>
            </w:pPr>
          </w:p>
        </w:tc>
      </w:tr>
      <w:tr w:rsidR="00D15D90" w:rsidRPr="003312E3" w14:paraId="697007DB"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696441CB" w14:textId="77777777" w:rsidR="00D15D90" w:rsidRPr="003312E3" w:rsidRDefault="00D15D90" w:rsidP="00012E0D">
            <w:pPr>
              <w:rPr>
                <w:rFonts w:ascii="Arial" w:hAnsi="Arial" w:cs="Arial"/>
                <w:b/>
                <w:bCs/>
                <w:sz w:val="20"/>
                <w:szCs w:val="20"/>
                <w:lang w:eastAsia="en-GB"/>
              </w:rPr>
            </w:pPr>
            <w:r w:rsidRPr="003312E3">
              <w:rPr>
                <w:rFonts w:ascii="Arial" w:hAnsi="Arial" w:cs="Arial"/>
                <w:b/>
                <w:bCs/>
                <w:sz w:val="20"/>
                <w:szCs w:val="20"/>
                <w:lang w:eastAsia="en-GB"/>
              </w:rPr>
              <w:t>Expenditure:</w:t>
            </w:r>
          </w:p>
        </w:tc>
        <w:tc>
          <w:tcPr>
            <w:tcW w:w="1214" w:type="dxa"/>
            <w:tcBorders>
              <w:top w:val="nil"/>
              <w:left w:val="single" w:sz="4" w:space="0" w:color="auto"/>
              <w:bottom w:val="nil"/>
              <w:right w:val="single" w:sz="4" w:space="0" w:color="auto"/>
            </w:tcBorders>
            <w:shd w:val="clear" w:color="auto" w:fill="auto"/>
            <w:noWrap/>
            <w:vAlign w:val="bottom"/>
            <w:hideMark/>
          </w:tcPr>
          <w:p w14:paraId="463CF910" w14:textId="77777777" w:rsidR="00D15D90" w:rsidRPr="003312E3" w:rsidRDefault="00D15D90" w:rsidP="00012E0D">
            <w:pPr>
              <w:jc w:val="center"/>
              <w:rPr>
                <w:rFonts w:ascii="Arial" w:hAnsi="Arial" w:cs="Arial"/>
                <w:b/>
                <w:bCs/>
                <w:sz w:val="20"/>
                <w:szCs w:val="20"/>
                <w:lang w:eastAsia="en-GB"/>
              </w:rPr>
            </w:pPr>
            <w:r w:rsidRPr="003312E3">
              <w:rPr>
                <w:rFonts w:ascii="Arial" w:hAnsi="Arial" w:cs="Arial"/>
                <w:b/>
                <w:bCs/>
                <w:sz w:val="20"/>
                <w:szCs w:val="20"/>
                <w:lang w:eastAsia="en-GB"/>
              </w:rPr>
              <w:t> </w:t>
            </w:r>
          </w:p>
        </w:tc>
        <w:tc>
          <w:tcPr>
            <w:tcW w:w="1375" w:type="dxa"/>
            <w:tcBorders>
              <w:top w:val="nil"/>
              <w:left w:val="nil"/>
              <w:bottom w:val="nil"/>
              <w:right w:val="single" w:sz="4" w:space="0" w:color="auto"/>
            </w:tcBorders>
            <w:shd w:val="clear" w:color="auto" w:fill="auto"/>
            <w:noWrap/>
            <w:vAlign w:val="bottom"/>
            <w:hideMark/>
          </w:tcPr>
          <w:p w14:paraId="2C2BBF5E" w14:textId="77777777" w:rsidR="00D15D90" w:rsidRPr="003312E3" w:rsidRDefault="00D15D90" w:rsidP="00012E0D">
            <w:pPr>
              <w:jc w:val="center"/>
              <w:rPr>
                <w:rFonts w:ascii="Arial" w:hAnsi="Arial" w:cs="Arial"/>
                <w:b/>
                <w:bCs/>
                <w:sz w:val="20"/>
                <w:szCs w:val="20"/>
                <w:lang w:eastAsia="en-GB"/>
              </w:rPr>
            </w:pPr>
            <w:r w:rsidRPr="003312E3">
              <w:rPr>
                <w:rFonts w:ascii="Arial" w:hAnsi="Arial" w:cs="Arial"/>
                <w:b/>
                <w:bCs/>
                <w:sz w:val="20"/>
                <w:szCs w:val="20"/>
                <w:lang w:eastAsia="en-GB"/>
              </w:rPr>
              <w:t> </w:t>
            </w:r>
          </w:p>
        </w:tc>
        <w:tc>
          <w:tcPr>
            <w:tcW w:w="1271" w:type="dxa"/>
            <w:tcBorders>
              <w:top w:val="nil"/>
              <w:left w:val="nil"/>
              <w:bottom w:val="nil"/>
              <w:right w:val="single" w:sz="8" w:space="0" w:color="auto"/>
            </w:tcBorders>
            <w:shd w:val="clear" w:color="auto" w:fill="auto"/>
            <w:noWrap/>
            <w:vAlign w:val="bottom"/>
            <w:hideMark/>
          </w:tcPr>
          <w:p w14:paraId="255949D9" w14:textId="77777777" w:rsidR="00D15D90" w:rsidRPr="003312E3" w:rsidRDefault="00D15D90" w:rsidP="00012E0D">
            <w:pPr>
              <w:jc w:val="center"/>
              <w:rPr>
                <w:rFonts w:ascii="Arial" w:hAnsi="Arial" w:cs="Arial"/>
                <w:b/>
                <w:bCs/>
                <w:sz w:val="20"/>
                <w:szCs w:val="20"/>
                <w:lang w:eastAsia="en-GB"/>
              </w:rPr>
            </w:pPr>
            <w:r w:rsidRPr="003312E3">
              <w:rPr>
                <w:rFonts w:ascii="Arial" w:hAnsi="Arial" w:cs="Arial"/>
                <w:b/>
                <w:bCs/>
                <w:sz w:val="20"/>
                <w:szCs w:val="20"/>
                <w:lang w:eastAsia="en-GB"/>
              </w:rPr>
              <w:t> </w:t>
            </w:r>
          </w:p>
        </w:tc>
        <w:tc>
          <w:tcPr>
            <w:tcW w:w="252" w:type="dxa"/>
            <w:shd w:val="clear" w:color="auto" w:fill="auto"/>
            <w:vAlign w:val="center"/>
            <w:hideMark/>
          </w:tcPr>
          <w:p w14:paraId="6D72D55B" w14:textId="77777777" w:rsidR="00D15D90" w:rsidRPr="003312E3" w:rsidRDefault="00D15D90" w:rsidP="00012E0D">
            <w:pPr>
              <w:rPr>
                <w:sz w:val="20"/>
                <w:szCs w:val="20"/>
                <w:highlight w:val="yellow"/>
                <w:lang w:eastAsia="en-GB"/>
              </w:rPr>
            </w:pPr>
          </w:p>
        </w:tc>
      </w:tr>
      <w:tr w:rsidR="00D15D90" w:rsidRPr="003312E3" w14:paraId="609996FF"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09EA49E2" w14:textId="77777777" w:rsidR="00D15D90" w:rsidRPr="003312E3" w:rsidRDefault="00D15D90" w:rsidP="00012E0D">
            <w:pPr>
              <w:rPr>
                <w:rFonts w:ascii="Arial" w:hAnsi="Arial" w:cs="Arial"/>
                <w:sz w:val="20"/>
                <w:szCs w:val="20"/>
                <w:lang w:eastAsia="en-GB"/>
              </w:rPr>
            </w:pPr>
            <w:r w:rsidRPr="003312E3">
              <w:rPr>
                <w:rFonts w:ascii="Arial" w:hAnsi="Arial" w:cs="Arial"/>
                <w:sz w:val="20"/>
                <w:szCs w:val="20"/>
                <w:lang w:eastAsia="en-GB"/>
              </w:rPr>
              <w:t>GMCA Corporate</w:t>
            </w:r>
          </w:p>
        </w:tc>
        <w:tc>
          <w:tcPr>
            <w:tcW w:w="1214" w:type="dxa"/>
            <w:tcBorders>
              <w:top w:val="nil"/>
              <w:left w:val="single" w:sz="4" w:space="0" w:color="auto"/>
              <w:bottom w:val="nil"/>
              <w:right w:val="single" w:sz="4" w:space="0" w:color="auto"/>
            </w:tcBorders>
            <w:shd w:val="clear" w:color="auto" w:fill="auto"/>
            <w:hideMark/>
          </w:tcPr>
          <w:p w14:paraId="7C211719" w14:textId="77777777" w:rsidR="00D15D90" w:rsidRPr="003312E3" w:rsidRDefault="00D15D90" w:rsidP="00012E0D">
            <w:pPr>
              <w:jc w:val="right"/>
              <w:rPr>
                <w:rFonts w:ascii="Arial" w:hAnsi="Arial" w:cs="Arial"/>
                <w:sz w:val="20"/>
                <w:szCs w:val="20"/>
                <w:lang w:eastAsia="en-GB"/>
              </w:rPr>
            </w:pPr>
            <w:r w:rsidRPr="003312E3">
              <w:rPr>
                <w:rFonts w:ascii="Arial" w:hAnsi="Arial"/>
                <w:sz w:val="20"/>
                <w:lang w:val="en-US"/>
              </w:rPr>
              <w:t>25,781</w:t>
            </w:r>
          </w:p>
        </w:tc>
        <w:tc>
          <w:tcPr>
            <w:tcW w:w="1375" w:type="dxa"/>
            <w:tcBorders>
              <w:top w:val="nil"/>
              <w:left w:val="nil"/>
              <w:bottom w:val="nil"/>
              <w:right w:val="nil"/>
            </w:tcBorders>
            <w:shd w:val="clear" w:color="auto" w:fill="auto"/>
            <w:noWrap/>
            <w:hideMark/>
          </w:tcPr>
          <w:p w14:paraId="1C801C89" w14:textId="77777777" w:rsidR="00D15D90" w:rsidRPr="003312E3" w:rsidRDefault="00D15D90" w:rsidP="00012E0D">
            <w:pPr>
              <w:jc w:val="right"/>
              <w:rPr>
                <w:rFonts w:ascii="Arial" w:hAnsi="Arial" w:cs="Arial"/>
                <w:color w:val="000000"/>
                <w:sz w:val="20"/>
                <w:szCs w:val="20"/>
                <w:lang w:eastAsia="en-GB"/>
              </w:rPr>
            </w:pPr>
            <w:r w:rsidRPr="003312E3">
              <w:rPr>
                <w:rFonts w:ascii="Arial" w:hAnsi="Arial"/>
                <w:sz w:val="20"/>
                <w:lang w:val="en-US"/>
              </w:rPr>
              <w:t>28,853</w:t>
            </w:r>
          </w:p>
        </w:tc>
        <w:tc>
          <w:tcPr>
            <w:tcW w:w="1271" w:type="dxa"/>
            <w:tcBorders>
              <w:top w:val="nil"/>
              <w:left w:val="single" w:sz="4" w:space="0" w:color="auto"/>
              <w:bottom w:val="nil"/>
              <w:right w:val="single" w:sz="8" w:space="0" w:color="auto"/>
            </w:tcBorders>
            <w:shd w:val="clear" w:color="auto" w:fill="auto"/>
            <w:hideMark/>
          </w:tcPr>
          <w:p w14:paraId="79D37062" w14:textId="77777777" w:rsidR="00D15D90" w:rsidRPr="003312E3" w:rsidRDefault="00D15D90" w:rsidP="00012E0D">
            <w:pPr>
              <w:jc w:val="right"/>
              <w:rPr>
                <w:rFonts w:ascii="Arial" w:hAnsi="Arial" w:cs="Arial"/>
                <w:sz w:val="20"/>
                <w:szCs w:val="20"/>
                <w:lang w:eastAsia="en-GB"/>
              </w:rPr>
            </w:pPr>
            <w:r w:rsidRPr="003312E3">
              <w:rPr>
                <w:rFonts w:ascii="Arial" w:hAnsi="Arial"/>
                <w:sz w:val="20"/>
                <w:lang w:val="en-US"/>
              </w:rPr>
              <w:t>3,071</w:t>
            </w:r>
          </w:p>
        </w:tc>
        <w:tc>
          <w:tcPr>
            <w:tcW w:w="252" w:type="dxa"/>
            <w:shd w:val="clear" w:color="auto" w:fill="auto"/>
            <w:vAlign w:val="center"/>
            <w:hideMark/>
          </w:tcPr>
          <w:p w14:paraId="3F8B5DC8" w14:textId="77777777" w:rsidR="00D15D90" w:rsidRPr="003312E3" w:rsidRDefault="00D15D90" w:rsidP="00012E0D">
            <w:pPr>
              <w:rPr>
                <w:sz w:val="20"/>
                <w:szCs w:val="20"/>
                <w:highlight w:val="yellow"/>
                <w:lang w:eastAsia="en-GB"/>
              </w:rPr>
            </w:pPr>
          </w:p>
        </w:tc>
      </w:tr>
      <w:tr w:rsidR="00D15D90" w:rsidRPr="003312E3" w14:paraId="1094AE96" w14:textId="77777777" w:rsidTr="00012E0D">
        <w:trPr>
          <w:trHeight w:val="279"/>
        </w:trPr>
        <w:tc>
          <w:tcPr>
            <w:tcW w:w="3366" w:type="dxa"/>
            <w:tcBorders>
              <w:top w:val="nil"/>
              <w:left w:val="single" w:sz="8" w:space="0" w:color="auto"/>
              <w:bottom w:val="nil"/>
              <w:right w:val="nil"/>
            </w:tcBorders>
            <w:shd w:val="clear" w:color="auto" w:fill="auto"/>
            <w:noWrap/>
            <w:vAlign w:val="bottom"/>
          </w:tcPr>
          <w:p w14:paraId="7F42B091" w14:textId="77777777" w:rsidR="00D15D90" w:rsidRPr="003312E3" w:rsidRDefault="00D15D90" w:rsidP="00012E0D">
            <w:pPr>
              <w:rPr>
                <w:rFonts w:ascii="Arial" w:hAnsi="Arial" w:cs="Arial"/>
                <w:sz w:val="20"/>
                <w:szCs w:val="20"/>
                <w:lang w:eastAsia="en-GB"/>
              </w:rPr>
            </w:pPr>
            <w:r w:rsidRPr="003312E3">
              <w:rPr>
                <w:rFonts w:ascii="Arial" w:hAnsi="Arial" w:cs="Arial"/>
                <w:sz w:val="20"/>
                <w:szCs w:val="20"/>
                <w:lang w:eastAsia="en-GB"/>
              </w:rPr>
              <w:t>Election</w:t>
            </w:r>
          </w:p>
        </w:tc>
        <w:tc>
          <w:tcPr>
            <w:tcW w:w="1214" w:type="dxa"/>
            <w:tcBorders>
              <w:top w:val="nil"/>
              <w:left w:val="single" w:sz="4" w:space="0" w:color="auto"/>
              <w:bottom w:val="nil"/>
              <w:right w:val="single" w:sz="4" w:space="0" w:color="auto"/>
            </w:tcBorders>
            <w:shd w:val="clear" w:color="auto" w:fill="auto"/>
          </w:tcPr>
          <w:p w14:paraId="3C7C9526"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0</w:t>
            </w:r>
          </w:p>
        </w:tc>
        <w:tc>
          <w:tcPr>
            <w:tcW w:w="1375" w:type="dxa"/>
            <w:tcBorders>
              <w:top w:val="nil"/>
              <w:left w:val="nil"/>
              <w:bottom w:val="nil"/>
              <w:right w:val="nil"/>
            </w:tcBorders>
            <w:shd w:val="clear" w:color="auto" w:fill="auto"/>
            <w:noWrap/>
          </w:tcPr>
          <w:p w14:paraId="1272B0FE" w14:textId="77777777" w:rsidR="00D15D90" w:rsidRPr="003312E3" w:rsidRDefault="00D15D90" w:rsidP="00012E0D">
            <w:pPr>
              <w:jc w:val="right"/>
              <w:rPr>
                <w:rFonts w:ascii="Arial" w:hAnsi="Arial" w:cs="Arial"/>
                <w:color w:val="000000"/>
                <w:sz w:val="20"/>
                <w:szCs w:val="20"/>
                <w:highlight w:val="yellow"/>
                <w:lang w:eastAsia="en-GB"/>
              </w:rPr>
            </w:pPr>
            <w:r w:rsidRPr="003312E3">
              <w:rPr>
                <w:rFonts w:ascii="Arial" w:hAnsi="Arial"/>
                <w:sz w:val="20"/>
                <w:lang w:val="en-US"/>
              </w:rPr>
              <w:t>170</w:t>
            </w:r>
          </w:p>
        </w:tc>
        <w:tc>
          <w:tcPr>
            <w:tcW w:w="1271" w:type="dxa"/>
            <w:tcBorders>
              <w:top w:val="nil"/>
              <w:left w:val="single" w:sz="4" w:space="0" w:color="auto"/>
              <w:bottom w:val="nil"/>
              <w:right w:val="single" w:sz="8" w:space="0" w:color="auto"/>
            </w:tcBorders>
            <w:shd w:val="clear" w:color="auto" w:fill="auto"/>
          </w:tcPr>
          <w:p w14:paraId="54FCC01D"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170</w:t>
            </w:r>
          </w:p>
        </w:tc>
        <w:tc>
          <w:tcPr>
            <w:tcW w:w="252" w:type="dxa"/>
            <w:shd w:val="clear" w:color="auto" w:fill="auto"/>
            <w:vAlign w:val="center"/>
          </w:tcPr>
          <w:p w14:paraId="7F62E914" w14:textId="77777777" w:rsidR="00D15D90" w:rsidRPr="003312E3" w:rsidRDefault="00D15D90" w:rsidP="00012E0D">
            <w:pPr>
              <w:rPr>
                <w:sz w:val="20"/>
                <w:szCs w:val="20"/>
                <w:highlight w:val="yellow"/>
                <w:lang w:eastAsia="en-GB"/>
              </w:rPr>
            </w:pPr>
          </w:p>
        </w:tc>
      </w:tr>
      <w:tr w:rsidR="00D15D90" w:rsidRPr="003312E3" w14:paraId="1B0E72A2"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32FA6FF5" w14:textId="77777777" w:rsidR="00D15D90" w:rsidRPr="003312E3" w:rsidRDefault="00D15D90" w:rsidP="00012E0D">
            <w:pPr>
              <w:rPr>
                <w:rFonts w:ascii="Arial" w:hAnsi="Arial" w:cs="Arial"/>
                <w:sz w:val="20"/>
                <w:szCs w:val="20"/>
                <w:lang w:eastAsia="en-GB"/>
              </w:rPr>
            </w:pPr>
            <w:r w:rsidRPr="003312E3">
              <w:rPr>
                <w:rFonts w:ascii="Arial" w:hAnsi="Arial" w:cs="Arial"/>
                <w:sz w:val="20"/>
                <w:szCs w:val="20"/>
                <w:lang w:eastAsia="en-GB"/>
              </w:rPr>
              <w:t>Core Investment Team</w:t>
            </w:r>
          </w:p>
        </w:tc>
        <w:tc>
          <w:tcPr>
            <w:tcW w:w="1214" w:type="dxa"/>
            <w:tcBorders>
              <w:top w:val="nil"/>
              <w:left w:val="single" w:sz="4" w:space="0" w:color="auto"/>
              <w:bottom w:val="nil"/>
              <w:right w:val="single" w:sz="4" w:space="0" w:color="auto"/>
            </w:tcBorders>
            <w:shd w:val="clear" w:color="auto" w:fill="auto"/>
            <w:hideMark/>
          </w:tcPr>
          <w:p w14:paraId="4CA5DE13"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1,745</w:t>
            </w:r>
          </w:p>
        </w:tc>
        <w:tc>
          <w:tcPr>
            <w:tcW w:w="1375" w:type="dxa"/>
            <w:tcBorders>
              <w:top w:val="nil"/>
              <w:left w:val="nil"/>
              <w:bottom w:val="nil"/>
              <w:right w:val="nil"/>
            </w:tcBorders>
            <w:shd w:val="clear" w:color="auto" w:fill="auto"/>
            <w:noWrap/>
            <w:hideMark/>
          </w:tcPr>
          <w:p w14:paraId="1245511A" w14:textId="77777777" w:rsidR="00D15D90" w:rsidRPr="003312E3" w:rsidRDefault="00D15D90" w:rsidP="00012E0D">
            <w:pPr>
              <w:jc w:val="right"/>
              <w:rPr>
                <w:rFonts w:ascii="Arial" w:hAnsi="Arial" w:cs="Arial"/>
                <w:color w:val="000000"/>
                <w:sz w:val="20"/>
                <w:szCs w:val="20"/>
                <w:highlight w:val="yellow"/>
                <w:lang w:eastAsia="en-GB"/>
              </w:rPr>
            </w:pPr>
            <w:r w:rsidRPr="003312E3">
              <w:rPr>
                <w:rFonts w:ascii="Arial" w:hAnsi="Arial"/>
                <w:sz w:val="20"/>
                <w:lang w:val="en-US"/>
              </w:rPr>
              <w:t>1,616</w:t>
            </w:r>
          </w:p>
        </w:tc>
        <w:tc>
          <w:tcPr>
            <w:tcW w:w="1271" w:type="dxa"/>
            <w:tcBorders>
              <w:top w:val="nil"/>
              <w:left w:val="single" w:sz="4" w:space="0" w:color="auto"/>
              <w:bottom w:val="nil"/>
              <w:right w:val="single" w:sz="8" w:space="0" w:color="auto"/>
            </w:tcBorders>
            <w:shd w:val="clear" w:color="auto" w:fill="auto"/>
            <w:hideMark/>
          </w:tcPr>
          <w:p w14:paraId="08450FE4" w14:textId="77777777" w:rsidR="00D15D90" w:rsidRPr="003312E3" w:rsidRDefault="00D15D90" w:rsidP="00012E0D">
            <w:pPr>
              <w:jc w:val="right"/>
              <w:rPr>
                <w:rFonts w:ascii="Arial" w:hAnsi="Arial" w:cs="Arial"/>
                <w:sz w:val="20"/>
                <w:szCs w:val="20"/>
                <w:highlight w:val="yellow"/>
                <w:lang w:eastAsia="en-GB"/>
              </w:rPr>
            </w:pPr>
            <w:r>
              <w:rPr>
                <w:rFonts w:ascii="Arial" w:hAnsi="Arial"/>
                <w:sz w:val="20"/>
                <w:lang w:val="en-US"/>
              </w:rPr>
              <w:t>(</w:t>
            </w:r>
            <w:r w:rsidRPr="003312E3">
              <w:rPr>
                <w:rFonts w:ascii="Arial" w:hAnsi="Arial"/>
                <w:sz w:val="20"/>
                <w:lang w:val="en-US"/>
              </w:rPr>
              <w:t>129</w:t>
            </w:r>
            <w:r>
              <w:rPr>
                <w:rFonts w:ascii="Arial" w:hAnsi="Arial"/>
                <w:sz w:val="20"/>
                <w:lang w:val="en-US"/>
              </w:rPr>
              <w:t>)</w:t>
            </w:r>
          </w:p>
        </w:tc>
        <w:tc>
          <w:tcPr>
            <w:tcW w:w="252" w:type="dxa"/>
            <w:shd w:val="clear" w:color="auto" w:fill="auto"/>
            <w:vAlign w:val="center"/>
            <w:hideMark/>
          </w:tcPr>
          <w:p w14:paraId="5C7F4F34" w14:textId="77777777" w:rsidR="00D15D90" w:rsidRPr="003312E3" w:rsidRDefault="00D15D90" w:rsidP="00012E0D">
            <w:pPr>
              <w:rPr>
                <w:sz w:val="20"/>
                <w:szCs w:val="20"/>
                <w:highlight w:val="yellow"/>
                <w:lang w:eastAsia="en-GB"/>
              </w:rPr>
            </w:pPr>
          </w:p>
        </w:tc>
      </w:tr>
      <w:tr w:rsidR="00D15D90" w:rsidRPr="003312E3" w14:paraId="18086ADA"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1450642E" w14:textId="77777777" w:rsidR="00D15D90" w:rsidRPr="003312E3" w:rsidRDefault="00D15D90" w:rsidP="00012E0D">
            <w:pPr>
              <w:rPr>
                <w:rFonts w:ascii="Arial" w:hAnsi="Arial" w:cs="Arial"/>
                <w:sz w:val="20"/>
                <w:szCs w:val="20"/>
                <w:lang w:eastAsia="en-GB"/>
              </w:rPr>
            </w:pPr>
            <w:r w:rsidRPr="003312E3">
              <w:rPr>
                <w:rFonts w:ascii="Arial" w:hAnsi="Arial" w:cs="Arial"/>
                <w:sz w:val="20"/>
                <w:szCs w:val="20"/>
                <w:lang w:eastAsia="en-GB"/>
              </w:rPr>
              <w:t>Digital</w:t>
            </w:r>
          </w:p>
        </w:tc>
        <w:tc>
          <w:tcPr>
            <w:tcW w:w="1214" w:type="dxa"/>
            <w:tcBorders>
              <w:top w:val="nil"/>
              <w:left w:val="single" w:sz="4" w:space="0" w:color="auto"/>
              <w:bottom w:val="nil"/>
              <w:right w:val="single" w:sz="4" w:space="0" w:color="auto"/>
            </w:tcBorders>
            <w:shd w:val="clear" w:color="auto" w:fill="auto"/>
            <w:hideMark/>
          </w:tcPr>
          <w:p w14:paraId="6B1FFC72"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353</w:t>
            </w:r>
          </w:p>
        </w:tc>
        <w:tc>
          <w:tcPr>
            <w:tcW w:w="1375" w:type="dxa"/>
            <w:tcBorders>
              <w:top w:val="nil"/>
              <w:left w:val="nil"/>
              <w:bottom w:val="nil"/>
              <w:right w:val="nil"/>
            </w:tcBorders>
            <w:shd w:val="clear" w:color="auto" w:fill="auto"/>
            <w:noWrap/>
            <w:hideMark/>
          </w:tcPr>
          <w:p w14:paraId="4524830C" w14:textId="77777777" w:rsidR="00D15D90" w:rsidRPr="003312E3" w:rsidRDefault="00D15D90" w:rsidP="00012E0D">
            <w:pPr>
              <w:jc w:val="right"/>
              <w:rPr>
                <w:rFonts w:ascii="Arial" w:hAnsi="Arial" w:cs="Arial"/>
                <w:color w:val="000000"/>
                <w:sz w:val="20"/>
                <w:szCs w:val="20"/>
                <w:highlight w:val="yellow"/>
                <w:lang w:eastAsia="en-GB"/>
              </w:rPr>
            </w:pPr>
            <w:r w:rsidRPr="003312E3">
              <w:rPr>
                <w:rFonts w:ascii="Arial" w:hAnsi="Arial"/>
                <w:sz w:val="20"/>
                <w:lang w:val="en-US"/>
              </w:rPr>
              <w:t>4,709</w:t>
            </w:r>
          </w:p>
        </w:tc>
        <w:tc>
          <w:tcPr>
            <w:tcW w:w="1271" w:type="dxa"/>
            <w:tcBorders>
              <w:top w:val="nil"/>
              <w:left w:val="single" w:sz="4" w:space="0" w:color="auto"/>
              <w:bottom w:val="nil"/>
              <w:right w:val="single" w:sz="8" w:space="0" w:color="auto"/>
            </w:tcBorders>
            <w:shd w:val="clear" w:color="auto" w:fill="auto"/>
            <w:hideMark/>
          </w:tcPr>
          <w:p w14:paraId="24C430EA"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4,356</w:t>
            </w:r>
          </w:p>
        </w:tc>
        <w:tc>
          <w:tcPr>
            <w:tcW w:w="252" w:type="dxa"/>
            <w:shd w:val="clear" w:color="auto" w:fill="auto"/>
            <w:vAlign w:val="center"/>
            <w:hideMark/>
          </w:tcPr>
          <w:p w14:paraId="15953469" w14:textId="77777777" w:rsidR="00D15D90" w:rsidRPr="003312E3" w:rsidRDefault="00D15D90" w:rsidP="00012E0D">
            <w:pPr>
              <w:rPr>
                <w:sz w:val="20"/>
                <w:szCs w:val="20"/>
                <w:highlight w:val="yellow"/>
                <w:lang w:eastAsia="en-GB"/>
              </w:rPr>
            </w:pPr>
          </w:p>
        </w:tc>
      </w:tr>
      <w:tr w:rsidR="00D15D90" w:rsidRPr="003312E3" w14:paraId="795012A7"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15F7E458" w14:textId="77777777" w:rsidR="00D15D90" w:rsidRPr="003312E3" w:rsidRDefault="00D15D90" w:rsidP="00012E0D">
            <w:pPr>
              <w:rPr>
                <w:rFonts w:ascii="Arial" w:hAnsi="Arial" w:cs="Arial"/>
                <w:sz w:val="20"/>
                <w:szCs w:val="20"/>
                <w:lang w:eastAsia="en-GB"/>
              </w:rPr>
            </w:pPr>
            <w:r w:rsidRPr="003312E3">
              <w:rPr>
                <w:rFonts w:ascii="Arial" w:hAnsi="Arial" w:cs="Arial"/>
                <w:sz w:val="20"/>
                <w:szCs w:val="20"/>
                <w:lang w:eastAsia="en-GB"/>
              </w:rPr>
              <w:t>Economy</w:t>
            </w:r>
          </w:p>
        </w:tc>
        <w:tc>
          <w:tcPr>
            <w:tcW w:w="1214" w:type="dxa"/>
            <w:tcBorders>
              <w:top w:val="nil"/>
              <w:left w:val="single" w:sz="4" w:space="0" w:color="auto"/>
              <w:bottom w:val="nil"/>
              <w:right w:val="single" w:sz="4" w:space="0" w:color="auto"/>
            </w:tcBorders>
            <w:shd w:val="clear" w:color="auto" w:fill="auto"/>
            <w:hideMark/>
          </w:tcPr>
          <w:p w14:paraId="61FFD1D1"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9,746</w:t>
            </w:r>
          </w:p>
        </w:tc>
        <w:tc>
          <w:tcPr>
            <w:tcW w:w="1375" w:type="dxa"/>
            <w:tcBorders>
              <w:top w:val="nil"/>
              <w:left w:val="nil"/>
              <w:bottom w:val="nil"/>
              <w:right w:val="nil"/>
            </w:tcBorders>
            <w:shd w:val="clear" w:color="auto" w:fill="auto"/>
            <w:noWrap/>
            <w:hideMark/>
          </w:tcPr>
          <w:p w14:paraId="2E213491" w14:textId="77777777" w:rsidR="00D15D90" w:rsidRPr="003312E3" w:rsidRDefault="00D15D90" w:rsidP="00012E0D">
            <w:pPr>
              <w:jc w:val="right"/>
              <w:rPr>
                <w:rFonts w:ascii="Arial" w:hAnsi="Arial" w:cs="Arial"/>
                <w:color w:val="000000"/>
                <w:sz w:val="20"/>
                <w:szCs w:val="20"/>
                <w:highlight w:val="yellow"/>
                <w:lang w:eastAsia="en-GB"/>
              </w:rPr>
            </w:pPr>
            <w:r w:rsidRPr="003312E3">
              <w:rPr>
                <w:rFonts w:ascii="Arial" w:hAnsi="Arial"/>
                <w:sz w:val="20"/>
                <w:lang w:val="en-US"/>
              </w:rPr>
              <w:t>15,543</w:t>
            </w:r>
          </w:p>
        </w:tc>
        <w:tc>
          <w:tcPr>
            <w:tcW w:w="1271" w:type="dxa"/>
            <w:tcBorders>
              <w:top w:val="nil"/>
              <w:left w:val="single" w:sz="4" w:space="0" w:color="auto"/>
              <w:bottom w:val="nil"/>
              <w:right w:val="single" w:sz="8" w:space="0" w:color="auto"/>
            </w:tcBorders>
            <w:shd w:val="clear" w:color="auto" w:fill="auto"/>
            <w:hideMark/>
          </w:tcPr>
          <w:p w14:paraId="4AEA58E5"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5,797</w:t>
            </w:r>
          </w:p>
        </w:tc>
        <w:tc>
          <w:tcPr>
            <w:tcW w:w="252" w:type="dxa"/>
            <w:shd w:val="clear" w:color="auto" w:fill="auto"/>
            <w:vAlign w:val="center"/>
            <w:hideMark/>
          </w:tcPr>
          <w:p w14:paraId="1B612834" w14:textId="77777777" w:rsidR="00D15D90" w:rsidRPr="003312E3" w:rsidRDefault="00D15D90" w:rsidP="00012E0D">
            <w:pPr>
              <w:rPr>
                <w:sz w:val="20"/>
                <w:szCs w:val="20"/>
                <w:highlight w:val="yellow"/>
                <w:lang w:eastAsia="en-GB"/>
              </w:rPr>
            </w:pPr>
          </w:p>
        </w:tc>
      </w:tr>
      <w:tr w:rsidR="00D15D90" w:rsidRPr="003312E3" w14:paraId="2735AF5E"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0FE8809D" w14:textId="77777777" w:rsidR="00D15D90" w:rsidRPr="003312E3" w:rsidRDefault="00D15D90" w:rsidP="00012E0D">
            <w:pPr>
              <w:rPr>
                <w:rFonts w:ascii="Arial" w:hAnsi="Arial" w:cs="Arial"/>
                <w:sz w:val="20"/>
                <w:szCs w:val="20"/>
                <w:lang w:eastAsia="en-GB"/>
              </w:rPr>
            </w:pPr>
            <w:r w:rsidRPr="003312E3">
              <w:rPr>
                <w:rFonts w:ascii="Arial" w:hAnsi="Arial" w:cs="Arial"/>
                <w:sz w:val="20"/>
                <w:szCs w:val="20"/>
                <w:lang w:eastAsia="en-GB"/>
              </w:rPr>
              <w:t>Environment</w:t>
            </w:r>
          </w:p>
        </w:tc>
        <w:tc>
          <w:tcPr>
            <w:tcW w:w="1214" w:type="dxa"/>
            <w:tcBorders>
              <w:top w:val="nil"/>
              <w:left w:val="single" w:sz="4" w:space="0" w:color="auto"/>
              <w:bottom w:val="nil"/>
              <w:right w:val="single" w:sz="4" w:space="0" w:color="auto"/>
            </w:tcBorders>
            <w:shd w:val="clear" w:color="auto" w:fill="auto"/>
            <w:hideMark/>
          </w:tcPr>
          <w:p w14:paraId="659AC8E5"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1,509</w:t>
            </w:r>
          </w:p>
        </w:tc>
        <w:tc>
          <w:tcPr>
            <w:tcW w:w="1375" w:type="dxa"/>
            <w:tcBorders>
              <w:top w:val="nil"/>
              <w:left w:val="nil"/>
              <w:bottom w:val="nil"/>
              <w:right w:val="nil"/>
            </w:tcBorders>
            <w:shd w:val="clear" w:color="auto" w:fill="auto"/>
            <w:noWrap/>
            <w:hideMark/>
          </w:tcPr>
          <w:p w14:paraId="7E19EC6D" w14:textId="77777777" w:rsidR="00D15D90" w:rsidRPr="003312E3" w:rsidRDefault="00D15D90" w:rsidP="00012E0D">
            <w:pPr>
              <w:jc w:val="right"/>
              <w:rPr>
                <w:rFonts w:ascii="Arial" w:hAnsi="Arial" w:cs="Arial"/>
                <w:color w:val="000000"/>
                <w:sz w:val="20"/>
                <w:szCs w:val="20"/>
                <w:highlight w:val="yellow"/>
                <w:lang w:eastAsia="en-GB"/>
              </w:rPr>
            </w:pPr>
            <w:r w:rsidRPr="003312E3">
              <w:rPr>
                <w:rFonts w:ascii="Arial" w:hAnsi="Arial"/>
                <w:sz w:val="20"/>
                <w:lang w:val="en-US"/>
              </w:rPr>
              <w:t>8,587</w:t>
            </w:r>
          </w:p>
        </w:tc>
        <w:tc>
          <w:tcPr>
            <w:tcW w:w="1271" w:type="dxa"/>
            <w:tcBorders>
              <w:top w:val="nil"/>
              <w:left w:val="single" w:sz="4" w:space="0" w:color="auto"/>
              <w:bottom w:val="nil"/>
              <w:right w:val="single" w:sz="8" w:space="0" w:color="auto"/>
            </w:tcBorders>
            <w:shd w:val="clear" w:color="auto" w:fill="auto"/>
            <w:hideMark/>
          </w:tcPr>
          <w:p w14:paraId="43901FBD"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7,078</w:t>
            </w:r>
          </w:p>
        </w:tc>
        <w:tc>
          <w:tcPr>
            <w:tcW w:w="252" w:type="dxa"/>
            <w:shd w:val="clear" w:color="auto" w:fill="auto"/>
            <w:vAlign w:val="center"/>
            <w:hideMark/>
          </w:tcPr>
          <w:p w14:paraId="0B1E5F2B" w14:textId="77777777" w:rsidR="00D15D90" w:rsidRPr="003312E3" w:rsidRDefault="00D15D90" w:rsidP="00012E0D">
            <w:pPr>
              <w:rPr>
                <w:sz w:val="20"/>
                <w:szCs w:val="20"/>
                <w:highlight w:val="yellow"/>
                <w:lang w:eastAsia="en-GB"/>
              </w:rPr>
            </w:pPr>
          </w:p>
        </w:tc>
      </w:tr>
      <w:tr w:rsidR="00D15D90" w:rsidRPr="003312E3" w14:paraId="6AC7DB6E"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51956C35" w14:textId="77777777" w:rsidR="00D15D90" w:rsidRPr="003312E3" w:rsidRDefault="00D15D90" w:rsidP="00012E0D">
            <w:pPr>
              <w:rPr>
                <w:rFonts w:ascii="Arial" w:hAnsi="Arial" w:cs="Arial"/>
                <w:sz w:val="20"/>
                <w:szCs w:val="20"/>
                <w:lang w:eastAsia="en-GB"/>
              </w:rPr>
            </w:pPr>
            <w:r w:rsidRPr="003312E3">
              <w:rPr>
                <w:rFonts w:ascii="Arial" w:hAnsi="Arial" w:cs="Arial"/>
                <w:sz w:val="20"/>
                <w:szCs w:val="20"/>
                <w:lang w:eastAsia="en-GB"/>
              </w:rPr>
              <w:t>Place</w:t>
            </w:r>
          </w:p>
        </w:tc>
        <w:tc>
          <w:tcPr>
            <w:tcW w:w="1214" w:type="dxa"/>
            <w:tcBorders>
              <w:top w:val="nil"/>
              <w:left w:val="single" w:sz="4" w:space="0" w:color="auto"/>
              <w:bottom w:val="nil"/>
              <w:right w:val="single" w:sz="4" w:space="0" w:color="auto"/>
            </w:tcBorders>
            <w:shd w:val="clear" w:color="auto" w:fill="auto"/>
            <w:hideMark/>
          </w:tcPr>
          <w:p w14:paraId="6C651CE5"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23,446</w:t>
            </w:r>
          </w:p>
        </w:tc>
        <w:tc>
          <w:tcPr>
            <w:tcW w:w="1375" w:type="dxa"/>
            <w:tcBorders>
              <w:top w:val="nil"/>
              <w:left w:val="nil"/>
              <w:bottom w:val="nil"/>
              <w:right w:val="nil"/>
            </w:tcBorders>
            <w:shd w:val="clear" w:color="auto" w:fill="auto"/>
            <w:noWrap/>
            <w:hideMark/>
          </w:tcPr>
          <w:p w14:paraId="7E126FC1" w14:textId="77777777" w:rsidR="00D15D90" w:rsidRPr="003312E3" w:rsidRDefault="00D15D90" w:rsidP="00012E0D">
            <w:pPr>
              <w:jc w:val="right"/>
              <w:rPr>
                <w:rFonts w:ascii="Arial" w:hAnsi="Arial" w:cs="Arial"/>
                <w:color w:val="000000"/>
                <w:sz w:val="20"/>
                <w:szCs w:val="20"/>
                <w:highlight w:val="yellow"/>
                <w:lang w:eastAsia="en-GB"/>
              </w:rPr>
            </w:pPr>
            <w:r w:rsidRPr="003312E3">
              <w:rPr>
                <w:rFonts w:ascii="Arial" w:hAnsi="Arial"/>
                <w:sz w:val="20"/>
                <w:lang w:val="en-US"/>
              </w:rPr>
              <w:t>29,009</w:t>
            </w:r>
          </w:p>
        </w:tc>
        <w:tc>
          <w:tcPr>
            <w:tcW w:w="1271" w:type="dxa"/>
            <w:tcBorders>
              <w:top w:val="nil"/>
              <w:left w:val="single" w:sz="4" w:space="0" w:color="auto"/>
              <w:bottom w:val="nil"/>
              <w:right w:val="single" w:sz="8" w:space="0" w:color="auto"/>
            </w:tcBorders>
            <w:shd w:val="clear" w:color="auto" w:fill="auto"/>
            <w:hideMark/>
          </w:tcPr>
          <w:p w14:paraId="245634FA"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5,563</w:t>
            </w:r>
          </w:p>
        </w:tc>
        <w:tc>
          <w:tcPr>
            <w:tcW w:w="252" w:type="dxa"/>
            <w:shd w:val="clear" w:color="auto" w:fill="auto"/>
            <w:vAlign w:val="center"/>
            <w:hideMark/>
          </w:tcPr>
          <w:p w14:paraId="1A3B2A06" w14:textId="77777777" w:rsidR="00D15D90" w:rsidRPr="003312E3" w:rsidRDefault="00D15D90" w:rsidP="00012E0D">
            <w:pPr>
              <w:rPr>
                <w:sz w:val="20"/>
                <w:szCs w:val="20"/>
                <w:highlight w:val="yellow"/>
                <w:lang w:eastAsia="en-GB"/>
              </w:rPr>
            </w:pPr>
          </w:p>
        </w:tc>
      </w:tr>
      <w:tr w:rsidR="00D15D90" w:rsidRPr="003312E3" w14:paraId="0F7D726E"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1039EE18" w14:textId="77777777" w:rsidR="00D15D90" w:rsidRPr="003312E3" w:rsidRDefault="00D15D90" w:rsidP="00012E0D">
            <w:pPr>
              <w:rPr>
                <w:rFonts w:ascii="Arial" w:hAnsi="Arial" w:cs="Arial"/>
                <w:sz w:val="20"/>
                <w:szCs w:val="20"/>
                <w:lang w:eastAsia="en-GB"/>
              </w:rPr>
            </w:pPr>
            <w:r w:rsidRPr="003312E3">
              <w:rPr>
                <w:rFonts w:ascii="Arial" w:hAnsi="Arial" w:cs="Arial"/>
                <w:sz w:val="20"/>
                <w:szCs w:val="20"/>
                <w:lang w:eastAsia="en-GB"/>
              </w:rPr>
              <w:t xml:space="preserve">Public Service Reform </w:t>
            </w:r>
          </w:p>
        </w:tc>
        <w:tc>
          <w:tcPr>
            <w:tcW w:w="1214" w:type="dxa"/>
            <w:tcBorders>
              <w:top w:val="nil"/>
              <w:left w:val="single" w:sz="4" w:space="0" w:color="auto"/>
              <w:bottom w:val="nil"/>
              <w:right w:val="single" w:sz="4" w:space="0" w:color="auto"/>
            </w:tcBorders>
            <w:shd w:val="clear" w:color="auto" w:fill="auto"/>
            <w:hideMark/>
          </w:tcPr>
          <w:p w14:paraId="196FCE30"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41,884</w:t>
            </w:r>
          </w:p>
        </w:tc>
        <w:tc>
          <w:tcPr>
            <w:tcW w:w="1375" w:type="dxa"/>
            <w:tcBorders>
              <w:top w:val="nil"/>
              <w:left w:val="nil"/>
              <w:bottom w:val="nil"/>
              <w:right w:val="nil"/>
            </w:tcBorders>
            <w:shd w:val="clear" w:color="auto" w:fill="auto"/>
            <w:noWrap/>
            <w:hideMark/>
          </w:tcPr>
          <w:p w14:paraId="7145B524" w14:textId="77777777" w:rsidR="00D15D90" w:rsidRPr="003312E3" w:rsidRDefault="00D15D90" w:rsidP="00012E0D">
            <w:pPr>
              <w:jc w:val="right"/>
              <w:rPr>
                <w:rFonts w:ascii="Arial" w:hAnsi="Arial" w:cs="Arial"/>
                <w:color w:val="000000"/>
                <w:sz w:val="20"/>
                <w:szCs w:val="20"/>
                <w:highlight w:val="yellow"/>
                <w:lang w:eastAsia="en-GB"/>
              </w:rPr>
            </w:pPr>
            <w:r w:rsidRPr="003312E3">
              <w:rPr>
                <w:rFonts w:ascii="Arial" w:hAnsi="Arial"/>
                <w:sz w:val="20"/>
                <w:lang w:val="en-US"/>
              </w:rPr>
              <w:t>44,233</w:t>
            </w:r>
          </w:p>
        </w:tc>
        <w:tc>
          <w:tcPr>
            <w:tcW w:w="1271" w:type="dxa"/>
            <w:tcBorders>
              <w:top w:val="nil"/>
              <w:left w:val="single" w:sz="4" w:space="0" w:color="auto"/>
              <w:bottom w:val="nil"/>
              <w:right w:val="single" w:sz="8" w:space="0" w:color="auto"/>
            </w:tcBorders>
            <w:shd w:val="clear" w:color="auto" w:fill="auto"/>
            <w:hideMark/>
          </w:tcPr>
          <w:p w14:paraId="1A431EA4"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4,349</w:t>
            </w:r>
          </w:p>
        </w:tc>
        <w:tc>
          <w:tcPr>
            <w:tcW w:w="252" w:type="dxa"/>
            <w:shd w:val="clear" w:color="auto" w:fill="auto"/>
            <w:vAlign w:val="center"/>
            <w:hideMark/>
          </w:tcPr>
          <w:p w14:paraId="1BFB3719" w14:textId="77777777" w:rsidR="00D15D90" w:rsidRPr="003312E3" w:rsidRDefault="00D15D90" w:rsidP="00012E0D">
            <w:pPr>
              <w:rPr>
                <w:sz w:val="20"/>
                <w:szCs w:val="20"/>
                <w:highlight w:val="yellow"/>
                <w:lang w:eastAsia="en-GB"/>
              </w:rPr>
            </w:pPr>
          </w:p>
        </w:tc>
      </w:tr>
      <w:tr w:rsidR="00D15D90" w:rsidRPr="003312E3" w14:paraId="37A6B540"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5A9BB037" w14:textId="77777777" w:rsidR="00D15D90" w:rsidRPr="003312E3" w:rsidRDefault="00D15D90" w:rsidP="00012E0D">
            <w:pPr>
              <w:rPr>
                <w:rFonts w:ascii="Arial" w:hAnsi="Arial" w:cs="Arial"/>
                <w:sz w:val="20"/>
                <w:szCs w:val="20"/>
                <w:lang w:eastAsia="en-GB"/>
              </w:rPr>
            </w:pPr>
            <w:r w:rsidRPr="003312E3">
              <w:rPr>
                <w:rFonts w:ascii="Arial" w:hAnsi="Arial" w:cs="Arial"/>
                <w:sz w:val="20"/>
                <w:szCs w:val="20"/>
                <w:lang w:eastAsia="en-GB"/>
              </w:rPr>
              <w:t>Work and Skills</w:t>
            </w:r>
          </w:p>
        </w:tc>
        <w:tc>
          <w:tcPr>
            <w:tcW w:w="1214" w:type="dxa"/>
            <w:tcBorders>
              <w:top w:val="nil"/>
              <w:left w:val="single" w:sz="4" w:space="0" w:color="auto"/>
              <w:bottom w:val="nil"/>
              <w:right w:val="single" w:sz="4" w:space="0" w:color="auto"/>
            </w:tcBorders>
            <w:shd w:val="clear" w:color="auto" w:fill="auto"/>
            <w:hideMark/>
          </w:tcPr>
          <w:p w14:paraId="21C4080C"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141,120</w:t>
            </w:r>
          </w:p>
        </w:tc>
        <w:tc>
          <w:tcPr>
            <w:tcW w:w="1375" w:type="dxa"/>
            <w:tcBorders>
              <w:top w:val="nil"/>
              <w:left w:val="nil"/>
              <w:bottom w:val="nil"/>
              <w:right w:val="nil"/>
            </w:tcBorders>
            <w:shd w:val="clear" w:color="auto" w:fill="auto"/>
            <w:noWrap/>
            <w:hideMark/>
          </w:tcPr>
          <w:p w14:paraId="78757492" w14:textId="77777777" w:rsidR="00D15D90" w:rsidRPr="003312E3" w:rsidRDefault="00D15D90" w:rsidP="00012E0D">
            <w:pPr>
              <w:jc w:val="right"/>
              <w:rPr>
                <w:rFonts w:ascii="Arial" w:hAnsi="Arial" w:cs="Arial"/>
                <w:color w:val="000000"/>
                <w:sz w:val="20"/>
                <w:szCs w:val="20"/>
                <w:highlight w:val="yellow"/>
                <w:lang w:eastAsia="en-GB"/>
              </w:rPr>
            </w:pPr>
            <w:r w:rsidRPr="003312E3">
              <w:rPr>
                <w:rFonts w:ascii="Arial" w:hAnsi="Arial"/>
                <w:sz w:val="20"/>
                <w:lang w:val="en-US"/>
              </w:rPr>
              <w:t>140,099</w:t>
            </w:r>
          </w:p>
        </w:tc>
        <w:tc>
          <w:tcPr>
            <w:tcW w:w="1271" w:type="dxa"/>
            <w:tcBorders>
              <w:top w:val="nil"/>
              <w:left w:val="single" w:sz="4" w:space="0" w:color="auto"/>
              <w:bottom w:val="nil"/>
              <w:right w:val="single" w:sz="8" w:space="0" w:color="auto"/>
            </w:tcBorders>
            <w:shd w:val="clear" w:color="auto" w:fill="auto"/>
            <w:hideMark/>
          </w:tcPr>
          <w:p w14:paraId="4D05F86E" w14:textId="77777777" w:rsidR="00D15D90" w:rsidRPr="003312E3" w:rsidRDefault="00D15D90" w:rsidP="00012E0D">
            <w:pPr>
              <w:jc w:val="right"/>
              <w:rPr>
                <w:rFonts w:ascii="Arial" w:hAnsi="Arial" w:cs="Arial"/>
                <w:sz w:val="20"/>
                <w:szCs w:val="20"/>
                <w:highlight w:val="yellow"/>
                <w:lang w:eastAsia="en-GB"/>
              </w:rPr>
            </w:pPr>
            <w:r>
              <w:rPr>
                <w:rFonts w:ascii="Arial" w:hAnsi="Arial"/>
                <w:sz w:val="20"/>
                <w:lang w:val="en-US"/>
              </w:rPr>
              <w:t>(</w:t>
            </w:r>
            <w:r w:rsidRPr="003312E3">
              <w:rPr>
                <w:rFonts w:ascii="Arial" w:hAnsi="Arial"/>
                <w:sz w:val="20"/>
                <w:lang w:val="en-US"/>
              </w:rPr>
              <w:t>1,021</w:t>
            </w:r>
            <w:r>
              <w:rPr>
                <w:rFonts w:ascii="Arial" w:hAnsi="Arial"/>
                <w:sz w:val="20"/>
                <w:lang w:val="en-US"/>
              </w:rPr>
              <w:t>)</w:t>
            </w:r>
          </w:p>
        </w:tc>
        <w:tc>
          <w:tcPr>
            <w:tcW w:w="252" w:type="dxa"/>
            <w:shd w:val="clear" w:color="auto" w:fill="auto"/>
            <w:vAlign w:val="center"/>
            <w:hideMark/>
          </w:tcPr>
          <w:p w14:paraId="7918634F" w14:textId="77777777" w:rsidR="00D15D90" w:rsidRPr="003312E3" w:rsidRDefault="00D15D90" w:rsidP="00012E0D">
            <w:pPr>
              <w:rPr>
                <w:sz w:val="20"/>
                <w:szCs w:val="20"/>
                <w:highlight w:val="yellow"/>
                <w:lang w:eastAsia="en-GB"/>
              </w:rPr>
            </w:pPr>
          </w:p>
        </w:tc>
      </w:tr>
      <w:tr w:rsidR="00D15D90" w:rsidRPr="003312E3" w14:paraId="128D66CE" w14:textId="77777777" w:rsidTr="00012E0D">
        <w:trPr>
          <w:trHeight w:val="279"/>
        </w:trPr>
        <w:tc>
          <w:tcPr>
            <w:tcW w:w="3366" w:type="dxa"/>
            <w:tcBorders>
              <w:top w:val="single" w:sz="4" w:space="0" w:color="auto"/>
              <w:left w:val="single" w:sz="8" w:space="0" w:color="auto"/>
              <w:bottom w:val="single" w:sz="4" w:space="0" w:color="auto"/>
              <w:right w:val="nil"/>
            </w:tcBorders>
            <w:shd w:val="clear" w:color="auto" w:fill="auto"/>
            <w:noWrap/>
            <w:vAlign w:val="bottom"/>
            <w:hideMark/>
          </w:tcPr>
          <w:p w14:paraId="1184334B" w14:textId="77777777" w:rsidR="00D15D90" w:rsidRPr="003312E3" w:rsidRDefault="00D15D90" w:rsidP="00012E0D">
            <w:pPr>
              <w:rPr>
                <w:rFonts w:ascii="Arial" w:hAnsi="Arial" w:cs="Arial"/>
                <w:b/>
                <w:bCs/>
                <w:sz w:val="20"/>
                <w:szCs w:val="20"/>
                <w:lang w:eastAsia="en-GB"/>
              </w:rPr>
            </w:pPr>
            <w:r w:rsidRPr="003312E3">
              <w:rPr>
                <w:rFonts w:ascii="Arial" w:hAnsi="Arial" w:cs="Arial"/>
                <w:b/>
                <w:bCs/>
                <w:sz w:val="20"/>
                <w:szCs w:val="20"/>
                <w:lang w:eastAsia="en-GB"/>
              </w:rPr>
              <w:t>Total Expenditure</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14:paraId="17B06BF6" w14:textId="77777777" w:rsidR="00D15D90" w:rsidRPr="003312E3" w:rsidRDefault="00D15D90" w:rsidP="00012E0D">
            <w:pPr>
              <w:jc w:val="right"/>
              <w:rPr>
                <w:rFonts w:ascii="Arial" w:hAnsi="Arial" w:cs="Arial"/>
                <w:b/>
                <w:bCs/>
                <w:sz w:val="20"/>
                <w:szCs w:val="20"/>
                <w:highlight w:val="yellow"/>
                <w:lang w:eastAsia="en-GB"/>
              </w:rPr>
            </w:pPr>
            <w:r w:rsidRPr="003312E3">
              <w:rPr>
                <w:rFonts w:ascii="Arial" w:hAnsi="Arial"/>
                <w:b/>
                <w:bCs/>
                <w:sz w:val="20"/>
                <w:lang w:val="en-US"/>
              </w:rPr>
              <w:t>245,584</w:t>
            </w:r>
          </w:p>
        </w:tc>
        <w:tc>
          <w:tcPr>
            <w:tcW w:w="1375" w:type="dxa"/>
            <w:tcBorders>
              <w:top w:val="single" w:sz="4" w:space="0" w:color="auto"/>
              <w:left w:val="nil"/>
              <w:bottom w:val="single" w:sz="4" w:space="0" w:color="auto"/>
              <w:right w:val="single" w:sz="4" w:space="0" w:color="auto"/>
            </w:tcBorders>
            <w:shd w:val="clear" w:color="auto" w:fill="auto"/>
            <w:noWrap/>
            <w:hideMark/>
          </w:tcPr>
          <w:p w14:paraId="662A7A2E" w14:textId="77777777" w:rsidR="00D15D90" w:rsidRPr="003312E3" w:rsidRDefault="00D15D90" w:rsidP="00012E0D">
            <w:pPr>
              <w:jc w:val="right"/>
              <w:rPr>
                <w:rFonts w:ascii="Arial" w:hAnsi="Arial" w:cs="Arial"/>
                <w:b/>
                <w:bCs/>
                <w:sz w:val="20"/>
                <w:szCs w:val="20"/>
                <w:highlight w:val="yellow"/>
                <w:lang w:eastAsia="en-GB"/>
              </w:rPr>
            </w:pPr>
            <w:r w:rsidRPr="003312E3">
              <w:rPr>
                <w:rFonts w:ascii="Arial" w:hAnsi="Arial"/>
                <w:b/>
                <w:bCs/>
                <w:sz w:val="20"/>
                <w:lang w:val="en-US"/>
              </w:rPr>
              <w:t>272,818</w:t>
            </w:r>
          </w:p>
        </w:tc>
        <w:tc>
          <w:tcPr>
            <w:tcW w:w="1271" w:type="dxa"/>
            <w:tcBorders>
              <w:top w:val="single" w:sz="4" w:space="0" w:color="auto"/>
              <w:left w:val="nil"/>
              <w:bottom w:val="single" w:sz="4" w:space="0" w:color="auto"/>
              <w:right w:val="single" w:sz="8" w:space="0" w:color="auto"/>
            </w:tcBorders>
            <w:shd w:val="clear" w:color="auto" w:fill="auto"/>
            <w:noWrap/>
            <w:hideMark/>
          </w:tcPr>
          <w:p w14:paraId="069E314C" w14:textId="77777777" w:rsidR="00D15D90" w:rsidRPr="003312E3" w:rsidRDefault="00D15D90" w:rsidP="00012E0D">
            <w:pPr>
              <w:jc w:val="right"/>
              <w:rPr>
                <w:rFonts w:ascii="Arial" w:hAnsi="Arial" w:cs="Arial"/>
                <w:b/>
                <w:bCs/>
                <w:sz w:val="20"/>
                <w:szCs w:val="20"/>
                <w:highlight w:val="yellow"/>
                <w:lang w:eastAsia="en-GB"/>
              </w:rPr>
            </w:pPr>
            <w:r w:rsidRPr="003312E3">
              <w:rPr>
                <w:rFonts w:ascii="Arial" w:hAnsi="Arial"/>
                <w:b/>
                <w:bCs/>
                <w:sz w:val="20"/>
                <w:lang w:val="en-US"/>
              </w:rPr>
              <w:t>29,234</w:t>
            </w:r>
          </w:p>
        </w:tc>
        <w:tc>
          <w:tcPr>
            <w:tcW w:w="252" w:type="dxa"/>
            <w:shd w:val="clear" w:color="auto" w:fill="auto"/>
            <w:vAlign w:val="center"/>
            <w:hideMark/>
          </w:tcPr>
          <w:p w14:paraId="7DD5EA60" w14:textId="77777777" w:rsidR="00D15D90" w:rsidRPr="003312E3" w:rsidRDefault="00D15D90" w:rsidP="00012E0D">
            <w:pPr>
              <w:rPr>
                <w:sz w:val="20"/>
                <w:szCs w:val="20"/>
                <w:highlight w:val="yellow"/>
                <w:lang w:eastAsia="en-GB"/>
              </w:rPr>
            </w:pPr>
          </w:p>
        </w:tc>
      </w:tr>
      <w:tr w:rsidR="00D15D90" w:rsidRPr="003312E3" w14:paraId="72892CBF"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55AD9F1D" w14:textId="77777777" w:rsidR="00D15D90" w:rsidRPr="003312E3" w:rsidRDefault="00D15D90" w:rsidP="00012E0D">
            <w:pPr>
              <w:rPr>
                <w:rFonts w:ascii="Arial" w:hAnsi="Arial" w:cs="Arial"/>
                <w:b/>
                <w:bCs/>
                <w:sz w:val="20"/>
                <w:szCs w:val="20"/>
                <w:lang w:eastAsia="en-GB"/>
              </w:rPr>
            </w:pPr>
            <w:r w:rsidRPr="003312E3">
              <w:rPr>
                <w:rFonts w:ascii="Arial" w:hAnsi="Arial" w:cs="Arial"/>
                <w:b/>
                <w:bCs/>
                <w:sz w:val="20"/>
                <w:szCs w:val="20"/>
                <w:lang w:eastAsia="en-GB"/>
              </w:rPr>
              <w:t> </w:t>
            </w:r>
          </w:p>
        </w:tc>
        <w:tc>
          <w:tcPr>
            <w:tcW w:w="1214" w:type="dxa"/>
            <w:tcBorders>
              <w:top w:val="nil"/>
              <w:left w:val="single" w:sz="4" w:space="0" w:color="auto"/>
              <w:bottom w:val="nil"/>
              <w:right w:val="single" w:sz="4" w:space="0" w:color="auto"/>
            </w:tcBorders>
            <w:shd w:val="clear" w:color="auto" w:fill="auto"/>
            <w:noWrap/>
            <w:vAlign w:val="bottom"/>
            <w:hideMark/>
          </w:tcPr>
          <w:p w14:paraId="00BDF0CF" w14:textId="77777777" w:rsidR="00D15D90" w:rsidRPr="003312E3" w:rsidRDefault="00D15D90" w:rsidP="00012E0D">
            <w:pPr>
              <w:jc w:val="right"/>
              <w:rPr>
                <w:rFonts w:ascii="Arial" w:hAnsi="Arial" w:cs="Arial"/>
                <w:b/>
                <w:bCs/>
                <w:sz w:val="20"/>
                <w:szCs w:val="20"/>
                <w:lang w:eastAsia="en-GB"/>
              </w:rPr>
            </w:pPr>
            <w:r w:rsidRPr="003312E3">
              <w:rPr>
                <w:rFonts w:ascii="Arial" w:hAnsi="Arial" w:cs="Arial"/>
                <w:b/>
                <w:bCs/>
                <w:sz w:val="20"/>
                <w:szCs w:val="20"/>
                <w:lang w:eastAsia="en-GB"/>
              </w:rPr>
              <w:t> </w:t>
            </w:r>
          </w:p>
        </w:tc>
        <w:tc>
          <w:tcPr>
            <w:tcW w:w="1375" w:type="dxa"/>
            <w:tcBorders>
              <w:top w:val="nil"/>
              <w:left w:val="nil"/>
              <w:bottom w:val="nil"/>
              <w:right w:val="single" w:sz="4" w:space="0" w:color="auto"/>
            </w:tcBorders>
            <w:shd w:val="clear" w:color="auto" w:fill="auto"/>
            <w:noWrap/>
            <w:vAlign w:val="bottom"/>
            <w:hideMark/>
          </w:tcPr>
          <w:p w14:paraId="11CBDD70" w14:textId="77777777" w:rsidR="00D15D90" w:rsidRPr="003312E3" w:rsidRDefault="00D15D90" w:rsidP="00012E0D">
            <w:pPr>
              <w:jc w:val="right"/>
              <w:rPr>
                <w:rFonts w:ascii="Arial" w:hAnsi="Arial" w:cs="Arial"/>
                <w:b/>
                <w:bCs/>
                <w:sz w:val="20"/>
                <w:szCs w:val="20"/>
                <w:lang w:eastAsia="en-GB"/>
              </w:rPr>
            </w:pPr>
            <w:r w:rsidRPr="003312E3">
              <w:rPr>
                <w:rFonts w:ascii="Arial" w:hAnsi="Arial" w:cs="Arial"/>
                <w:b/>
                <w:bCs/>
                <w:sz w:val="20"/>
                <w:szCs w:val="20"/>
                <w:lang w:eastAsia="en-GB"/>
              </w:rPr>
              <w:t> </w:t>
            </w:r>
          </w:p>
        </w:tc>
        <w:tc>
          <w:tcPr>
            <w:tcW w:w="1271" w:type="dxa"/>
            <w:tcBorders>
              <w:top w:val="nil"/>
              <w:left w:val="nil"/>
              <w:bottom w:val="nil"/>
              <w:right w:val="single" w:sz="8" w:space="0" w:color="auto"/>
            </w:tcBorders>
            <w:shd w:val="clear" w:color="auto" w:fill="auto"/>
            <w:noWrap/>
            <w:vAlign w:val="bottom"/>
            <w:hideMark/>
          </w:tcPr>
          <w:p w14:paraId="54FAD9EB" w14:textId="77777777" w:rsidR="00D15D90" w:rsidRPr="003312E3" w:rsidRDefault="00D15D90" w:rsidP="00012E0D">
            <w:pPr>
              <w:jc w:val="right"/>
              <w:rPr>
                <w:rFonts w:ascii="Arial" w:hAnsi="Arial" w:cs="Arial"/>
                <w:b/>
                <w:bCs/>
                <w:sz w:val="20"/>
                <w:szCs w:val="20"/>
                <w:lang w:eastAsia="en-GB"/>
              </w:rPr>
            </w:pPr>
            <w:r w:rsidRPr="003312E3">
              <w:rPr>
                <w:rFonts w:ascii="Arial" w:hAnsi="Arial" w:cs="Arial"/>
                <w:b/>
                <w:bCs/>
                <w:sz w:val="20"/>
                <w:szCs w:val="20"/>
                <w:lang w:eastAsia="en-GB"/>
              </w:rPr>
              <w:t> </w:t>
            </w:r>
          </w:p>
        </w:tc>
        <w:tc>
          <w:tcPr>
            <w:tcW w:w="252" w:type="dxa"/>
            <w:shd w:val="clear" w:color="auto" w:fill="auto"/>
            <w:vAlign w:val="center"/>
            <w:hideMark/>
          </w:tcPr>
          <w:p w14:paraId="3686F59C" w14:textId="77777777" w:rsidR="00D15D90" w:rsidRPr="003312E3" w:rsidRDefault="00D15D90" w:rsidP="00012E0D">
            <w:pPr>
              <w:rPr>
                <w:sz w:val="20"/>
                <w:szCs w:val="20"/>
                <w:highlight w:val="yellow"/>
                <w:lang w:eastAsia="en-GB"/>
              </w:rPr>
            </w:pPr>
          </w:p>
        </w:tc>
      </w:tr>
      <w:tr w:rsidR="00D15D90" w:rsidRPr="003312E3" w14:paraId="7A4F20D9"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13869BBE" w14:textId="77777777" w:rsidR="00D15D90" w:rsidRPr="003312E3" w:rsidRDefault="00D15D90" w:rsidP="00012E0D">
            <w:pPr>
              <w:rPr>
                <w:rFonts w:ascii="Arial" w:hAnsi="Arial" w:cs="Arial"/>
                <w:b/>
                <w:bCs/>
                <w:color w:val="000000"/>
                <w:sz w:val="20"/>
                <w:szCs w:val="20"/>
                <w:lang w:eastAsia="en-GB"/>
              </w:rPr>
            </w:pPr>
            <w:r w:rsidRPr="003312E3">
              <w:rPr>
                <w:rFonts w:ascii="Arial" w:hAnsi="Arial" w:cs="Arial"/>
                <w:b/>
                <w:bCs/>
                <w:color w:val="000000"/>
                <w:sz w:val="20"/>
                <w:szCs w:val="20"/>
                <w:lang w:eastAsia="en-GB"/>
              </w:rPr>
              <w:t>Funded by:</w:t>
            </w:r>
          </w:p>
        </w:tc>
        <w:tc>
          <w:tcPr>
            <w:tcW w:w="1214" w:type="dxa"/>
            <w:tcBorders>
              <w:top w:val="nil"/>
              <w:left w:val="single" w:sz="4" w:space="0" w:color="auto"/>
              <w:bottom w:val="nil"/>
              <w:right w:val="single" w:sz="4" w:space="0" w:color="auto"/>
            </w:tcBorders>
            <w:shd w:val="clear" w:color="auto" w:fill="auto"/>
            <w:noWrap/>
            <w:vAlign w:val="bottom"/>
            <w:hideMark/>
          </w:tcPr>
          <w:p w14:paraId="2E118158" w14:textId="77777777" w:rsidR="00D15D90" w:rsidRPr="003312E3" w:rsidRDefault="00D15D90" w:rsidP="00012E0D">
            <w:pPr>
              <w:jc w:val="right"/>
              <w:rPr>
                <w:rFonts w:ascii="Arial" w:hAnsi="Arial" w:cs="Arial"/>
                <w:b/>
                <w:bCs/>
                <w:sz w:val="20"/>
                <w:szCs w:val="20"/>
                <w:lang w:eastAsia="en-GB"/>
              </w:rPr>
            </w:pPr>
            <w:r w:rsidRPr="003312E3">
              <w:rPr>
                <w:rFonts w:ascii="Arial" w:hAnsi="Arial" w:cs="Arial"/>
                <w:b/>
                <w:bCs/>
                <w:sz w:val="20"/>
                <w:szCs w:val="20"/>
                <w:lang w:eastAsia="en-GB"/>
              </w:rPr>
              <w:t> </w:t>
            </w:r>
          </w:p>
        </w:tc>
        <w:tc>
          <w:tcPr>
            <w:tcW w:w="1375" w:type="dxa"/>
            <w:tcBorders>
              <w:top w:val="nil"/>
              <w:left w:val="nil"/>
              <w:bottom w:val="nil"/>
              <w:right w:val="single" w:sz="4" w:space="0" w:color="auto"/>
            </w:tcBorders>
            <w:shd w:val="clear" w:color="auto" w:fill="auto"/>
            <w:noWrap/>
            <w:vAlign w:val="bottom"/>
            <w:hideMark/>
          </w:tcPr>
          <w:p w14:paraId="709BE515" w14:textId="77777777" w:rsidR="00D15D90" w:rsidRPr="003312E3" w:rsidRDefault="00D15D90" w:rsidP="00012E0D">
            <w:pPr>
              <w:jc w:val="right"/>
              <w:rPr>
                <w:rFonts w:ascii="Arial" w:hAnsi="Arial" w:cs="Arial"/>
                <w:b/>
                <w:bCs/>
                <w:sz w:val="20"/>
                <w:szCs w:val="20"/>
                <w:lang w:eastAsia="en-GB"/>
              </w:rPr>
            </w:pPr>
            <w:r w:rsidRPr="003312E3">
              <w:rPr>
                <w:rFonts w:ascii="Arial" w:hAnsi="Arial" w:cs="Arial"/>
                <w:b/>
                <w:bCs/>
                <w:sz w:val="20"/>
                <w:szCs w:val="20"/>
                <w:lang w:eastAsia="en-GB"/>
              </w:rPr>
              <w:t> </w:t>
            </w:r>
          </w:p>
        </w:tc>
        <w:tc>
          <w:tcPr>
            <w:tcW w:w="1271" w:type="dxa"/>
            <w:tcBorders>
              <w:top w:val="nil"/>
              <w:left w:val="nil"/>
              <w:bottom w:val="nil"/>
              <w:right w:val="single" w:sz="8" w:space="0" w:color="auto"/>
            </w:tcBorders>
            <w:shd w:val="clear" w:color="auto" w:fill="auto"/>
            <w:noWrap/>
            <w:vAlign w:val="bottom"/>
            <w:hideMark/>
          </w:tcPr>
          <w:p w14:paraId="27B047D9" w14:textId="77777777" w:rsidR="00D15D90" w:rsidRPr="003312E3" w:rsidRDefault="00D15D90" w:rsidP="00012E0D">
            <w:pPr>
              <w:jc w:val="right"/>
              <w:rPr>
                <w:rFonts w:ascii="Arial" w:hAnsi="Arial" w:cs="Arial"/>
                <w:b/>
                <w:bCs/>
                <w:sz w:val="20"/>
                <w:szCs w:val="20"/>
                <w:lang w:eastAsia="en-GB"/>
              </w:rPr>
            </w:pPr>
            <w:r w:rsidRPr="003312E3">
              <w:rPr>
                <w:rFonts w:ascii="Arial" w:hAnsi="Arial" w:cs="Arial"/>
                <w:b/>
                <w:bCs/>
                <w:sz w:val="20"/>
                <w:szCs w:val="20"/>
                <w:lang w:eastAsia="en-GB"/>
              </w:rPr>
              <w:t> </w:t>
            </w:r>
          </w:p>
        </w:tc>
        <w:tc>
          <w:tcPr>
            <w:tcW w:w="252" w:type="dxa"/>
            <w:shd w:val="clear" w:color="auto" w:fill="auto"/>
            <w:vAlign w:val="center"/>
            <w:hideMark/>
          </w:tcPr>
          <w:p w14:paraId="30C114FE" w14:textId="77777777" w:rsidR="00D15D90" w:rsidRPr="003312E3" w:rsidRDefault="00D15D90" w:rsidP="00012E0D">
            <w:pPr>
              <w:rPr>
                <w:sz w:val="20"/>
                <w:szCs w:val="20"/>
                <w:highlight w:val="yellow"/>
                <w:lang w:eastAsia="en-GB"/>
              </w:rPr>
            </w:pPr>
          </w:p>
        </w:tc>
      </w:tr>
      <w:tr w:rsidR="00D15D90" w:rsidRPr="003312E3" w14:paraId="715F151B"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48AC1719" w14:textId="77777777" w:rsidR="00D15D90" w:rsidRPr="003312E3" w:rsidRDefault="00D15D90" w:rsidP="00012E0D">
            <w:pPr>
              <w:rPr>
                <w:rFonts w:ascii="Arial" w:hAnsi="Arial" w:cs="Arial"/>
                <w:color w:val="000000"/>
                <w:sz w:val="20"/>
                <w:szCs w:val="20"/>
                <w:lang w:eastAsia="en-GB"/>
              </w:rPr>
            </w:pPr>
            <w:r w:rsidRPr="003312E3">
              <w:rPr>
                <w:rFonts w:ascii="Arial" w:hAnsi="Arial" w:cs="Arial"/>
                <w:color w:val="000000"/>
                <w:sz w:val="20"/>
                <w:szCs w:val="20"/>
                <w:lang w:eastAsia="en-GB"/>
              </w:rPr>
              <w:t>Government Grants</w:t>
            </w:r>
          </w:p>
        </w:tc>
        <w:tc>
          <w:tcPr>
            <w:tcW w:w="1214" w:type="dxa"/>
            <w:tcBorders>
              <w:top w:val="nil"/>
              <w:left w:val="single" w:sz="4" w:space="0" w:color="auto"/>
              <w:bottom w:val="nil"/>
              <w:right w:val="single" w:sz="4" w:space="0" w:color="auto"/>
            </w:tcBorders>
            <w:shd w:val="clear" w:color="auto" w:fill="auto"/>
            <w:noWrap/>
            <w:hideMark/>
          </w:tcPr>
          <w:p w14:paraId="0CFEF413" w14:textId="77777777" w:rsidR="00D15D90" w:rsidRPr="003312E3" w:rsidRDefault="00D15D90" w:rsidP="00012E0D">
            <w:pPr>
              <w:jc w:val="right"/>
              <w:rPr>
                <w:rFonts w:ascii="Arial" w:hAnsi="Arial" w:cs="Arial"/>
                <w:sz w:val="20"/>
                <w:szCs w:val="20"/>
                <w:lang w:eastAsia="en-GB"/>
              </w:rPr>
            </w:pPr>
            <w:r w:rsidRPr="003312E3">
              <w:rPr>
                <w:rFonts w:ascii="Arial" w:hAnsi="Arial"/>
                <w:sz w:val="20"/>
                <w:lang w:val="en-US"/>
              </w:rPr>
              <w:t>188,865</w:t>
            </w:r>
          </w:p>
        </w:tc>
        <w:tc>
          <w:tcPr>
            <w:tcW w:w="1375" w:type="dxa"/>
            <w:tcBorders>
              <w:top w:val="nil"/>
              <w:left w:val="nil"/>
              <w:bottom w:val="nil"/>
              <w:right w:val="single" w:sz="4" w:space="0" w:color="auto"/>
            </w:tcBorders>
            <w:shd w:val="clear" w:color="auto" w:fill="auto"/>
            <w:noWrap/>
            <w:hideMark/>
          </w:tcPr>
          <w:p w14:paraId="2BE63626" w14:textId="77777777" w:rsidR="00D15D90" w:rsidRPr="003312E3" w:rsidRDefault="00D15D90" w:rsidP="00012E0D">
            <w:pPr>
              <w:jc w:val="right"/>
              <w:rPr>
                <w:rFonts w:ascii="Arial" w:hAnsi="Arial" w:cs="Arial"/>
                <w:sz w:val="20"/>
                <w:szCs w:val="20"/>
                <w:lang w:eastAsia="en-GB"/>
              </w:rPr>
            </w:pPr>
            <w:r w:rsidRPr="003312E3">
              <w:rPr>
                <w:rFonts w:ascii="Arial" w:hAnsi="Arial"/>
                <w:sz w:val="20"/>
                <w:lang w:val="en-US"/>
              </w:rPr>
              <w:t>190,343</w:t>
            </w:r>
          </w:p>
        </w:tc>
        <w:tc>
          <w:tcPr>
            <w:tcW w:w="1271" w:type="dxa"/>
            <w:tcBorders>
              <w:top w:val="nil"/>
              <w:left w:val="nil"/>
              <w:bottom w:val="nil"/>
              <w:right w:val="single" w:sz="8" w:space="0" w:color="auto"/>
            </w:tcBorders>
            <w:shd w:val="clear" w:color="auto" w:fill="auto"/>
            <w:hideMark/>
          </w:tcPr>
          <w:p w14:paraId="39B820F4" w14:textId="77777777" w:rsidR="00D15D90" w:rsidRPr="003312E3" w:rsidRDefault="00D15D90" w:rsidP="00012E0D">
            <w:pPr>
              <w:jc w:val="right"/>
              <w:rPr>
                <w:rFonts w:ascii="Arial" w:hAnsi="Arial" w:cs="Arial"/>
                <w:sz w:val="20"/>
                <w:szCs w:val="20"/>
                <w:lang w:eastAsia="en-GB"/>
              </w:rPr>
            </w:pPr>
            <w:r w:rsidRPr="003312E3">
              <w:rPr>
                <w:rFonts w:ascii="Arial" w:hAnsi="Arial"/>
                <w:sz w:val="20"/>
                <w:lang w:val="en-US"/>
              </w:rPr>
              <w:t>1,478</w:t>
            </w:r>
          </w:p>
        </w:tc>
        <w:tc>
          <w:tcPr>
            <w:tcW w:w="252" w:type="dxa"/>
            <w:shd w:val="clear" w:color="auto" w:fill="auto"/>
            <w:vAlign w:val="center"/>
            <w:hideMark/>
          </w:tcPr>
          <w:p w14:paraId="67D4FF9D" w14:textId="77777777" w:rsidR="00D15D90" w:rsidRPr="003312E3" w:rsidRDefault="00D15D90" w:rsidP="00012E0D">
            <w:pPr>
              <w:rPr>
                <w:sz w:val="20"/>
                <w:szCs w:val="20"/>
                <w:highlight w:val="yellow"/>
                <w:lang w:eastAsia="en-GB"/>
              </w:rPr>
            </w:pPr>
          </w:p>
        </w:tc>
      </w:tr>
      <w:tr w:rsidR="00D15D90" w:rsidRPr="003312E3" w14:paraId="0947EC85"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67B99C4D" w14:textId="77777777" w:rsidR="00D15D90" w:rsidRPr="003312E3" w:rsidRDefault="00D15D90" w:rsidP="00012E0D">
            <w:pPr>
              <w:rPr>
                <w:rFonts w:ascii="Arial" w:hAnsi="Arial" w:cs="Arial"/>
                <w:color w:val="000000"/>
                <w:sz w:val="20"/>
                <w:szCs w:val="20"/>
                <w:lang w:eastAsia="en-GB"/>
              </w:rPr>
            </w:pPr>
            <w:r w:rsidRPr="003312E3">
              <w:rPr>
                <w:rFonts w:ascii="Arial" w:hAnsi="Arial" w:cs="Arial"/>
                <w:color w:val="000000"/>
                <w:sz w:val="20"/>
                <w:szCs w:val="20"/>
                <w:lang w:eastAsia="en-GB"/>
              </w:rPr>
              <w:t>District Contributions</w:t>
            </w:r>
          </w:p>
        </w:tc>
        <w:tc>
          <w:tcPr>
            <w:tcW w:w="1214" w:type="dxa"/>
            <w:tcBorders>
              <w:top w:val="nil"/>
              <w:left w:val="single" w:sz="4" w:space="0" w:color="auto"/>
              <w:bottom w:val="nil"/>
              <w:right w:val="single" w:sz="4" w:space="0" w:color="auto"/>
            </w:tcBorders>
            <w:shd w:val="clear" w:color="auto" w:fill="auto"/>
            <w:noWrap/>
            <w:hideMark/>
          </w:tcPr>
          <w:p w14:paraId="56AE1A9A" w14:textId="77777777" w:rsidR="00D15D90" w:rsidRPr="003312E3" w:rsidRDefault="00D15D90" w:rsidP="00012E0D">
            <w:pPr>
              <w:jc w:val="right"/>
              <w:rPr>
                <w:rFonts w:ascii="Arial" w:hAnsi="Arial" w:cs="Arial"/>
                <w:sz w:val="20"/>
                <w:szCs w:val="20"/>
                <w:lang w:eastAsia="en-GB"/>
              </w:rPr>
            </w:pPr>
            <w:r w:rsidRPr="003312E3">
              <w:rPr>
                <w:rFonts w:ascii="Arial" w:hAnsi="Arial"/>
                <w:sz w:val="20"/>
                <w:lang w:val="en-US"/>
              </w:rPr>
              <w:t>8,603</w:t>
            </w:r>
          </w:p>
        </w:tc>
        <w:tc>
          <w:tcPr>
            <w:tcW w:w="1375" w:type="dxa"/>
            <w:tcBorders>
              <w:top w:val="nil"/>
              <w:left w:val="nil"/>
              <w:bottom w:val="nil"/>
              <w:right w:val="single" w:sz="4" w:space="0" w:color="auto"/>
            </w:tcBorders>
            <w:shd w:val="clear" w:color="auto" w:fill="auto"/>
            <w:noWrap/>
            <w:hideMark/>
          </w:tcPr>
          <w:p w14:paraId="703F5D9C" w14:textId="77777777" w:rsidR="00D15D90" w:rsidRPr="003312E3" w:rsidRDefault="00D15D90" w:rsidP="00012E0D">
            <w:pPr>
              <w:jc w:val="right"/>
              <w:rPr>
                <w:rFonts w:ascii="Arial" w:hAnsi="Arial" w:cs="Arial"/>
                <w:sz w:val="20"/>
                <w:szCs w:val="20"/>
                <w:lang w:eastAsia="en-GB"/>
              </w:rPr>
            </w:pPr>
            <w:r w:rsidRPr="003312E3">
              <w:rPr>
                <w:rFonts w:ascii="Arial" w:hAnsi="Arial"/>
                <w:sz w:val="20"/>
                <w:lang w:val="en-US"/>
              </w:rPr>
              <w:t>8,603</w:t>
            </w:r>
          </w:p>
        </w:tc>
        <w:tc>
          <w:tcPr>
            <w:tcW w:w="1271" w:type="dxa"/>
            <w:tcBorders>
              <w:top w:val="nil"/>
              <w:left w:val="nil"/>
              <w:bottom w:val="nil"/>
              <w:right w:val="single" w:sz="8" w:space="0" w:color="auto"/>
            </w:tcBorders>
            <w:shd w:val="clear" w:color="auto" w:fill="auto"/>
            <w:hideMark/>
          </w:tcPr>
          <w:p w14:paraId="49F71771" w14:textId="77777777" w:rsidR="00D15D90" w:rsidRPr="003312E3" w:rsidRDefault="00D15D90" w:rsidP="00012E0D">
            <w:pPr>
              <w:jc w:val="right"/>
              <w:rPr>
                <w:rFonts w:ascii="Arial" w:hAnsi="Arial" w:cs="Arial"/>
                <w:sz w:val="20"/>
                <w:szCs w:val="20"/>
                <w:lang w:eastAsia="en-GB"/>
              </w:rPr>
            </w:pPr>
            <w:r w:rsidRPr="003312E3">
              <w:rPr>
                <w:rFonts w:ascii="Arial" w:hAnsi="Arial"/>
                <w:sz w:val="20"/>
                <w:lang w:val="en-US"/>
              </w:rPr>
              <w:t>0</w:t>
            </w:r>
          </w:p>
        </w:tc>
        <w:tc>
          <w:tcPr>
            <w:tcW w:w="252" w:type="dxa"/>
            <w:shd w:val="clear" w:color="auto" w:fill="auto"/>
            <w:vAlign w:val="center"/>
            <w:hideMark/>
          </w:tcPr>
          <w:p w14:paraId="274B27F0" w14:textId="77777777" w:rsidR="00D15D90" w:rsidRPr="003312E3" w:rsidRDefault="00D15D90" w:rsidP="00012E0D">
            <w:pPr>
              <w:rPr>
                <w:sz w:val="20"/>
                <w:szCs w:val="20"/>
                <w:highlight w:val="yellow"/>
                <w:lang w:eastAsia="en-GB"/>
              </w:rPr>
            </w:pPr>
          </w:p>
        </w:tc>
      </w:tr>
      <w:tr w:rsidR="00D15D90" w:rsidRPr="003312E3" w14:paraId="0E7BF509"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274964FD" w14:textId="77777777" w:rsidR="00D15D90" w:rsidRPr="003312E3" w:rsidRDefault="00D15D90" w:rsidP="00012E0D">
            <w:pPr>
              <w:rPr>
                <w:rFonts w:ascii="Arial" w:hAnsi="Arial" w:cs="Arial"/>
                <w:color w:val="000000"/>
                <w:sz w:val="20"/>
                <w:szCs w:val="20"/>
                <w:lang w:eastAsia="en-GB"/>
              </w:rPr>
            </w:pPr>
            <w:r w:rsidRPr="003312E3">
              <w:rPr>
                <w:rFonts w:ascii="Arial" w:hAnsi="Arial" w:cs="Arial"/>
                <w:color w:val="000000"/>
                <w:sz w:val="20"/>
                <w:szCs w:val="20"/>
                <w:lang w:eastAsia="en-GB"/>
              </w:rPr>
              <w:t>Internal Recharges</w:t>
            </w:r>
          </w:p>
        </w:tc>
        <w:tc>
          <w:tcPr>
            <w:tcW w:w="1214" w:type="dxa"/>
            <w:tcBorders>
              <w:top w:val="nil"/>
              <w:left w:val="single" w:sz="4" w:space="0" w:color="auto"/>
              <w:bottom w:val="nil"/>
              <w:right w:val="single" w:sz="4" w:space="0" w:color="auto"/>
            </w:tcBorders>
            <w:shd w:val="clear" w:color="auto" w:fill="auto"/>
            <w:noWrap/>
            <w:hideMark/>
          </w:tcPr>
          <w:p w14:paraId="45B3FA01" w14:textId="77777777" w:rsidR="00D15D90" w:rsidRPr="003312E3" w:rsidRDefault="00D15D90" w:rsidP="00012E0D">
            <w:pPr>
              <w:jc w:val="right"/>
              <w:rPr>
                <w:rFonts w:ascii="Arial" w:hAnsi="Arial" w:cs="Arial"/>
                <w:sz w:val="20"/>
                <w:szCs w:val="20"/>
                <w:lang w:eastAsia="en-GB"/>
              </w:rPr>
            </w:pPr>
            <w:r w:rsidRPr="003312E3">
              <w:rPr>
                <w:rFonts w:ascii="Arial" w:hAnsi="Arial"/>
                <w:sz w:val="20"/>
                <w:lang w:val="en-US"/>
              </w:rPr>
              <w:t>22,905</w:t>
            </w:r>
          </w:p>
        </w:tc>
        <w:tc>
          <w:tcPr>
            <w:tcW w:w="1375" w:type="dxa"/>
            <w:tcBorders>
              <w:top w:val="nil"/>
              <w:left w:val="nil"/>
              <w:bottom w:val="nil"/>
              <w:right w:val="single" w:sz="4" w:space="0" w:color="auto"/>
            </w:tcBorders>
            <w:shd w:val="clear" w:color="auto" w:fill="auto"/>
            <w:noWrap/>
            <w:hideMark/>
          </w:tcPr>
          <w:p w14:paraId="248AC5C4" w14:textId="77777777" w:rsidR="00D15D90" w:rsidRPr="003312E3" w:rsidRDefault="00D15D90" w:rsidP="00012E0D">
            <w:pPr>
              <w:jc w:val="right"/>
              <w:rPr>
                <w:rFonts w:ascii="Arial" w:hAnsi="Arial" w:cs="Arial"/>
                <w:sz w:val="20"/>
                <w:szCs w:val="20"/>
                <w:lang w:eastAsia="en-GB"/>
              </w:rPr>
            </w:pPr>
            <w:r w:rsidRPr="003312E3">
              <w:rPr>
                <w:rFonts w:ascii="Arial" w:hAnsi="Arial"/>
                <w:sz w:val="20"/>
                <w:lang w:val="en-US"/>
              </w:rPr>
              <w:t>23,476</w:t>
            </w:r>
          </w:p>
        </w:tc>
        <w:tc>
          <w:tcPr>
            <w:tcW w:w="1271" w:type="dxa"/>
            <w:tcBorders>
              <w:top w:val="nil"/>
              <w:left w:val="nil"/>
              <w:bottom w:val="nil"/>
              <w:right w:val="single" w:sz="8" w:space="0" w:color="auto"/>
            </w:tcBorders>
            <w:shd w:val="clear" w:color="auto" w:fill="auto"/>
            <w:hideMark/>
          </w:tcPr>
          <w:p w14:paraId="7AD1BC07" w14:textId="77777777" w:rsidR="00D15D90" w:rsidRPr="003312E3" w:rsidRDefault="00D15D90" w:rsidP="00012E0D">
            <w:pPr>
              <w:jc w:val="right"/>
              <w:rPr>
                <w:rFonts w:ascii="Arial" w:hAnsi="Arial" w:cs="Arial"/>
                <w:sz w:val="20"/>
                <w:szCs w:val="20"/>
                <w:lang w:eastAsia="en-GB"/>
              </w:rPr>
            </w:pPr>
            <w:r w:rsidRPr="003312E3">
              <w:rPr>
                <w:rFonts w:ascii="Arial" w:hAnsi="Arial"/>
                <w:sz w:val="20"/>
                <w:lang w:val="en-US"/>
              </w:rPr>
              <w:t>571</w:t>
            </w:r>
          </w:p>
        </w:tc>
        <w:tc>
          <w:tcPr>
            <w:tcW w:w="252" w:type="dxa"/>
            <w:shd w:val="clear" w:color="auto" w:fill="auto"/>
            <w:vAlign w:val="center"/>
            <w:hideMark/>
          </w:tcPr>
          <w:p w14:paraId="5B2751DA" w14:textId="77777777" w:rsidR="00D15D90" w:rsidRPr="003312E3" w:rsidRDefault="00D15D90" w:rsidP="00012E0D">
            <w:pPr>
              <w:rPr>
                <w:sz w:val="20"/>
                <w:szCs w:val="20"/>
                <w:highlight w:val="yellow"/>
                <w:lang w:eastAsia="en-GB"/>
              </w:rPr>
            </w:pPr>
          </w:p>
        </w:tc>
      </w:tr>
      <w:tr w:rsidR="00D15D90" w:rsidRPr="003312E3" w14:paraId="70800173" w14:textId="77777777" w:rsidTr="00012E0D">
        <w:trPr>
          <w:trHeight w:val="279"/>
        </w:trPr>
        <w:tc>
          <w:tcPr>
            <w:tcW w:w="3366" w:type="dxa"/>
            <w:tcBorders>
              <w:top w:val="nil"/>
              <w:left w:val="single" w:sz="8" w:space="0" w:color="auto"/>
              <w:bottom w:val="nil"/>
              <w:right w:val="nil"/>
            </w:tcBorders>
            <w:shd w:val="clear" w:color="auto" w:fill="auto"/>
            <w:noWrap/>
            <w:vAlign w:val="bottom"/>
          </w:tcPr>
          <w:p w14:paraId="44740FC5" w14:textId="77777777" w:rsidR="00D15D90" w:rsidRPr="003312E3" w:rsidRDefault="00D15D90" w:rsidP="00012E0D">
            <w:pPr>
              <w:rPr>
                <w:rFonts w:ascii="Arial" w:hAnsi="Arial" w:cs="Arial"/>
                <w:color w:val="000000"/>
                <w:sz w:val="20"/>
                <w:szCs w:val="20"/>
                <w:lang w:eastAsia="en-GB"/>
              </w:rPr>
            </w:pPr>
            <w:r w:rsidRPr="003312E3">
              <w:rPr>
                <w:rFonts w:ascii="Arial" w:hAnsi="Arial" w:cs="Arial"/>
                <w:color w:val="000000"/>
                <w:sz w:val="20"/>
                <w:szCs w:val="20"/>
                <w:lang w:eastAsia="en-GB"/>
              </w:rPr>
              <w:t>Retained Business Rates Reserve</w:t>
            </w:r>
          </w:p>
        </w:tc>
        <w:tc>
          <w:tcPr>
            <w:tcW w:w="1214" w:type="dxa"/>
            <w:tcBorders>
              <w:top w:val="nil"/>
              <w:left w:val="single" w:sz="4" w:space="0" w:color="auto"/>
              <w:bottom w:val="nil"/>
              <w:right w:val="single" w:sz="4" w:space="0" w:color="auto"/>
            </w:tcBorders>
            <w:shd w:val="clear" w:color="auto" w:fill="auto"/>
            <w:noWrap/>
          </w:tcPr>
          <w:p w14:paraId="338DC691"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8,014</w:t>
            </w:r>
          </w:p>
        </w:tc>
        <w:tc>
          <w:tcPr>
            <w:tcW w:w="1375" w:type="dxa"/>
            <w:tcBorders>
              <w:top w:val="nil"/>
              <w:left w:val="nil"/>
              <w:bottom w:val="nil"/>
              <w:right w:val="single" w:sz="4" w:space="0" w:color="auto"/>
            </w:tcBorders>
            <w:shd w:val="clear" w:color="auto" w:fill="auto"/>
            <w:noWrap/>
          </w:tcPr>
          <w:p w14:paraId="610785E3"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20,191</w:t>
            </w:r>
          </w:p>
        </w:tc>
        <w:tc>
          <w:tcPr>
            <w:tcW w:w="1271" w:type="dxa"/>
            <w:tcBorders>
              <w:top w:val="nil"/>
              <w:left w:val="nil"/>
              <w:bottom w:val="nil"/>
              <w:right w:val="single" w:sz="8" w:space="0" w:color="auto"/>
            </w:tcBorders>
            <w:shd w:val="clear" w:color="auto" w:fill="auto"/>
          </w:tcPr>
          <w:p w14:paraId="78A82DCD"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12,177</w:t>
            </w:r>
          </w:p>
        </w:tc>
        <w:tc>
          <w:tcPr>
            <w:tcW w:w="252" w:type="dxa"/>
            <w:shd w:val="clear" w:color="auto" w:fill="auto"/>
            <w:vAlign w:val="center"/>
          </w:tcPr>
          <w:p w14:paraId="66F21798" w14:textId="77777777" w:rsidR="00D15D90" w:rsidRPr="003312E3" w:rsidRDefault="00D15D90" w:rsidP="00012E0D">
            <w:pPr>
              <w:rPr>
                <w:sz w:val="20"/>
                <w:szCs w:val="20"/>
                <w:highlight w:val="yellow"/>
                <w:lang w:eastAsia="en-GB"/>
              </w:rPr>
            </w:pPr>
          </w:p>
        </w:tc>
      </w:tr>
      <w:tr w:rsidR="00D15D90" w:rsidRPr="003312E3" w14:paraId="3B4DDFC6"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79C493CE" w14:textId="77777777" w:rsidR="00D15D90" w:rsidRPr="003312E3" w:rsidRDefault="00D15D90" w:rsidP="00012E0D">
            <w:pPr>
              <w:rPr>
                <w:rFonts w:ascii="Arial" w:hAnsi="Arial" w:cs="Arial"/>
                <w:color w:val="000000"/>
                <w:sz w:val="20"/>
                <w:szCs w:val="20"/>
                <w:lang w:eastAsia="en-GB"/>
              </w:rPr>
            </w:pPr>
            <w:r w:rsidRPr="003312E3">
              <w:rPr>
                <w:rFonts w:ascii="Arial" w:hAnsi="Arial" w:cs="Arial"/>
                <w:color w:val="000000"/>
                <w:sz w:val="20"/>
                <w:szCs w:val="20"/>
                <w:lang w:eastAsia="en-GB"/>
              </w:rPr>
              <w:t>Earmarked Reserves</w:t>
            </w:r>
          </w:p>
        </w:tc>
        <w:tc>
          <w:tcPr>
            <w:tcW w:w="1214" w:type="dxa"/>
            <w:tcBorders>
              <w:top w:val="nil"/>
              <w:left w:val="single" w:sz="4" w:space="0" w:color="auto"/>
              <w:bottom w:val="nil"/>
              <w:right w:val="single" w:sz="4" w:space="0" w:color="auto"/>
            </w:tcBorders>
            <w:shd w:val="clear" w:color="auto" w:fill="auto"/>
            <w:noWrap/>
            <w:hideMark/>
          </w:tcPr>
          <w:p w14:paraId="05674FEF"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5,543</w:t>
            </w:r>
          </w:p>
        </w:tc>
        <w:tc>
          <w:tcPr>
            <w:tcW w:w="1375" w:type="dxa"/>
            <w:tcBorders>
              <w:top w:val="nil"/>
              <w:left w:val="nil"/>
              <w:bottom w:val="nil"/>
              <w:right w:val="single" w:sz="4" w:space="0" w:color="auto"/>
            </w:tcBorders>
            <w:shd w:val="clear" w:color="auto" w:fill="auto"/>
            <w:noWrap/>
            <w:hideMark/>
          </w:tcPr>
          <w:p w14:paraId="67722E4E"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5,076</w:t>
            </w:r>
          </w:p>
        </w:tc>
        <w:tc>
          <w:tcPr>
            <w:tcW w:w="1271" w:type="dxa"/>
            <w:tcBorders>
              <w:top w:val="nil"/>
              <w:left w:val="nil"/>
              <w:bottom w:val="nil"/>
              <w:right w:val="single" w:sz="8" w:space="0" w:color="auto"/>
            </w:tcBorders>
            <w:shd w:val="clear" w:color="auto" w:fill="auto"/>
            <w:hideMark/>
          </w:tcPr>
          <w:p w14:paraId="2267662A" w14:textId="77777777" w:rsidR="00D15D90" w:rsidRPr="003312E3" w:rsidRDefault="00D15D90" w:rsidP="00012E0D">
            <w:pPr>
              <w:jc w:val="right"/>
              <w:rPr>
                <w:rFonts w:ascii="Arial" w:hAnsi="Arial" w:cs="Arial"/>
                <w:sz w:val="20"/>
                <w:szCs w:val="20"/>
                <w:highlight w:val="yellow"/>
                <w:lang w:eastAsia="en-GB"/>
              </w:rPr>
            </w:pPr>
            <w:r>
              <w:rPr>
                <w:rFonts w:ascii="Arial" w:hAnsi="Arial"/>
                <w:sz w:val="20"/>
                <w:lang w:val="en-US"/>
              </w:rPr>
              <w:t>(</w:t>
            </w:r>
            <w:r w:rsidRPr="003312E3">
              <w:rPr>
                <w:rFonts w:ascii="Arial" w:hAnsi="Arial"/>
                <w:sz w:val="20"/>
                <w:lang w:val="en-US"/>
              </w:rPr>
              <w:t>468</w:t>
            </w:r>
            <w:r>
              <w:rPr>
                <w:rFonts w:ascii="Arial" w:hAnsi="Arial"/>
                <w:sz w:val="20"/>
                <w:lang w:val="en-US"/>
              </w:rPr>
              <w:t>)</w:t>
            </w:r>
          </w:p>
        </w:tc>
        <w:tc>
          <w:tcPr>
            <w:tcW w:w="252" w:type="dxa"/>
            <w:shd w:val="clear" w:color="auto" w:fill="auto"/>
            <w:vAlign w:val="center"/>
            <w:hideMark/>
          </w:tcPr>
          <w:p w14:paraId="73C72E73" w14:textId="77777777" w:rsidR="00D15D90" w:rsidRPr="003312E3" w:rsidRDefault="00D15D90" w:rsidP="00012E0D">
            <w:pPr>
              <w:rPr>
                <w:sz w:val="20"/>
                <w:szCs w:val="20"/>
                <w:highlight w:val="yellow"/>
                <w:lang w:eastAsia="en-GB"/>
              </w:rPr>
            </w:pPr>
          </w:p>
        </w:tc>
      </w:tr>
      <w:tr w:rsidR="00D15D90" w:rsidRPr="003312E3" w14:paraId="31C0343A"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358E7B48" w14:textId="77777777" w:rsidR="00D15D90" w:rsidRPr="003312E3" w:rsidRDefault="00D15D90" w:rsidP="00012E0D">
            <w:pPr>
              <w:rPr>
                <w:rFonts w:ascii="Arial" w:hAnsi="Arial" w:cs="Arial"/>
                <w:color w:val="000000"/>
                <w:sz w:val="20"/>
                <w:szCs w:val="20"/>
                <w:lang w:eastAsia="en-GB"/>
              </w:rPr>
            </w:pPr>
            <w:r w:rsidRPr="003312E3">
              <w:rPr>
                <w:rFonts w:ascii="Arial" w:hAnsi="Arial" w:cs="Arial"/>
                <w:color w:val="000000"/>
                <w:sz w:val="20"/>
                <w:szCs w:val="20"/>
                <w:lang w:eastAsia="en-GB"/>
              </w:rPr>
              <w:t>Other Income</w:t>
            </w:r>
          </w:p>
        </w:tc>
        <w:tc>
          <w:tcPr>
            <w:tcW w:w="1214" w:type="dxa"/>
            <w:tcBorders>
              <w:top w:val="nil"/>
              <w:left w:val="single" w:sz="4" w:space="0" w:color="auto"/>
              <w:bottom w:val="nil"/>
              <w:right w:val="single" w:sz="4" w:space="0" w:color="auto"/>
            </w:tcBorders>
            <w:shd w:val="clear" w:color="auto" w:fill="auto"/>
            <w:noWrap/>
            <w:hideMark/>
          </w:tcPr>
          <w:p w14:paraId="361C5685"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11,654</w:t>
            </w:r>
          </w:p>
        </w:tc>
        <w:tc>
          <w:tcPr>
            <w:tcW w:w="1375" w:type="dxa"/>
            <w:tcBorders>
              <w:top w:val="nil"/>
              <w:left w:val="nil"/>
              <w:bottom w:val="nil"/>
              <w:right w:val="single" w:sz="4" w:space="0" w:color="auto"/>
            </w:tcBorders>
            <w:shd w:val="clear" w:color="auto" w:fill="auto"/>
            <w:noWrap/>
            <w:hideMark/>
          </w:tcPr>
          <w:p w14:paraId="782FEC3A"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27,249</w:t>
            </w:r>
          </w:p>
        </w:tc>
        <w:tc>
          <w:tcPr>
            <w:tcW w:w="1271" w:type="dxa"/>
            <w:tcBorders>
              <w:top w:val="nil"/>
              <w:left w:val="nil"/>
              <w:bottom w:val="nil"/>
              <w:right w:val="single" w:sz="8" w:space="0" w:color="auto"/>
            </w:tcBorders>
            <w:shd w:val="clear" w:color="auto" w:fill="auto"/>
            <w:hideMark/>
          </w:tcPr>
          <w:p w14:paraId="61866AF3"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17,595</w:t>
            </w:r>
          </w:p>
        </w:tc>
        <w:tc>
          <w:tcPr>
            <w:tcW w:w="252" w:type="dxa"/>
            <w:shd w:val="clear" w:color="auto" w:fill="auto"/>
            <w:vAlign w:val="center"/>
            <w:hideMark/>
          </w:tcPr>
          <w:p w14:paraId="7CC1CC1B" w14:textId="77777777" w:rsidR="00D15D90" w:rsidRPr="003312E3" w:rsidRDefault="00D15D90" w:rsidP="00012E0D">
            <w:pPr>
              <w:rPr>
                <w:sz w:val="20"/>
                <w:szCs w:val="20"/>
                <w:highlight w:val="yellow"/>
                <w:lang w:eastAsia="en-GB"/>
              </w:rPr>
            </w:pPr>
          </w:p>
        </w:tc>
      </w:tr>
      <w:tr w:rsidR="00D15D90" w:rsidRPr="003312E3" w14:paraId="44AB5688" w14:textId="77777777" w:rsidTr="00012E0D">
        <w:trPr>
          <w:trHeight w:val="279"/>
        </w:trPr>
        <w:tc>
          <w:tcPr>
            <w:tcW w:w="3366" w:type="dxa"/>
            <w:tcBorders>
              <w:top w:val="single" w:sz="4" w:space="0" w:color="auto"/>
              <w:left w:val="single" w:sz="8" w:space="0" w:color="auto"/>
              <w:bottom w:val="single" w:sz="4" w:space="0" w:color="auto"/>
              <w:right w:val="nil"/>
            </w:tcBorders>
            <w:shd w:val="clear" w:color="auto" w:fill="auto"/>
            <w:noWrap/>
            <w:vAlign w:val="bottom"/>
            <w:hideMark/>
          </w:tcPr>
          <w:p w14:paraId="35A057D5" w14:textId="77777777" w:rsidR="00D15D90" w:rsidRPr="003312E3" w:rsidRDefault="00D15D90" w:rsidP="00012E0D">
            <w:pPr>
              <w:rPr>
                <w:rFonts w:ascii="Arial" w:hAnsi="Arial" w:cs="Arial"/>
                <w:b/>
                <w:bCs/>
                <w:color w:val="000000"/>
                <w:sz w:val="20"/>
                <w:szCs w:val="20"/>
                <w:lang w:eastAsia="en-GB"/>
              </w:rPr>
            </w:pPr>
            <w:r w:rsidRPr="003312E3">
              <w:rPr>
                <w:rFonts w:ascii="Arial" w:hAnsi="Arial" w:cs="Arial"/>
                <w:b/>
                <w:bCs/>
                <w:color w:val="000000"/>
                <w:sz w:val="20"/>
                <w:szCs w:val="20"/>
                <w:lang w:eastAsia="en-GB"/>
              </w:rPr>
              <w:t>Funding</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14:paraId="63565A26" w14:textId="77777777" w:rsidR="00D15D90" w:rsidRPr="003312E3" w:rsidRDefault="00D15D90" w:rsidP="00012E0D">
            <w:pPr>
              <w:jc w:val="right"/>
              <w:rPr>
                <w:rFonts w:ascii="Arial" w:hAnsi="Arial" w:cs="Arial"/>
                <w:b/>
                <w:bCs/>
                <w:sz w:val="20"/>
                <w:szCs w:val="20"/>
                <w:highlight w:val="yellow"/>
                <w:lang w:eastAsia="en-GB"/>
              </w:rPr>
            </w:pPr>
            <w:r w:rsidRPr="003312E3">
              <w:rPr>
                <w:rFonts w:ascii="Arial" w:hAnsi="Arial"/>
                <w:b/>
                <w:bCs/>
                <w:sz w:val="20"/>
                <w:lang w:val="en-US"/>
              </w:rPr>
              <w:t>245,584</w:t>
            </w:r>
          </w:p>
        </w:tc>
        <w:tc>
          <w:tcPr>
            <w:tcW w:w="1375" w:type="dxa"/>
            <w:tcBorders>
              <w:top w:val="single" w:sz="4" w:space="0" w:color="auto"/>
              <w:left w:val="nil"/>
              <w:bottom w:val="single" w:sz="4" w:space="0" w:color="auto"/>
              <w:right w:val="single" w:sz="4" w:space="0" w:color="auto"/>
            </w:tcBorders>
            <w:shd w:val="clear" w:color="auto" w:fill="auto"/>
            <w:noWrap/>
            <w:hideMark/>
          </w:tcPr>
          <w:p w14:paraId="02CD407F" w14:textId="77777777" w:rsidR="00D15D90" w:rsidRPr="003312E3" w:rsidRDefault="00D15D90" w:rsidP="00012E0D">
            <w:pPr>
              <w:jc w:val="right"/>
              <w:rPr>
                <w:rFonts w:ascii="Arial" w:hAnsi="Arial" w:cs="Arial"/>
                <w:b/>
                <w:bCs/>
                <w:sz w:val="20"/>
                <w:szCs w:val="20"/>
                <w:highlight w:val="yellow"/>
                <w:lang w:eastAsia="en-GB"/>
              </w:rPr>
            </w:pPr>
            <w:r w:rsidRPr="003312E3">
              <w:rPr>
                <w:rFonts w:ascii="Arial" w:hAnsi="Arial"/>
                <w:b/>
                <w:bCs/>
                <w:sz w:val="20"/>
                <w:lang w:val="en-US"/>
              </w:rPr>
              <w:t>274,938</w:t>
            </w:r>
          </w:p>
        </w:tc>
        <w:tc>
          <w:tcPr>
            <w:tcW w:w="1271" w:type="dxa"/>
            <w:tcBorders>
              <w:top w:val="single" w:sz="4" w:space="0" w:color="auto"/>
              <w:left w:val="nil"/>
              <w:bottom w:val="single" w:sz="4" w:space="0" w:color="auto"/>
              <w:right w:val="single" w:sz="8" w:space="0" w:color="auto"/>
            </w:tcBorders>
            <w:shd w:val="clear" w:color="auto" w:fill="auto"/>
            <w:noWrap/>
            <w:hideMark/>
          </w:tcPr>
          <w:p w14:paraId="172FEFB4" w14:textId="77777777" w:rsidR="00D15D90" w:rsidRPr="003312E3" w:rsidRDefault="00D15D90" w:rsidP="00012E0D">
            <w:pPr>
              <w:jc w:val="right"/>
              <w:rPr>
                <w:rFonts w:ascii="Arial" w:hAnsi="Arial" w:cs="Arial"/>
                <w:b/>
                <w:bCs/>
                <w:sz w:val="20"/>
                <w:szCs w:val="20"/>
                <w:highlight w:val="yellow"/>
                <w:lang w:eastAsia="en-GB"/>
              </w:rPr>
            </w:pPr>
            <w:r w:rsidRPr="003312E3">
              <w:rPr>
                <w:rFonts w:ascii="Arial" w:hAnsi="Arial"/>
                <w:b/>
                <w:bCs/>
                <w:sz w:val="20"/>
                <w:lang w:val="en-US"/>
              </w:rPr>
              <w:t>31,354</w:t>
            </w:r>
          </w:p>
        </w:tc>
        <w:tc>
          <w:tcPr>
            <w:tcW w:w="252" w:type="dxa"/>
            <w:shd w:val="clear" w:color="auto" w:fill="auto"/>
            <w:vAlign w:val="center"/>
            <w:hideMark/>
          </w:tcPr>
          <w:p w14:paraId="250B7C46" w14:textId="77777777" w:rsidR="00D15D90" w:rsidRPr="003312E3" w:rsidRDefault="00D15D90" w:rsidP="00012E0D">
            <w:pPr>
              <w:rPr>
                <w:sz w:val="20"/>
                <w:szCs w:val="20"/>
                <w:highlight w:val="yellow"/>
                <w:lang w:eastAsia="en-GB"/>
              </w:rPr>
            </w:pPr>
          </w:p>
        </w:tc>
      </w:tr>
      <w:tr w:rsidR="00D15D90" w:rsidRPr="003312E3" w14:paraId="65DEC9B0"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7C2375B8" w14:textId="77777777" w:rsidR="00D15D90" w:rsidRPr="003312E3" w:rsidRDefault="00D15D90" w:rsidP="00012E0D">
            <w:pPr>
              <w:rPr>
                <w:rFonts w:ascii="Arial" w:hAnsi="Arial" w:cs="Arial"/>
                <w:sz w:val="20"/>
                <w:szCs w:val="20"/>
                <w:lang w:eastAsia="en-GB"/>
              </w:rPr>
            </w:pPr>
            <w:r w:rsidRPr="003312E3">
              <w:rPr>
                <w:rFonts w:ascii="Arial" w:hAnsi="Arial" w:cs="Arial"/>
                <w:sz w:val="20"/>
                <w:szCs w:val="20"/>
                <w:lang w:eastAsia="en-GB"/>
              </w:rPr>
              <w:t> </w:t>
            </w:r>
          </w:p>
        </w:tc>
        <w:tc>
          <w:tcPr>
            <w:tcW w:w="1214" w:type="dxa"/>
            <w:tcBorders>
              <w:top w:val="nil"/>
              <w:left w:val="single" w:sz="4" w:space="0" w:color="auto"/>
              <w:bottom w:val="nil"/>
              <w:right w:val="single" w:sz="4" w:space="0" w:color="auto"/>
            </w:tcBorders>
            <w:shd w:val="clear" w:color="auto" w:fill="auto"/>
            <w:noWrap/>
            <w:vAlign w:val="bottom"/>
            <w:hideMark/>
          </w:tcPr>
          <w:p w14:paraId="77681DA2" w14:textId="77777777" w:rsidR="00D15D90" w:rsidRPr="003312E3" w:rsidRDefault="00D15D90" w:rsidP="00012E0D">
            <w:pPr>
              <w:jc w:val="right"/>
              <w:rPr>
                <w:rFonts w:ascii="Arial" w:hAnsi="Arial" w:cs="Arial"/>
                <w:sz w:val="20"/>
                <w:szCs w:val="20"/>
                <w:lang w:eastAsia="en-GB"/>
              </w:rPr>
            </w:pPr>
            <w:r w:rsidRPr="003312E3">
              <w:rPr>
                <w:rFonts w:ascii="Arial" w:hAnsi="Arial" w:cs="Arial"/>
                <w:sz w:val="20"/>
                <w:szCs w:val="20"/>
                <w:lang w:eastAsia="en-GB"/>
              </w:rPr>
              <w:t> </w:t>
            </w:r>
          </w:p>
        </w:tc>
        <w:tc>
          <w:tcPr>
            <w:tcW w:w="1375" w:type="dxa"/>
            <w:tcBorders>
              <w:top w:val="nil"/>
              <w:left w:val="nil"/>
              <w:bottom w:val="nil"/>
              <w:right w:val="single" w:sz="4" w:space="0" w:color="auto"/>
            </w:tcBorders>
            <w:shd w:val="clear" w:color="auto" w:fill="auto"/>
            <w:noWrap/>
            <w:vAlign w:val="bottom"/>
            <w:hideMark/>
          </w:tcPr>
          <w:p w14:paraId="7045D18D" w14:textId="77777777" w:rsidR="00D15D90" w:rsidRPr="003312E3" w:rsidRDefault="00D15D90" w:rsidP="00012E0D">
            <w:pPr>
              <w:jc w:val="right"/>
              <w:rPr>
                <w:rFonts w:ascii="Arial" w:hAnsi="Arial" w:cs="Arial"/>
                <w:sz w:val="20"/>
                <w:szCs w:val="20"/>
                <w:lang w:eastAsia="en-GB"/>
              </w:rPr>
            </w:pPr>
            <w:r w:rsidRPr="003312E3">
              <w:rPr>
                <w:rFonts w:ascii="Arial" w:hAnsi="Arial" w:cs="Arial"/>
                <w:sz w:val="20"/>
                <w:szCs w:val="20"/>
                <w:lang w:eastAsia="en-GB"/>
              </w:rPr>
              <w:t> </w:t>
            </w:r>
          </w:p>
        </w:tc>
        <w:tc>
          <w:tcPr>
            <w:tcW w:w="1271" w:type="dxa"/>
            <w:tcBorders>
              <w:top w:val="nil"/>
              <w:left w:val="nil"/>
              <w:bottom w:val="nil"/>
              <w:right w:val="single" w:sz="8" w:space="0" w:color="auto"/>
            </w:tcBorders>
            <w:shd w:val="clear" w:color="auto" w:fill="auto"/>
            <w:noWrap/>
            <w:vAlign w:val="bottom"/>
            <w:hideMark/>
          </w:tcPr>
          <w:p w14:paraId="4184F83F" w14:textId="77777777" w:rsidR="00D15D90" w:rsidRPr="003312E3" w:rsidRDefault="00D15D90" w:rsidP="00012E0D">
            <w:pPr>
              <w:jc w:val="right"/>
              <w:rPr>
                <w:rFonts w:ascii="Arial" w:hAnsi="Arial" w:cs="Arial"/>
                <w:sz w:val="20"/>
                <w:szCs w:val="20"/>
                <w:lang w:eastAsia="en-GB"/>
              </w:rPr>
            </w:pPr>
            <w:r w:rsidRPr="003312E3">
              <w:rPr>
                <w:rFonts w:ascii="Arial" w:hAnsi="Arial" w:cs="Arial"/>
                <w:sz w:val="20"/>
                <w:szCs w:val="20"/>
                <w:lang w:eastAsia="en-GB"/>
              </w:rPr>
              <w:t> </w:t>
            </w:r>
          </w:p>
        </w:tc>
        <w:tc>
          <w:tcPr>
            <w:tcW w:w="252" w:type="dxa"/>
            <w:shd w:val="clear" w:color="auto" w:fill="auto"/>
            <w:vAlign w:val="center"/>
            <w:hideMark/>
          </w:tcPr>
          <w:p w14:paraId="253463A0" w14:textId="77777777" w:rsidR="00D15D90" w:rsidRPr="003312E3" w:rsidRDefault="00D15D90" w:rsidP="00012E0D">
            <w:pPr>
              <w:rPr>
                <w:sz w:val="20"/>
                <w:szCs w:val="20"/>
                <w:highlight w:val="yellow"/>
                <w:lang w:eastAsia="en-GB"/>
              </w:rPr>
            </w:pPr>
          </w:p>
        </w:tc>
      </w:tr>
      <w:tr w:rsidR="00D15D90" w:rsidRPr="003312E3" w14:paraId="3D6FC7BE" w14:textId="77777777" w:rsidTr="00012E0D">
        <w:trPr>
          <w:trHeight w:val="289"/>
        </w:trPr>
        <w:tc>
          <w:tcPr>
            <w:tcW w:w="3366" w:type="dxa"/>
            <w:tcBorders>
              <w:top w:val="single" w:sz="4" w:space="0" w:color="auto"/>
              <w:left w:val="single" w:sz="8" w:space="0" w:color="auto"/>
              <w:bottom w:val="single" w:sz="8" w:space="0" w:color="auto"/>
              <w:right w:val="nil"/>
            </w:tcBorders>
            <w:shd w:val="clear" w:color="auto" w:fill="auto"/>
            <w:noWrap/>
            <w:vAlign w:val="bottom"/>
            <w:hideMark/>
          </w:tcPr>
          <w:p w14:paraId="2EEC599A" w14:textId="77777777" w:rsidR="00D15D90" w:rsidRPr="003312E3" w:rsidRDefault="00D15D90" w:rsidP="00012E0D">
            <w:pPr>
              <w:rPr>
                <w:rFonts w:ascii="Arial" w:hAnsi="Arial" w:cs="Arial"/>
                <w:b/>
                <w:bCs/>
                <w:sz w:val="20"/>
                <w:szCs w:val="20"/>
                <w:lang w:eastAsia="en-GB"/>
              </w:rPr>
            </w:pPr>
            <w:r w:rsidRPr="003312E3">
              <w:rPr>
                <w:rFonts w:ascii="Arial" w:hAnsi="Arial" w:cs="Arial"/>
                <w:b/>
                <w:bCs/>
                <w:sz w:val="20"/>
                <w:szCs w:val="20"/>
                <w:lang w:eastAsia="en-GB"/>
              </w:rPr>
              <w:t>Net Expenditure</w:t>
            </w:r>
          </w:p>
        </w:tc>
        <w:tc>
          <w:tcPr>
            <w:tcW w:w="1214" w:type="dxa"/>
            <w:tcBorders>
              <w:top w:val="single" w:sz="4" w:space="0" w:color="auto"/>
              <w:left w:val="single" w:sz="4" w:space="0" w:color="auto"/>
              <w:bottom w:val="single" w:sz="8" w:space="0" w:color="auto"/>
              <w:right w:val="single" w:sz="4" w:space="0" w:color="auto"/>
            </w:tcBorders>
            <w:shd w:val="clear" w:color="auto" w:fill="auto"/>
            <w:noWrap/>
            <w:hideMark/>
          </w:tcPr>
          <w:p w14:paraId="3C363BAB" w14:textId="77777777" w:rsidR="00D15D90" w:rsidRPr="003312E3" w:rsidRDefault="00D15D90" w:rsidP="00012E0D">
            <w:pPr>
              <w:jc w:val="right"/>
              <w:rPr>
                <w:rFonts w:ascii="Arial" w:hAnsi="Arial" w:cs="Arial"/>
                <w:b/>
                <w:bCs/>
                <w:sz w:val="20"/>
                <w:szCs w:val="20"/>
                <w:highlight w:val="yellow"/>
                <w:lang w:eastAsia="en-GB"/>
              </w:rPr>
            </w:pPr>
            <w:r w:rsidRPr="003312E3">
              <w:rPr>
                <w:rFonts w:ascii="Arial" w:hAnsi="Arial"/>
                <w:b/>
                <w:bCs/>
                <w:sz w:val="20"/>
                <w:lang w:val="en-US"/>
              </w:rPr>
              <w:t>0</w:t>
            </w:r>
          </w:p>
        </w:tc>
        <w:tc>
          <w:tcPr>
            <w:tcW w:w="1375" w:type="dxa"/>
            <w:tcBorders>
              <w:top w:val="single" w:sz="4" w:space="0" w:color="auto"/>
              <w:left w:val="nil"/>
              <w:bottom w:val="single" w:sz="8" w:space="0" w:color="auto"/>
              <w:right w:val="single" w:sz="4" w:space="0" w:color="auto"/>
            </w:tcBorders>
            <w:shd w:val="clear" w:color="auto" w:fill="auto"/>
            <w:noWrap/>
            <w:hideMark/>
          </w:tcPr>
          <w:p w14:paraId="079BD6FB" w14:textId="77777777" w:rsidR="00D15D90" w:rsidRPr="003312E3" w:rsidRDefault="00D15D90" w:rsidP="00012E0D">
            <w:pPr>
              <w:jc w:val="right"/>
              <w:rPr>
                <w:rFonts w:ascii="Arial" w:hAnsi="Arial" w:cs="Arial"/>
                <w:b/>
                <w:bCs/>
                <w:sz w:val="20"/>
                <w:szCs w:val="20"/>
                <w:highlight w:val="yellow"/>
                <w:lang w:eastAsia="en-GB"/>
              </w:rPr>
            </w:pPr>
            <w:r>
              <w:rPr>
                <w:rFonts w:ascii="Arial" w:hAnsi="Arial"/>
                <w:b/>
                <w:bCs/>
                <w:sz w:val="20"/>
                <w:lang w:val="en-US"/>
              </w:rPr>
              <w:t>(</w:t>
            </w:r>
            <w:r w:rsidRPr="003312E3">
              <w:rPr>
                <w:rFonts w:ascii="Arial" w:hAnsi="Arial"/>
                <w:b/>
                <w:bCs/>
                <w:sz w:val="20"/>
                <w:lang w:val="en-US"/>
              </w:rPr>
              <w:t>2,120</w:t>
            </w:r>
            <w:r>
              <w:rPr>
                <w:rFonts w:ascii="Arial" w:hAnsi="Arial"/>
                <w:b/>
                <w:bCs/>
                <w:sz w:val="20"/>
                <w:lang w:val="en-US"/>
              </w:rPr>
              <w:t>)</w:t>
            </w:r>
          </w:p>
        </w:tc>
        <w:tc>
          <w:tcPr>
            <w:tcW w:w="1271" w:type="dxa"/>
            <w:tcBorders>
              <w:top w:val="single" w:sz="4" w:space="0" w:color="auto"/>
              <w:left w:val="nil"/>
              <w:bottom w:val="single" w:sz="8" w:space="0" w:color="auto"/>
              <w:right w:val="single" w:sz="8" w:space="0" w:color="auto"/>
            </w:tcBorders>
            <w:shd w:val="clear" w:color="auto" w:fill="auto"/>
            <w:noWrap/>
            <w:hideMark/>
          </w:tcPr>
          <w:p w14:paraId="00931615" w14:textId="77777777" w:rsidR="00D15D90" w:rsidRPr="003312E3" w:rsidRDefault="00D15D90" w:rsidP="00012E0D">
            <w:pPr>
              <w:jc w:val="right"/>
              <w:rPr>
                <w:rFonts w:ascii="Arial" w:hAnsi="Arial" w:cs="Arial"/>
                <w:b/>
                <w:bCs/>
                <w:sz w:val="20"/>
                <w:szCs w:val="20"/>
                <w:highlight w:val="yellow"/>
                <w:lang w:eastAsia="en-GB"/>
              </w:rPr>
            </w:pPr>
            <w:r>
              <w:rPr>
                <w:rFonts w:ascii="Arial" w:hAnsi="Arial"/>
                <w:b/>
                <w:bCs/>
                <w:sz w:val="20"/>
                <w:lang w:val="en-US"/>
              </w:rPr>
              <w:t>(</w:t>
            </w:r>
            <w:r w:rsidRPr="003312E3">
              <w:rPr>
                <w:rFonts w:ascii="Arial" w:hAnsi="Arial"/>
                <w:b/>
                <w:bCs/>
                <w:sz w:val="20"/>
                <w:lang w:val="en-US"/>
              </w:rPr>
              <w:t>2,120</w:t>
            </w:r>
            <w:r>
              <w:rPr>
                <w:rFonts w:ascii="Arial" w:hAnsi="Arial"/>
                <w:b/>
                <w:bCs/>
                <w:sz w:val="20"/>
                <w:lang w:val="en-US"/>
              </w:rPr>
              <w:t>)</w:t>
            </w:r>
          </w:p>
        </w:tc>
        <w:tc>
          <w:tcPr>
            <w:tcW w:w="252" w:type="dxa"/>
            <w:shd w:val="clear" w:color="auto" w:fill="auto"/>
            <w:vAlign w:val="center"/>
            <w:hideMark/>
          </w:tcPr>
          <w:p w14:paraId="25C2CE44" w14:textId="77777777" w:rsidR="00D15D90" w:rsidRPr="003312E3" w:rsidRDefault="00D15D90" w:rsidP="00012E0D">
            <w:pPr>
              <w:rPr>
                <w:sz w:val="20"/>
                <w:szCs w:val="20"/>
                <w:highlight w:val="yellow"/>
                <w:lang w:eastAsia="en-GB"/>
              </w:rPr>
            </w:pPr>
          </w:p>
        </w:tc>
      </w:tr>
      <w:bookmarkEnd w:id="19"/>
    </w:tbl>
    <w:p w14:paraId="044E9C7B" w14:textId="77777777" w:rsidR="00D15D90" w:rsidRPr="00B15622" w:rsidRDefault="00D15D90" w:rsidP="00D15D90">
      <w:pPr>
        <w:tabs>
          <w:tab w:val="left" w:pos="142"/>
          <w:tab w:val="left" w:pos="709"/>
        </w:tabs>
        <w:spacing w:line="360" w:lineRule="auto"/>
        <w:rPr>
          <w:rFonts w:ascii="Arial" w:hAnsi="Arial" w:cs="Arial"/>
          <w:snapToGrid w:val="0"/>
          <w:highlight w:val="yellow"/>
        </w:rPr>
      </w:pPr>
    </w:p>
    <w:p w14:paraId="56D5CB63" w14:textId="77777777" w:rsidR="00D15D90" w:rsidRPr="00B15622" w:rsidRDefault="00D15D90" w:rsidP="00D15D90">
      <w:pPr>
        <w:tabs>
          <w:tab w:val="left" w:pos="142"/>
        </w:tabs>
        <w:spacing w:line="360" w:lineRule="auto"/>
        <w:rPr>
          <w:rFonts w:ascii="Arial" w:eastAsia="Arial" w:hAnsi="Arial" w:cs="Arial"/>
          <w:highlight w:val="yellow"/>
        </w:rPr>
      </w:pPr>
    </w:p>
    <w:p w14:paraId="62E8715A" w14:textId="77777777" w:rsidR="00D15D90" w:rsidRPr="005D7C84" w:rsidRDefault="00D15D90" w:rsidP="00D15D90">
      <w:pPr>
        <w:spacing w:line="360" w:lineRule="auto"/>
        <w:rPr>
          <w:rFonts w:ascii="Arial" w:hAnsi="Arial" w:cs="Arial"/>
          <w:snapToGrid w:val="0"/>
          <w:u w:val="single"/>
        </w:rPr>
      </w:pPr>
      <w:r w:rsidRPr="005D7C84">
        <w:rPr>
          <w:rFonts w:ascii="Arial" w:hAnsi="Arial" w:cs="Arial"/>
          <w:snapToGrid w:val="0"/>
          <w:u w:val="single"/>
        </w:rPr>
        <w:t>Corporate Services</w:t>
      </w:r>
    </w:p>
    <w:p w14:paraId="0A51621D" w14:textId="77777777" w:rsidR="00D15D90" w:rsidRPr="005D7C84" w:rsidRDefault="00D15D90" w:rsidP="00D15D90">
      <w:pPr>
        <w:spacing w:line="360" w:lineRule="auto"/>
        <w:rPr>
          <w:rFonts w:ascii="Arial" w:hAnsi="Arial" w:cs="Arial"/>
          <w:snapToGrid w:val="0"/>
        </w:rPr>
      </w:pPr>
    </w:p>
    <w:p w14:paraId="6F2DB2E5" w14:textId="77777777" w:rsidR="00D15D90" w:rsidRPr="00B15622" w:rsidRDefault="00D15D90" w:rsidP="00D15D90">
      <w:pPr>
        <w:spacing w:line="360" w:lineRule="auto"/>
        <w:rPr>
          <w:rFonts w:ascii="Arial" w:hAnsi="Arial" w:cs="Arial"/>
          <w:snapToGrid w:val="0"/>
          <w:highlight w:val="yellow"/>
        </w:rPr>
      </w:pPr>
      <w:r w:rsidRPr="005D7C84">
        <w:rPr>
          <w:rFonts w:ascii="Arial" w:hAnsi="Arial" w:cs="Arial"/>
          <w:snapToGrid w:val="0"/>
        </w:rPr>
        <w:t xml:space="preserve">The Corporate Services Directorate provide support for the whole of GMCA including GMFRS, OPCC, Waste and Resources and elements of Transport functions. The corporate functions include services such as Strategy, Research, Information and Communication Technology (ICT), Human Resources, Organisational Development, Finance, Internal Audit and Risk, Commercial Services, Legal and Governance. Funding </w:t>
      </w:r>
      <w:r w:rsidRPr="005D7C84">
        <w:rPr>
          <w:rFonts w:ascii="Arial" w:hAnsi="Arial" w:cs="Arial"/>
          <w:snapToGrid w:val="0"/>
        </w:rPr>
        <w:lastRenderedPageBreak/>
        <w:t>of GMCA corporate functions is predominantly from recharges within the GMCA and to grants, external funding and district contributions. The original approved budget for 2023/24 w</w:t>
      </w:r>
      <w:r w:rsidRPr="004A5A2D">
        <w:rPr>
          <w:rFonts w:ascii="Arial" w:hAnsi="Arial" w:cs="Arial"/>
          <w:snapToGrid w:val="0"/>
        </w:rPr>
        <w:t>as £25.8m and the 2023/24 gross expenditure was £28.9m. The increase of £3.1m relates to expenditure on new activities funded by a range of sources, such as external income, internal recharges and reserves. New activities include the resilience unit, IFRS 16 related spend and additional roles on research and strategy assisting with devolution and new business partnering roles funded from directorates.</w:t>
      </w:r>
    </w:p>
    <w:p w14:paraId="4734FC84" w14:textId="77777777" w:rsidR="00D15D90" w:rsidRPr="00B15622" w:rsidRDefault="00D15D90" w:rsidP="00D15D90">
      <w:pPr>
        <w:spacing w:line="360" w:lineRule="auto"/>
        <w:rPr>
          <w:rFonts w:ascii="Arial" w:hAnsi="Arial" w:cs="Arial"/>
          <w:snapToGrid w:val="0"/>
          <w:highlight w:val="yellow"/>
        </w:rPr>
      </w:pPr>
    </w:p>
    <w:p w14:paraId="56C84192" w14:textId="77777777" w:rsidR="00D15D90" w:rsidRPr="009756AD" w:rsidRDefault="00D15D90" w:rsidP="00D15D90">
      <w:pPr>
        <w:pStyle w:val="paragraph"/>
        <w:spacing w:before="0" w:beforeAutospacing="0" w:after="0" w:afterAutospacing="0" w:line="360" w:lineRule="auto"/>
        <w:ind w:left="709" w:hanging="709"/>
        <w:textAlignment w:val="baseline"/>
        <w:rPr>
          <w:rStyle w:val="normaltextrun"/>
          <w:rFonts w:ascii="Arial" w:hAnsi="Arial" w:cs="Arial"/>
          <w:u w:val="single"/>
        </w:rPr>
      </w:pPr>
      <w:r w:rsidRPr="009756AD">
        <w:rPr>
          <w:rStyle w:val="normaltextrun"/>
          <w:rFonts w:ascii="Arial" w:hAnsi="Arial" w:cs="Arial"/>
          <w:u w:val="single"/>
        </w:rPr>
        <w:t>Core Investment Team</w:t>
      </w:r>
    </w:p>
    <w:p w14:paraId="5B887446" w14:textId="77777777" w:rsidR="00D15D90" w:rsidRPr="009756AD" w:rsidRDefault="00D15D90" w:rsidP="00D15D90">
      <w:pPr>
        <w:pStyle w:val="paragraph"/>
        <w:spacing w:before="0" w:beforeAutospacing="0" w:after="0" w:afterAutospacing="0" w:line="360" w:lineRule="auto"/>
        <w:ind w:left="709" w:hanging="709"/>
        <w:textAlignment w:val="baseline"/>
        <w:rPr>
          <w:rStyle w:val="normaltextrun"/>
          <w:rFonts w:ascii="Arial" w:hAnsi="Arial" w:cs="Arial"/>
          <w:u w:val="single"/>
        </w:rPr>
      </w:pPr>
    </w:p>
    <w:p w14:paraId="1CE19366" w14:textId="77777777" w:rsidR="00D15D90" w:rsidRPr="009756AD" w:rsidRDefault="00D15D90" w:rsidP="00D15D90">
      <w:pPr>
        <w:pStyle w:val="paragraph"/>
        <w:spacing w:before="0" w:beforeAutospacing="0" w:after="0" w:afterAutospacing="0" w:line="360" w:lineRule="auto"/>
        <w:textAlignment w:val="baseline"/>
        <w:rPr>
          <w:rFonts w:ascii="Arial" w:hAnsi="Arial" w:cs="Arial"/>
          <w:snapToGrid w:val="0"/>
        </w:rPr>
      </w:pPr>
      <w:r w:rsidRPr="009756AD">
        <w:rPr>
          <w:rFonts w:ascii="Arial" w:hAnsi="Arial" w:cs="Arial"/>
          <w:snapToGrid w:val="0"/>
        </w:rPr>
        <w:t xml:space="preserve">The Core Investment Team is responsible for managing funding provided through the Greater Manchester (GM) Investment Framework and the GM Housing Investment Loans Fund (HLIF) described above.  </w:t>
      </w:r>
    </w:p>
    <w:p w14:paraId="14E06E19" w14:textId="77777777" w:rsidR="00D15D90" w:rsidRPr="009756AD" w:rsidRDefault="00D15D90" w:rsidP="00D15D90">
      <w:pPr>
        <w:pStyle w:val="paragraph"/>
        <w:spacing w:before="0" w:beforeAutospacing="0" w:after="0" w:afterAutospacing="0" w:line="360" w:lineRule="auto"/>
        <w:textAlignment w:val="baseline"/>
        <w:rPr>
          <w:rFonts w:ascii="Arial" w:hAnsi="Arial" w:cs="Arial"/>
          <w:snapToGrid w:val="0"/>
        </w:rPr>
      </w:pPr>
    </w:p>
    <w:p w14:paraId="00EC77D9" w14:textId="77777777" w:rsidR="00D15D90" w:rsidRPr="009756AD" w:rsidRDefault="00D15D90" w:rsidP="00D15D90">
      <w:pPr>
        <w:pStyle w:val="paragraph"/>
        <w:spacing w:before="0" w:beforeAutospacing="0" w:after="0" w:afterAutospacing="0" w:line="360" w:lineRule="auto"/>
        <w:textAlignment w:val="baseline"/>
        <w:rPr>
          <w:rStyle w:val="normaltextrun"/>
          <w:rFonts w:ascii="Arial" w:hAnsi="Arial" w:cs="Arial"/>
          <w:u w:val="single"/>
        </w:rPr>
      </w:pPr>
      <w:r w:rsidRPr="009756AD">
        <w:rPr>
          <w:rFonts w:ascii="Arial" w:hAnsi="Arial" w:cs="Arial"/>
          <w:snapToGrid w:val="0"/>
        </w:rPr>
        <w:t xml:space="preserve">The outturn position on the Core </w:t>
      </w:r>
      <w:r w:rsidRPr="004A5A2D">
        <w:rPr>
          <w:rFonts w:ascii="Arial" w:hAnsi="Arial" w:cs="Arial"/>
          <w:snapToGrid w:val="0"/>
        </w:rPr>
        <w:t>Investment Team shows a decrease of £0.1m</w:t>
      </w:r>
      <w:r>
        <w:rPr>
          <w:rFonts w:ascii="Arial" w:hAnsi="Arial" w:cs="Arial"/>
          <w:snapToGrid w:val="0"/>
        </w:rPr>
        <w:t xml:space="preserve"> c</w:t>
      </w:r>
      <w:r w:rsidRPr="009756AD">
        <w:rPr>
          <w:rFonts w:ascii="Arial" w:hAnsi="Arial" w:cs="Arial"/>
          <w:snapToGrid w:val="0"/>
        </w:rPr>
        <w:t>ompared to the original budget</w:t>
      </w:r>
      <w:r>
        <w:rPr>
          <w:rFonts w:ascii="Arial" w:hAnsi="Arial" w:cs="Arial"/>
          <w:snapToGrid w:val="0"/>
        </w:rPr>
        <w:t>.</w:t>
      </w:r>
      <w:r w:rsidRPr="009756AD">
        <w:rPr>
          <w:rFonts w:ascii="Arial" w:hAnsi="Arial" w:cs="Arial"/>
          <w:snapToGrid w:val="0"/>
        </w:rPr>
        <w:t xml:space="preserve"> </w:t>
      </w:r>
      <w:r>
        <w:rPr>
          <w:rFonts w:ascii="Arial" w:hAnsi="Arial" w:cs="Arial"/>
          <w:snapToGrid w:val="0"/>
        </w:rPr>
        <w:t>T</w:t>
      </w:r>
      <w:r w:rsidRPr="004A5A2D">
        <w:rPr>
          <w:rFonts w:ascii="Arial" w:hAnsi="Arial" w:cs="Arial"/>
          <w:snapToGrid w:val="0"/>
        </w:rPr>
        <w:t>his is due to lower than expected employee costs as a result of some part</w:t>
      </w:r>
      <w:r>
        <w:rPr>
          <w:rFonts w:ascii="Arial" w:hAnsi="Arial" w:cs="Arial"/>
          <w:snapToGrid w:val="0"/>
        </w:rPr>
        <w:t>-</w:t>
      </w:r>
      <w:r w:rsidRPr="004A5A2D">
        <w:rPr>
          <w:rFonts w:ascii="Arial" w:hAnsi="Arial" w:cs="Arial"/>
          <w:snapToGrid w:val="0"/>
        </w:rPr>
        <w:t>year vacancies</w:t>
      </w:r>
      <w:r>
        <w:rPr>
          <w:rFonts w:ascii="Arial" w:hAnsi="Arial" w:cs="Arial"/>
          <w:snapToGrid w:val="0"/>
        </w:rPr>
        <w:t>;</w:t>
      </w:r>
      <w:r w:rsidRPr="004A5A2D">
        <w:rPr>
          <w:rFonts w:ascii="Arial" w:hAnsi="Arial" w:cs="Arial"/>
          <w:snapToGrid w:val="0"/>
        </w:rPr>
        <w:t xml:space="preserve"> it does not impact the overall position for GMCA as surpluses/deficits are transferred to earmarked reserves.</w:t>
      </w:r>
      <w:r w:rsidRPr="009756AD">
        <w:rPr>
          <w:rFonts w:ascii="Arial" w:hAnsi="Arial" w:cs="Arial"/>
          <w:snapToGrid w:val="0"/>
        </w:rPr>
        <w:t xml:space="preserve">  </w:t>
      </w:r>
    </w:p>
    <w:p w14:paraId="0ABE6D3E" w14:textId="77777777" w:rsidR="00D15D90" w:rsidRPr="00B15622" w:rsidRDefault="00D15D90" w:rsidP="00D15D90">
      <w:pPr>
        <w:pStyle w:val="paragraph"/>
        <w:spacing w:before="0" w:beforeAutospacing="0" w:after="0" w:afterAutospacing="0" w:line="360" w:lineRule="auto"/>
        <w:ind w:left="709" w:hanging="709"/>
        <w:textAlignment w:val="baseline"/>
        <w:rPr>
          <w:rStyle w:val="normaltextrun"/>
          <w:rFonts w:ascii="Arial" w:hAnsi="Arial" w:cs="Arial"/>
          <w:highlight w:val="yellow"/>
          <w:u w:val="single"/>
        </w:rPr>
      </w:pPr>
    </w:p>
    <w:p w14:paraId="467199D9" w14:textId="77777777" w:rsidR="00D15D90" w:rsidRPr="00D7593B" w:rsidRDefault="00D15D90" w:rsidP="00D15D90">
      <w:pPr>
        <w:pStyle w:val="paragraph"/>
        <w:spacing w:before="0" w:beforeAutospacing="0" w:after="0" w:afterAutospacing="0" w:line="360" w:lineRule="auto"/>
        <w:ind w:left="709" w:hanging="709"/>
        <w:textAlignment w:val="baseline"/>
        <w:rPr>
          <w:rStyle w:val="normaltextrun"/>
          <w:rFonts w:ascii="Arial" w:hAnsi="Arial" w:cs="Arial"/>
          <w:u w:val="single"/>
        </w:rPr>
      </w:pPr>
      <w:r w:rsidRPr="00D7593B">
        <w:rPr>
          <w:rStyle w:val="normaltextrun"/>
          <w:rFonts w:ascii="Arial" w:hAnsi="Arial" w:cs="Arial"/>
          <w:u w:val="single"/>
        </w:rPr>
        <w:t>Digital</w:t>
      </w:r>
    </w:p>
    <w:p w14:paraId="0F27F343" w14:textId="77777777" w:rsidR="00D15D90" w:rsidRPr="00B15622" w:rsidRDefault="00D15D90" w:rsidP="00D15D90">
      <w:pPr>
        <w:pStyle w:val="paragraph"/>
        <w:spacing w:before="0" w:beforeAutospacing="0" w:after="0" w:afterAutospacing="0" w:line="360" w:lineRule="auto"/>
        <w:ind w:left="709" w:hanging="709"/>
        <w:textAlignment w:val="baseline"/>
        <w:rPr>
          <w:rStyle w:val="normaltextrun"/>
          <w:rFonts w:ascii="Arial" w:hAnsi="Arial" w:cs="Arial"/>
          <w:highlight w:val="yellow"/>
        </w:rPr>
      </w:pPr>
    </w:p>
    <w:p w14:paraId="0AAC0FD5" w14:textId="77777777" w:rsidR="00D15D90" w:rsidRPr="009756AD" w:rsidRDefault="00D15D90" w:rsidP="00D15D90">
      <w:pPr>
        <w:pStyle w:val="paragraph"/>
        <w:spacing w:before="0" w:beforeAutospacing="0" w:after="0" w:afterAutospacing="0" w:line="360" w:lineRule="auto"/>
        <w:textAlignment w:val="baseline"/>
        <w:rPr>
          <w:rStyle w:val="eop"/>
          <w:rFonts w:ascii="Arial" w:hAnsi="Arial" w:cs="Arial"/>
          <w:color w:val="000000"/>
          <w:shd w:val="clear" w:color="auto" w:fill="FFFFFF"/>
        </w:rPr>
      </w:pPr>
      <w:r w:rsidRPr="009756AD">
        <w:rPr>
          <w:rStyle w:val="normaltextrun"/>
          <w:rFonts w:ascii="Arial" w:hAnsi="Arial" w:cs="Arial"/>
        </w:rPr>
        <w:t xml:space="preserve">The Digital Directorate is committed to delivering on the GM Digital Strategy through a three year approach set out in the GM Digital Blueprint. </w:t>
      </w:r>
      <w:r w:rsidRPr="009756AD">
        <w:rPr>
          <w:rFonts w:ascii="Arial" w:hAnsi="Arial" w:cs="Arial"/>
          <w:iCs/>
        </w:rPr>
        <w:t xml:space="preserve">GM Digital collaborates across the GM digital system which includes industry, universities, health, and Voluntary, Community and Social Enterprise (VCSE) sector to create opportunities, maximise outcomes and generate inward investment. </w:t>
      </w:r>
    </w:p>
    <w:p w14:paraId="05E82497" w14:textId="77777777" w:rsidR="00D15D90" w:rsidRPr="00B15622" w:rsidRDefault="00D15D90" w:rsidP="00D15D90">
      <w:pPr>
        <w:pStyle w:val="paragraph"/>
        <w:spacing w:before="0" w:beforeAutospacing="0" w:after="0" w:afterAutospacing="0" w:line="360" w:lineRule="auto"/>
        <w:ind w:left="720" w:hanging="720"/>
        <w:textAlignment w:val="baseline"/>
        <w:rPr>
          <w:rStyle w:val="eop"/>
          <w:rFonts w:ascii="Arial" w:hAnsi="Arial" w:cs="Arial"/>
          <w:color w:val="000000"/>
          <w:highlight w:val="yellow"/>
          <w:shd w:val="clear" w:color="auto" w:fill="FFFFFF"/>
        </w:rPr>
      </w:pPr>
    </w:p>
    <w:p w14:paraId="35D06FE6" w14:textId="77777777" w:rsidR="00D15D90" w:rsidRPr="00D7593B" w:rsidRDefault="00D15D90" w:rsidP="00D15D90">
      <w:pPr>
        <w:pStyle w:val="paragraph"/>
        <w:spacing w:before="0" w:beforeAutospacing="0" w:after="0" w:afterAutospacing="0" w:line="360" w:lineRule="auto"/>
        <w:textAlignment w:val="baseline"/>
        <w:rPr>
          <w:rFonts w:ascii="Arial" w:hAnsi="Arial" w:cs="Arial"/>
          <w:snapToGrid w:val="0"/>
          <w:highlight w:val="yellow"/>
        </w:rPr>
      </w:pPr>
      <w:r w:rsidRPr="009756AD">
        <w:rPr>
          <w:rFonts w:ascii="Arial" w:hAnsi="Arial" w:cs="Arial"/>
          <w:snapToGrid w:val="0"/>
        </w:rPr>
        <w:t xml:space="preserve">The </w:t>
      </w:r>
      <w:r w:rsidRPr="00D7593B">
        <w:rPr>
          <w:rFonts w:ascii="Arial" w:hAnsi="Arial" w:cs="Arial"/>
          <w:snapToGrid w:val="0"/>
        </w:rPr>
        <w:t>2023/24 original budget for Digital was £0.4m. Whilst the outturn position for Digital shows an increase of £4.3m compared to the original budget, the impact on the overall position for GMCA is only £77k. This adverse impact is the result of project delivery costs relating to the Digital Platform Programme exceeding the identified budget. Additional funding realised during the year, £1.55m of Retained Business Rates Funding, £0.6m partner funding relating to the GM One Network, £1.6m of other internal funding/partner contributions and £0.5m from grants.</w:t>
      </w:r>
      <w:r w:rsidRPr="00D7593B">
        <w:rPr>
          <w:rFonts w:ascii="Arial" w:hAnsi="Arial" w:cs="Arial"/>
          <w:snapToGrid w:val="0"/>
          <w:highlight w:val="yellow"/>
        </w:rPr>
        <w:t xml:space="preserve"> </w:t>
      </w:r>
    </w:p>
    <w:p w14:paraId="1861A97E" w14:textId="77777777" w:rsidR="00D15D90" w:rsidRPr="00B15622" w:rsidRDefault="00D15D90" w:rsidP="00D15D90">
      <w:pPr>
        <w:pStyle w:val="paragraph"/>
        <w:spacing w:before="0" w:beforeAutospacing="0" w:after="0" w:afterAutospacing="0" w:line="360" w:lineRule="auto"/>
        <w:textAlignment w:val="baseline"/>
        <w:rPr>
          <w:rFonts w:ascii="Arial" w:hAnsi="Arial" w:cs="Arial"/>
          <w:snapToGrid w:val="0"/>
          <w:highlight w:val="yellow"/>
        </w:rPr>
      </w:pPr>
    </w:p>
    <w:p w14:paraId="75AFFF91" w14:textId="77777777" w:rsidR="00D15D90" w:rsidRPr="00D7593B" w:rsidRDefault="00D15D90" w:rsidP="00D15D90">
      <w:pPr>
        <w:tabs>
          <w:tab w:val="left" w:pos="709"/>
        </w:tabs>
        <w:spacing w:line="360" w:lineRule="auto"/>
        <w:jc w:val="both"/>
        <w:rPr>
          <w:rFonts w:ascii="Arial" w:hAnsi="Arial" w:cs="Arial"/>
        </w:rPr>
      </w:pPr>
      <w:r w:rsidRPr="00D7593B">
        <w:rPr>
          <w:rFonts w:ascii="Arial" w:hAnsi="Arial" w:cs="Arial"/>
          <w:snapToGrid w:val="0"/>
          <w:u w:val="single"/>
        </w:rPr>
        <w:t>Economy</w:t>
      </w:r>
      <w:r w:rsidRPr="00D7593B">
        <w:rPr>
          <w:rFonts w:ascii="Arial" w:hAnsi="Arial" w:cs="Arial"/>
        </w:rPr>
        <w:t xml:space="preserve"> </w:t>
      </w:r>
    </w:p>
    <w:p w14:paraId="7BEC51BD" w14:textId="77777777" w:rsidR="00D15D90" w:rsidRPr="00B15622" w:rsidRDefault="00D15D90" w:rsidP="00D15D90">
      <w:pPr>
        <w:tabs>
          <w:tab w:val="left" w:pos="709"/>
        </w:tabs>
        <w:spacing w:line="360" w:lineRule="auto"/>
        <w:jc w:val="both"/>
        <w:rPr>
          <w:rFonts w:ascii="Arial" w:hAnsi="Arial" w:cs="Arial"/>
          <w:b/>
          <w:snapToGrid w:val="0"/>
          <w:highlight w:val="yellow"/>
        </w:rPr>
      </w:pPr>
    </w:p>
    <w:p w14:paraId="3408A770" w14:textId="77777777" w:rsidR="00D15D90" w:rsidRPr="00B15622" w:rsidRDefault="00D15D90" w:rsidP="00D15D90">
      <w:pPr>
        <w:spacing w:line="360" w:lineRule="auto"/>
        <w:rPr>
          <w:rFonts w:ascii="Arial" w:hAnsi="Arial" w:cs="Arial"/>
          <w:snapToGrid w:val="0"/>
          <w:highlight w:val="yellow"/>
        </w:rPr>
      </w:pPr>
      <w:r w:rsidRPr="005D7C84">
        <w:rPr>
          <w:rFonts w:ascii="Arial" w:hAnsi="Arial" w:cs="Arial"/>
        </w:rPr>
        <w:t xml:space="preserve">The Economy Directorate leads key groups including the Growth Board, Local Industrial Strategy Programme Delivery Executive, GM Economic Resilience Group and GM Local Enterprise Partnership (LEP). </w:t>
      </w:r>
      <w:r w:rsidRPr="005D7C84">
        <w:rPr>
          <w:rFonts w:ascii="Arial" w:hAnsi="Arial" w:cs="Arial"/>
          <w:snapToGrid w:val="0"/>
        </w:rPr>
        <w:t xml:space="preserve">The 2023/24 approved budget for Economy was £9.7m with actual </w:t>
      </w:r>
      <w:r w:rsidRPr="00D7593B">
        <w:rPr>
          <w:rFonts w:ascii="Arial" w:hAnsi="Arial" w:cs="Arial"/>
          <w:snapToGrid w:val="0"/>
        </w:rPr>
        <w:t>expenditure for 2023/24 being £15.5m relating to:</w:t>
      </w:r>
    </w:p>
    <w:p w14:paraId="4B0C3D31" w14:textId="77777777" w:rsidR="00D15D90" w:rsidRPr="00D7593B" w:rsidRDefault="00D15D90" w:rsidP="00D15D90">
      <w:pPr>
        <w:spacing w:line="360" w:lineRule="auto"/>
        <w:rPr>
          <w:rFonts w:ascii="Arial" w:hAnsi="Arial" w:cs="Arial"/>
        </w:rPr>
      </w:pPr>
    </w:p>
    <w:p w14:paraId="2F9461E9" w14:textId="77777777" w:rsidR="00D15D90" w:rsidRPr="00D7593B" w:rsidRDefault="00D15D90" w:rsidP="00D15D90">
      <w:pPr>
        <w:pStyle w:val="ListParagraph"/>
        <w:numPr>
          <w:ilvl w:val="0"/>
          <w:numId w:val="69"/>
        </w:numPr>
        <w:spacing w:after="0" w:line="360" w:lineRule="auto"/>
        <w:ind w:left="426" w:hanging="426"/>
        <w:rPr>
          <w:rFonts w:ascii="Arial" w:hAnsi="Arial" w:cs="Arial"/>
          <w:snapToGrid w:val="0"/>
          <w:sz w:val="24"/>
          <w:szCs w:val="24"/>
        </w:rPr>
      </w:pPr>
      <w:r w:rsidRPr="00D7593B">
        <w:rPr>
          <w:rFonts w:ascii="Arial" w:hAnsi="Arial" w:cs="Arial"/>
          <w:snapToGrid w:val="0"/>
          <w:sz w:val="24"/>
          <w:szCs w:val="24"/>
        </w:rPr>
        <w:t>GM Productivity Programme expenditure of £4.8m and GM Local Industrial Strategy (LIS) expenditure of £1.2m both funded from retained business rates.</w:t>
      </w:r>
    </w:p>
    <w:p w14:paraId="6A7CEAB4" w14:textId="77777777" w:rsidR="00D15D90" w:rsidRPr="00D7593B" w:rsidRDefault="00D15D90" w:rsidP="00D15D90">
      <w:pPr>
        <w:pStyle w:val="ListParagraph"/>
        <w:numPr>
          <w:ilvl w:val="0"/>
          <w:numId w:val="69"/>
        </w:numPr>
        <w:spacing w:after="0" w:line="360" w:lineRule="auto"/>
        <w:rPr>
          <w:rFonts w:ascii="Arial" w:hAnsi="Arial" w:cs="Arial"/>
          <w:snapToGrid w:val="0"/>
          <w:sz w:val="24"/>
          <w:szCs w:val="24"/>
        </w:rPr>
      </w:pPr>
      <w:r w:rsidRPr="00D7593B">
        <w:rPr>
          <w:rFonts w:ascii="Arial" w:hAnsi="Arial" w:cs="Arial"/>
          <w:snapToGrid w:val="0"/>
          <w:sz w:val="24"/>
          <w:szCs w:val="24"/>
        </w:rPr>
        <w:t xml:space="preserve">£3.85m relating to Marketing Manchester and MIDAS funded from District Contributions of £1.4m and £2.5m from retained business rates.  </w:t>
      </w:r>
    </w:p>
    <w:p w14:paraId="5544EB08" w14:textId="77777777" w:rsidR="00D15D90" w:rsidRPr="00D7593B" w:rsidRDefault="00D15D90" w:rsidP="00D15D90">
      <w:pPr>
        <w:pStyle w:val="ListParagraph"/>
        <w:numPr>
          <w:ilvl w:val="0"/>
          <w:numId w:val="69"/>
        </w:numPr>
        <w:spacing w:after="0" w:line="360" w:lineRule="auto"/>
        <w:rPr>
          <w:rFonts w:ascii="Arial" w:hAnsi="Arial" w:cs="Arial"/>
          <w:snapToGrid w:val="0"/>
          <w:sz w:val="24"/>
          <w:szCs w:val="24"/>
        </w:rPr>
      </w:pPr>
      <w:r w:rsidRPr="00D7593B">
        <w:rPr>
          <w:rFonts w:ascii="Arial" w:hAnsi="Arial" w:cs="Arial"/>
          <w:snapToGrid w:val="0"/>
          <w:sz w:val="24"/>
          <w:szCs w:val="24"/>
        </w:rPr>
        <w:t xml:space="preserve">£1.98m relating to Made Smarter Adoption North West programme fully funded from Government grant.  </w:t>
      </w:r>
    </w:p>
    <w:p w14:paraId="4FF98479" w14:textId="77777777" w:rsidR="00D15D90" w:rsidRPr="00D7593B" w:rsidRDefault="00D15D90" w:rsidP="00D15D90">
      <w:pPr>
        <w:pStyle w:val="ListParagraph"/>
        <w:numPr>
          <w:ilvl w:val="0"/>
          <w:numId w:val="69"/>
        </w:numPr>
        <w:spacing w:after="0" w:line="360" w:lineRule="auto"/>
        <w:rPr>
          <w:rFonts w:ascii="Arial" w:hAnsi="Arial" w:cs="Arial"/>
          <w:snapToGrid w:val="0"/>
          <w:sz w:val="24"/>
          <w:szCs w:val="24"/>
        </w:rPr>
      </w:pPr>
      <w:r w:rsidRPr="00D7593B">
        <w:rPr>
          <w:rFonts w:ascii="Arial" w:hAnsi="Arial" w:cs="Arial"/>
          <w:snapToGrid w:val="0"/>
          <w:sz w:val="24"/>
          <w:szCs w:val="24"/>
        </w:rPr>
        <w:t xml:space="preserve">£1.4m for the Economy team funded from a combination of internal recharges, grants and previously and retained business rates. </w:t>
      </w:r>
    </w:p>
    <w:p w14:paraId="325BE562" w14:textId="77777777" w:rsidR="00D15D90" w:rsidRPr="00D7593B" w:rsidRDefault="00D15D90" w:rsidP="00D15D90">
      <w:pPr>
        <w:pStyle w:val="ListParagraph"/>
        <w:numPr>
          <w:ilvl w:val="0"/>
          <w:numId w:val="69"/>
        </w:numPr>
        <w:spacing w:after="0" w:line="360" w:lineRule="auto"/>
        <w:rPr>
          <w:rFonts w:ascii="Arial" w:hAnsi="Arial" w:cs="Arial"/>
          <w:snapToGrid w:val="0"/>
          <w:sz w:val="24"/>
          <w:szCs w:val="24"/>
        </w:rPr>
      </w:pPr>
      <w:r w:rsidRPr="00D7593B">
        <w:rPr>
          <w:rFonts w:ascii="Arial" w:hAnsi="Arial" w:cs="Arial"/>
          <w:snapToGrid w:val="0"/>
          <w:sz w:val="24"/>
          <w:szCs w:val="24"/>
        </w:rPr>
        <w:t>£1.2m for Economy Business Rates programme’s such as Economic Legal Advice, Business Angels, Journey to net zero and Bee net zero.</w:t>
      </w:r>
    </w:p>
    <w:p w14:paraId="0A7BA8C3" w14:textId="603F8368" w:rsidR="00D15D90" w:rsidRPr="00D7593B" w:rsidRDefault="00D15D90" w:rsidP="00D15D90">
      <w:pPr>
        <w:pStyle w:val="ListParagraph"/>
        <w:numPr>
          <w:ilvl w:val="0"/>
          <w:numId w:val="69"/>
        </w:numPr>
        <w:spacing w:after="0" w:line="360" w:lineRule="auto"/>
        <w:rPr>
          <w:rFonts w:ascii="Arial" w:hAnsi="Arial" w:cs="Arial"/>
          <w:snapToGrid w:val="0"/>
          <w:sz w:val="24"/>
          <w:szCs w:val="24"/>
        </w:rPr>
      </w:pPr>
      <w:r w:rsidRPr="00D7593B">
        <w:rPr>
          <w:rFonts w:ascii="Arial" w:hAnsi="Arial" w:cs="Arial"/>
          <w:snapToGrid w:val="0"/>
          <w:sz w:val="24"/>
          <w:szCs w:val="24"/>
        </w:rPr>
        <w:t>Other expenditure total</w:t>
      </w:r>
      <w:r w:rsidR="00CD0137">
        <w:rPr>
          <w:rFonts w:ascii="Arial" w:hAnsi="Arial" w:cs="Arial"/>
          <w:snapToGrid w:val="0"/>
          <w:sz w:val="24"/>
          <w:szCs w:val="24"/>
        </w:rPr>
        <w:t>l</w:t>
      </w:r>
      <w:r w:rsidRPr="00D7593B">
        <w:rPr>
          <w:rFonts w:ascii="Arial" w:hAnsi="Arial" w:cs="Arial"/>
          <w:snapToGrid w:val="0"/>
          <w:sz w:val="24"/>
          <w:szCs w:val="24"/>
        </w:rPr>
        <w:t xml:space="preserve">ing £1.0m against government grants confirmed during the financial year: </w:t>
      </w:r>
    </w:p>
    <w:p w14:paraId="4505F13E" w14:textId="77777777" w:rsidR="00D15D90" w:rsidRPr="00D7593B" w:rsidRDefault="00D15D90" w:rsidP="00D15D90">
      <w:pPr>
        <w:pStyle w:val="ListParagraph"/>
        <w:numPr>
          <w:ilvl w:val="0"/>
          <w:numId w:val="84"/>
        </w:numPr>
        <w:spacing w:after="0" w:line="360" w:lineRule="auto"/>
        <w:ind w:left="709"/>
        <w:rPr>
          <w:rFonts w:ascii="Arial" w:hAnsi="Arial" w:cs="Arial"/>
          <w:snapToGrid w:val="0"/>
          <w:sz w:val="24"/>
          <w:szCs w:val="24"/>
        </w:rPr>
      </w:pPr>
      <w:r w:rsidRPr="00D7593B">
        <w:rPr>
          <w:rFonts w:ascii="Arial" w:hAnsi="Arial" w:cs="Arial"/>
          <w:snapToGrid w:val="0"/>
          <w:sz w:val="24"/>
          <w:szCs w:val="24"/>
        </w:rPr>
        <w:t>Local Enterprise Partnership core funding of of £0.250m from Department for Housing, Levelling Up and Communities (DHLUC);</w:t>
      </w:r>
    </w:p>
    <w:p w14:paraId="1004BE67" w14:textId="77777777" w:rsidR="00D15D90" w:rsidRPr="00D7593B" w:rsidRDefault="00D15D90" w:rsidP="00D15D90">
      <w:pPr>
        <w:pStyle w:val="ListParagraph"/>
        <w:numPr>
          <w:ilvl w:val="0"/>
          <w:numId w:val="84"/>
        </w:numPr>
        <w:spacing w:after="0" w:line="360" w:lineRule="auto"/>
        <w:ind w:left="709"/>
        <w:rPr>
          <w:rFonts w:ascii="Arial" w:hAnsi="Arial" w:cs="Arial"/>
          <w:snapToGrid w:val="0"/>
          <w:sz w:val="24"/>
          <w:szCs w:val="24"/>
        </w:rPr>
      </w:pPr>
      <w:r w:rsidRPr="00D7593B">
        <w:rPr>
          <w:rFonts w:ascii="Arial" w:hAnsi="Arial" w:cs="Arial"/>
          <w:snapToGrid w:val="0"/>
          <w:sz w:val="24"/>
          <w:szCs w:val="24"/>
        </w:rPr>
        <w:t>Innovation Accelerator seed corn funding of £0.4m from Department for Science, Innovation and Technology (DSIT) to support research in key growth opportunities identified in the GM Local Industrial Strategy;</w:t>
      </w:r>
    </w:p>
    <w:p w14:paraId="210937F5" w14:textId="77777777" w:rsidR="00D15D90" w:rsidRPr="00D7593B" w:rsidRDefault="00D15D90" w:rsidP="00D15D90">
      <w:pPr>
        <w:pStyle w:val="ListParagraph"/>
        <w:numPr>
          <w:ilvl w:val="0"/>
          <w:numId w:val="84"/>
        </w:numPr>
        <w:spacing w:after="0" w:line="360" w:lineRule="auto"/>
        <w:ind w:left="709"/>
        <w:rPr>
          <w:rFonts w:ascii="Arial" w:hAnsi="Arial" w:cs="Arial"/>
          <w:snapToGrid w:val="0"/>
          <w:sz w:val="24"/>
          <w:szCs w:val="24"/>
        </w:rPr>
      </w:pPr>
      <w:r w:rsidRPr="00D7593B">
        <w:rPr>
          <w:rFonts w:ascii="Arial" w:hAnsi="Arial" w:cs="Arial"/>
          <w:snapToGrid w:val="0"/>
          <w:sz w:val="24"/>
          <w:szCs w:val="24"/>
        </w:rPr>
        <w:t>Department for Business, Energy, and Industrial Strategy (BEIS) funding for National Cluster Co-ordination undertaken by the Business Growth Hub of £0.4m;</w:t>
      </w:r>
    </w:p>
    <w:p w14:paraId="79B470DE" w14:textId="77777777" w:rsidR="00D15D90" w:rsidRPr="00D7593B" w:rsidRDefault="00D15D90" w:rsidP="00D15D90">
      <w:pPr>
        <w:pStyle w:val="ListParagraph"/>
        <w:numPr>
          <w:ilvl w:val="0"/>
          <w:numId w:val="84"/>
        </w:numPr>
        <w:spacing w:after="0" w:line="360" w:lineRule="auto"/>
        <w:ind w:left="709"/>
        <w:rPr>
          <w:rFonts w:ascii="Arial" w:hAnsi="Arial" w:cs="Arial"/>
          <w:snapToGrid w:val="0"/>
          <w:sz w:val="24"/>
          <w:szCs w:val="24"/>
        </w:rPr>
      </w:pPr>
      <w:r w:rsidRPr="00D7593B">
        <w:rPr>
          <w:rFonts w:ascii="Arial" w:hAnsi="Arial" w:cs="Arial"/>
          <w:snapToGrid w:val="0"/>
          <w:sz w:val="24"/>
          <w:szCs w:val="24"/>
        </w:rPr>
        <w:t>£0.3m from Data Accelerator funded from Department for Housing, Levelling Up and Communities (DHLUC).</w:t>
      </w:r>
    </w:p>
    <w:p w14:paraId="1A5ADDB3" w14:textId="77777777" w:rsidR="00D15D90" w:rsidRPr="00B15622" w:rsidRDefault="00D15D90" w:rsidP="00D15D90">
      <w:pPr>
        <w:spacing w:line="360" w:lineRule="auto"/>
        <w:rPr>
          <w:rFonts w:ascii="Arial" w:hAnsi="Arial" w:cs="Arial"/>
          <w:snapToGrid w:val="0"/>
          <w:highlight w:val="yellow"/>
          <w:u w:val="single"/>
        </w:rPr>
      </w:pPr>
    </w:p>
    <w:p w14:paraId="2AF7E8FB" w14:textId="77777777" w:rsidR="00D15D90" w:rsidRPr="00D7593B" w:rsidRDefault="00D15D90" w:rsidP="00D15D90">
      <w:pPr>
        <w:spacing w:line="360" w:lineRule="auto"/>
        <w:rPr>
          <w:rFonts w:ascii="Arial" w:hAnsi="Arial" w:cs="Arial"/>
          <w:snapToGrid w:val="0"/>
          <w:u w:val="single"/>
        </w:rPr>
      </w:pPr>
      <w:r w:rsidRPr="00D7593B">
        <w:rPr>
          <w:rFonts w:ascii="Arial" w:hAnsi="Arial" w:cs="Arial"/>
          <w:snapToGrid w:val="0"/>
          <w:u w:val="single"/>
        </w:rPr>
        <w:t>Environment</w:t>
      </w:r>
    </w:p>
    <w:p w14:paraId="03B1AD91" w14:textId="77777777" w:rsidR="00D15D90" w:rsidRPr="00B15622" w:rsidRDefault="00D15D90" w:rsidP="00D15D90">
      <w:pPr>
        <w:spacing w:line="360" w:lineRule="auto"/>
        <w:rPr>
          <w:rFonts w:ascii="Arial" w:hAnsi="Arial" w:cs="Arial"/>
          <w:snapToGrid w:val="0"/>
          <w:highlight w:val="yellow"/>
          <w:u w:val="single"/>
        </w:rPr>
      </w:pPr>
    </w:p>
    <w:p w14:paraId="525C58FC" w14:textId="77777777" w:rsidR="00D15D90" w:rsidRPr="009756AD" w:rsidRDefault="00D15D90" w:rsidP="00D15D90">
      <w:pPr>
        <w:spacing w:line="360" w:lineRule="auto"/>
        <w:rPr>
          <w:rFonts w:ascii="Arial" w:hAnsi="Arial" w:cs="Arial"/>
          <w:color w:val="000000" w:themeColor="text1"/>
        </w:rPr>
      </w:pPr>
      <w:r w:rsidRPr="009756AD">
        <w:rPr>
          <w:rFonts w:ascii="Arial" w:hAnsi="Arial" w:cs="Arial"/>
        </w:rPr>
        <w:t xml:space="preserve">Environment is the lead for the implementation of the GM Five Year Environment Plan and delivering housing and public retrofit programmes as part of green economic </w:t>
      </w:r>
      <w:r w:rsidRPr="009756AD">
        <w:rPr>
          <w:rFonts w:ascii="Arial" w:hAnsi="Arial" w:cs="Arial"/>
        </w:rPr>
        <w:lastRenderedPageBreak/>
        <w:t xml:space="preserve">recovery and progressing the environment plan </w:t>
      </w:r>
      <w:r w:rsidRPr="009756AD">
        <w:rPr>
          <w:rFonts w:ascii="Arial" w:hAnsi="Arial" w:cs="Arial"/>
          <w:color w:val="000000" w:themeColor="text1"/>
        </w:rPr>
        <w:t xml:space="preserve">to continue to reduce carbon emissions and create an improved, more resilient natural environment for socially distanced recreation. </w:t>
      </w:r>
    </w:p>
    <w:p w14:paraId="3BCE9610" w14:textId="77777777" w:rsidR="00D15D90" w:rsidRPr="00B151F3" w:rsidRDefault="00D15D90" w:rsidP="00D15D90">
      <w:pPr>
        <w:spacing w:line="360" w:lineRule="auto"/>
        <w:ind w:left="720" w:hanging="720"/>
        <w:rPr>
          <w:rFonts w:ascii="Arial" w:hAnsi="Arial" w:cs="Arial"/>
          <w:snapToGrid w:val="0"/>
        </w:rPr>
      </w:pPr>
    </w:p>
    <w:p w14:paraId="7F5FA778" w14:textId="77777777" w:rsidR="00D15D90" w:rsidRPr="00B151F3" w:rsidRDefault="00D15D90" w:rsidP="00D15D90">
      <w:pPr>
        <w:spacing w:line="360" w:lineRule="auto"/>
        <w:rPr>
          <w:rFonts w:ascii="Arial" w:hAnsi="Arial" w:cs="Arial"/>
          <w:snapToGrid w:val="0"/>
        </w:rPr>
      </w:pPr>
      <w:r w:rsidRPr="00B151F3">
        <w:rPr>
          <w:rFonts w:ascii="Arial" w:hAnsi="Arial" w:cs="Arial"/>
          <w:snapToGrid w:val="0"/>
        </w:rPr>
        <w:t xml:space="preserve">The 2023/24 original approved budget for Environment was £1.5m with actual expenditure for 2023/24 being £8.6m. The increase relates to new investment from retained business rates growth agreed in July 2023 and Mayoral reserve funding for ‘Greener’ schemes totalling £4.2m and an additional £3m external funding to support decarbonisation and other environment related programmes. </w:t>
      </w:r>
    </w:p>
    <w:p w14:paraId="13A8A7A0" w14:textId="77777777" w:rsidR="00D15D90" w:rsidRPr="00B151F3" w:rsidRDefault="00D15D90" w:rsidP="00D15D90">
      <w:pPr>
        <w:spacing w:line="360" w:lineRule="auto"/>
        <w:rPr>
          <w:rFonts w:ascii="Arial" w:hAnsi="Arial" w:cs="Arial"/>
          <w:snapToGrid w:val="0"/>
        </w:rPr>
      </w:pPr>
    </w:p>
    <w:p w14:paraId="48335082" w14:textId="77777777" w:rsidR="00D15D90" w:rsidRPr="00B151F3" w:rsidRDefault="00D15D90" w:rsidP="00D15D90">
      <w:pPr>
        <w:spacing w:line="360" w:lineRule="auto"/>
        <w:rPr>
          <w:rFonts w:ascii="Arial" w:hAnsi="Arial" w:cs="Arial"/>
          <w:snapToGrid w:val="0"/>
        </w:rPr>
      </w:pPr>
      <w:r w:rsidRPr="00B151F3">
        <w:rPr>
          <w:rFonts w:ascii="Arial" w:hAnsi="Arial" w:cs="Arial"/>
          <w:snapToGrid w:val="0"/>
        </w:rPr>
        <w:t>Expenditure in 2023/24 relates to:</w:t>
      </w:r>
    </w:p>
    <w:p w14:paraId="73A46B95" w14:textId="77777777" w:rsidR="00D15D90" w:rsidRPr="00D7593B" w:rsidRDefault="00D15D90" w:rsidP="00D15D90">
      <w:pPr>
        <w:pStyle w:val="ListParagraph"/>
        <w:numPr>
          <w:ilvl w:val="0"/>
          <w:numId w:val="84"/>
        </w:numPr>
        <w:spacing w:after="0" w:line="360" w:lineRule="auto"/>
        <w:ind w:left="709"/>
        <w:rPr>
          <w:rFonts w:ascii="Arial" w:hAnsi="Arial" w:cs="Arial"/>
          <w:snapToGrid w:val="0"/>
          <w:sz w:val="24"/>
          <w:szCs w:val="24"/>
        </w:rPr>
      </w:pPr>
      <w:r w:rsidRPr="00D7593B">
        <w:rPr>
          <w:rFonts w:ascii="Arial" w:hAnsi="Arial" w:cs="Arial"/>
          <w:snapToGrid w:val="0"/>
          <w:sz w:val="24"/>
          <w:szCs w:val="24"/>
        </w:rPr>
        <w:t xml:space="preserve">Green Spaces Fund – expenditure of £2m to support projects that enhance local green spaces or create new ones where they are most needed. </w:t>
      </w:r>
    </w:p>
    <w:p w14:paraId="05C0239A" w14:textId="77777777" w:rsidR="00D15D90" w:rsidRPr="00D7593B" w:rsidRDefault="00D15D90" w:rsidP="00D15D90">
      <w:pPr>
        <w:pStyle w:val="ListParagraph"/>
        <w:numPr>
          <w:ilvl w:val="0"/>
          <w:numId w:val="84"/>
        </w:numPr>
        <w:spacing w:after="0" w:line="360" w:lineRule="auto"/>
        <w:ind w:left="709"/>
        <w:rPr>
          <w:rFonts w:ascii="Arial" w:hAnsi="Arial" w:cs="Arial"/>
          <w:snapToGrid w:val="0"/>
          <w:sz w:val="24"/>
          <w:szCs w:val="24"/>
        </w:rPr>
      </w:pPr>
      <w:r w:rsidRPr="00D7593B">
        <w:rPr>
          <w:rFonts w:ascii="Arial" w:hAnsi="Arial" w:cs="Arial"/>
          <w:snapToGrid w:val="0"/>
          <w:sz w:val="24"/>
          <w:szCs w:val="24"/>
        </w:rPr>
        <w:t>District Low Carbon programme (Renewables and Retrofit) – expenditure of £1.6m to support Districts to deliver their Climate Emergency Declarations through upscaling the delivery of conurbation wide carbon reduction programmes.</w:t>
      </w:r>
    </w:p>
    <w:p w14:paraId="372270C9" w14:textId="77777777" w:rsidR="00D15D90" w:rsidRPr="00D7593B" w:rsidRDefault="00D15D90" w:rsidP="00D15D90">
      <w:pPr>
        <w:pStyle w:val="ListParagraph"/>
        <w:numPr>
          <w:ilvl w:val="0"/>
          <w:numId w:val="84"/>
        </w:numPr>
        <w:spacing w:after="0" w:line="360" w:lineRule="auto"/>
        <w:ind w:left="709"/>
        <w:rPr>
          <w:rFonts w:ascii="Arial" w:hAnsi="Arial" w:cs="Arial"/>
          <w:snapToGrid w:val="0"/>
          <w:sz w:val="24"/>
          <w:szCs w:val="24"/>
        </w:rPr>
      </w:pPr>
      <w:r w:rsidRPr="00D7593B">
        <w:rPr>
          <w:rFonts w:ascii="Arial" w:hAnsi="Arial" w:cs="Arial"/>
          <w:snapToGrid w:val="0"/>
          <w:sz w:val="24"/>
          <w:szCs w:val="24"/>
        </w:rPr>
        <w:t xml:space="preserve">IGNITION project – grant funded expenditure of £1.2m to develop innovative financing solutions for investment in GM’s natural environment, to help increase the city regions resilience against the increasingly extreme impacts of climate change. </w:t>
      </w:r>
    </w:p>
    <w:p w14:paraId="3F4D9E72" w14:textId="77777777" w:rsidR="00D15D90" w:rsidRPr="00D7593B" w:rsidRDefault="00D15D90" w:rsidP="00D15D90">
      <w:pPr>
        <w:pStyle w:val="ListParagraph"/>
        <w:numPr>
          <w:ilvl w:val="0"/>
          <w:numId w:val="84"/>
        </w:numPr>
        <w:spacing w:after="0" w:line="360" w:lineRule="auto"/>
        <w:ind w:left="709"/>
        <w:rPr>
          <w:rFonts w:ascii="Arial" w:hAnsi="Arial" w:cs="Arial"/>
          <w:snapToGrid w:val="0"/>
          <w:sz w:val="24"/>
          <w:szCs w:val="24"/>
        </w:rPr>
      </w:pPr>
      <w:r w:rsidRPr="00D7593B">
        <w:rPr>
          <w:rFonts w:ascii="Arial" w:hAnsi="Arial" w:cs="Arial"/>
          <w:snapToGrid w:val="0"/>
          <w:sz w:val="24"/>
          <w:szCs w:val="24"/>
        </w:rPr>
        <w:t>Local Energy Advice Demonstrator (LEAD)– Grant funded expenditure of £1m to test new and innovative approaches to providing in-person energy efficiency and clean heating advice to Greater Manchester residents, targeting hard-to-reach consumers and hard-to-treat homes, predominantly in urban areas.</w:t>
      </w:r>
    </w:p>
    <w:p w14:paraId="1FC44393" w14:textId="77777777" w:rsidR="00D15D90" w:rsidRPr="00D7593B" w:rsidRDefault="00D15D90" w:rsidP="00D15D90">
      <w:pPr>
        <w:pStyle w:val="ListParagraph"/>
        <w:numPr>
          <w:ilvl w:val="0"/>
          <w:numId w:val="84"/>
        </w:numPr>
        <w:spacing w:after="0" w:line="360" w:lineRule="auto"/>
        <w:ind w:left="709"/>
        <w:rPr>
          <w:rFonts w:ascii="Arial" w:hAnsi="Arial" w:cs="Arial"/>
          <w:snapToGrid w:val="0"/>
          <w:sz w:val="24"/>
          <w:szCs w:val="24"/>
        </w:rPr>
      </w:pPr>
      <w:r w:rsidRPr="00D7593B">
        <w:rPr>
          <w:rFonts w:ascii="Arial" w:hAnsi="Arial" w:cs="Arial"/>
          <w:snapToGrid w:val="0"/>
          <w:sz w:val="24"/>
          <w:szCs w:val="24"/>
        </w:rPr>
        <w:t>Five Year Environment Plan - expenditure of £0.6m to provide capacity to bid for capital and revenue funds, undertake research, communication, training, convene and co-ordinate delivery of the 5YEP utilizing GM’s unique Mission Based Approach</w:t>
      </w:r>
    </w:p>
    <w:p w14:paraId="47610ECE" w14:textId="77777777" w:rsidR="00D15D90" w:rsidRPr="00D7593B" w:rsidRDefault="00D15D90" w:rsidP="00D15D90">
      <w:pPr>
        <w:pStyle w:val="ListParagraph"/>
        <w:numPr>
          <w:ilvl w:val="0"/>
          <w:numId w:val="84"/>
        </w:numPr>
        <w:spacing w:after="0" w:line="360" w:lineRule="auto"/>
        <w:ind w:left="709"/>
        <w:rPr>
          <w:rFonts w:ascii="Arial" w:hAnsi="Arial" w:cs="Arial"/>
          <w:snapToGrid w:val="0"/>
          <w:sz w:val="24"/>
          <w:szCs w:val="24"/>
        </w:rPr>
      </w:pPr>
      <w:r w:rsidRPr="00D7593B">
        <w:rPr>
          <w:rFonts w:ascii="Arial" w:hAnsi="Arial" w:cs="Arial"/>
          <w:snapToGrid w:val="0"/>
          <w:sz w:val="24"/>
          <w:szCs w:val="24"/>
        </w:rPr>
        <w:t xml:space="preserve">Natural Course – expenditure of £0.4m relating to an EU-funded LIFE Integrated Project to improve and protect the water quality of the North West over a ten year period.  </w:t>
      </w:r>
    </w:p>
    <w:p w14:paraId="7181DBB6" w14:textId="77777777" w:rsidR="00D15D90" w:rsidRPr="00D7593B" w:rsidRDefault="00D15D90" w:rsidP="00D15D90">
      <w:pPr>
        <w:pStyle w:val="ListParagraph"/>
        <w:numPr>
          <w:ilvl w:val="0"/>
          <w:numId w:val="84"/>
        </w:numPr>
        <w:spacing w:after="0" w:line="360" w:lineRule="auto"/>
        <w:ind w:left="709"/>
        <w:rPr>
          <w:rFonts w:ascii="Arial" w:hAnsi="Arial" w:cs="Arial"/>
          <w:snapToGrid w:val="0"/>
          <w:sz w:val="24"/>
          <w:szCs w:val="24"/>
        </w:rPr>
      </w:pPr>
      <w:r w:rsidRPr="00D7593B">
        <w:rPr>
          <w:rFonts w:ascii="Arial" w:hAnsi="Arial" w:cs="Arial"/>
          <w:snapToGrid w:val="0"/>
          <w:sz w:val="24"/>
          <w:szCs w:val="24"/>
        </w:rPr>
        <w:t>Other Environment projects with expenditure of £0.9m such as Local Nature Recovery Strategies, Sustainable Consumption and Production and Energy Innovation Agency.</w:t>
      </w:r>
    </w:p>
    <w:p w14:paraId="1DD6BE05" w14:textId="77777777" w:rsidR="00D15D90" w:rsidRPr="00B15622" w:rsidRDefault="00D15D90" w:rsidP="00D15D90">
      <w:pPr>
        <w:spacing w:line="360" w:lineRule="auto"/>
        <w:rPr>
          <w:rFonts w:ascii="Arial" w:hAnsi="Arial" w:cs="Arial"/>
          <w:color w:val="000000" w:themeColor="text1"/>
          <w:highlight w:val="yellow"/>
        </w:rPr>
      </w:pPr>
    </w:p>
    <w:p w14:paraId="524484AE" w14:textId="77777777" w:rsidR="00D15D90" w:rsidRPr="002468A5" w:rsidRDefault="00D15D90" w:rsidP="00D15D90">
      <w:pPr>
        <w:spacing w:line="360" w:lineRule="auto"/>
        <w:jc w:val="both"/>
        <w:rPr>
          <w:rFonts w:ascii="Arial" w:hAnsi="Arial" w:cs="Arial"/>
          <w:snapToGrid w:val="0"/>
          <w:u w:val="single"/>
        </w:rPr>
      </w:pPr>
      <w:r w:rsidRPr="002468A5">
        <w:rPr>
          <w:rFonts w:ascii="Arial" w:hAnsi="Arial" w:cs="Arial"/>
          <w:snapToGrid w:val="0"/>
          <w:u w:val="single"/>
        </w:rPr>
        <w:t>Place</w:t>
      </w:r>
    </w:p>
    <w:p w14:paraId="29A2F043" w14:textId="77777777" w:rsidR="00D15D90" w:rsidRPr="00E70746" w:rsidRDefault="00D15D90" w:rsidP="00D15D90">
      <w:pPr>
        <w:spacing w:line="360" w:lineRule="auto"/>
        <w:rPr>
          <w:rFonts w:ascii="Arial" w:hAnsi="Arial" w:cs="Arial"/>
          <w:highlight w:val="cyan"/>
        </w:rPr>
      </w:pPr>
    </w:p>
    <w:p w14:paraId="6AE80724" w14:textId="77777777" w:rsidR="00D15D90" w:rsidRPr="0018760B" w:rsidRDefault="00D15D90" w:rsidP="00D15D90">
      <w:pPr>
        <w:spacing w:line="360" w:lineRule="auto"/>
        <w:rPr>
          <w:rFonts w:ascii="Arial" w:hAnsi="Arial" w:cs="Arial"/>
        </w:rPr>
      </w:pPr>
      <w:r w:rsidRPr="0018760B">
        <w:rPr>
          <w:rFonts w:ascii="Arial" w:hAnsi="Arial" w:cs="Arial"/>
        </w:rPr>
        <w:t xml:space="preserve">Place Directorate focuses on the development of individual places and all the elements that support prosperous and vibrant places in which GM residents can grow up, live and grow old. This has brought together Housing and Planning, Land and Property, Culture, Delivery and Infrastructure teams, each of which has a vital role to play in place development. </w:t>
      </w:r>
    </w:p>
    <w:p w14:paraId="6266D0E2" w14:textId="77777777" w:rsidR="00D15D90" w:rsidRPr="00E70746" w:rsidRDefault="00D15D90" w:rsidP="00D15D90">
      <w:pPr>
        <w:spacing w:line="360" w:lineRule="auto"/>
        <w:rPr>
          <w:rFonts w:ascii="Arial" w:hAnsi="Arial" w:cs="Arial"/>
          <w:highlight w:val="cyan"/>
        </w:rPr>
      </w:pPr>
    </w:p>
    <w:p w14:paraId="1D686205" w14:textId="77777777" w:rsidR="00D15D90" w:rsidRPr="009756AD" w:rsidRDefault="00D15D90" w:rsidP="00D15D90">
      <w:pPr>
        <w:spacing w:line="360" w:lineRule="auto"/>
        <w:rPr>
          <w:rFonts w:ascii="Arial" w:hAnsi="Arial" w:cs="Arial"/>
        </w:rPr>
      </w:pPr>
      <w:r w:rsidRPr="002468A5">
        <w:rPr>
          <w:rFonts w:ascii="Arial" w:hAnsi="Arial" w:cs="Arial"/>
        </w:rPr>
        <w:t xml:space="preserve">In 2022/23 the government announced local allocations for the UK Shared Prosperity Fund (UKSPF) as part of delivering the mission to ‘Level Up’ the UK by 2030. </w:t>
      </w:r>
      <w:r w:rsidRPr="002468A5">
        <w:rPr>
          <w:rFonts w:ascii="Arial" w:eastAsiaTheme="minorEastAsia" w:hAnsi="Arial" w:cs="Arial"/>
          <w:color w:val="000000"/>
          <w:kern w:val="24"/>
          <w:lang w:eastAsia="en-GB"/>
        </w:rPr>
        <w:t xml:space="preserve">GMCA has been assigned by government as lead authority for the fund in Greater Manchester and is receiving the area’s allocation to manage. GMCA has overall accountability for the funding and how it operates, working closely with local authorities and key stakeholders in this role. </w:t>
      </w:r>
      <w:r w:rsidRPr="002468A5">
        <w:rPr>
          <w:rFonts w:ascii="Arial" w:hAnsi="Arial" w:cs="Arial"/>
        </w:rPr>
        <w:t xml:space="preserve">The Greater Manchester allocation for the three-year period 2022/23 – 2024/25 is £98m which will support the delivery of UKSPF priorities which align with priorities in the GMS. At 31 March 2024 over 90% of the allocation was spent, with the programme scheduled to conclude in March 2025. </w:t>
      </w:r>
    </w:p>
    <w:p w14:paraId="48850D38" w14:textId="77777777" w:rsidR="00D15D90" w:rsidRPr="00B15622" w:rsidRDefault="00D15D90" w:rsidP="00D15D90">
      <w:pPr>
        <w:spacing w:line="360" w:lineRule="auto"/>
        <w:ind w:left="720" w:hanging="720"/>
        <w:rPr>
          <w:rFonts w:ascii="Arial" w:hAnsi="Arial" w:cs="Arial"/>
          <w:highlight w:val="yellow"/>
        </w:rPr>
      </w:pPr>
    </w:p>
    <w:p w14:paraId="3358E80C" w14:textId="77777777" w:rsidR="00D15D90" w:rsidRPr="00B15622" w:rsidRDefault="00D15D90" w:rsidP="00D15D90">
      <w:pPr>
        <w:spacing w:line="360" w:lineRule="auto"/>
        <w:rPr>
          <w:rFonts w:ascii="Arial" w:hAnsi="Arial" w:cs="Arial"/>
          <w:highlight w:val="yellow"/>
        </w:rPr>
      </w:pPr>
      <w:r w:rsidRPr="005D7C84">
        <w:rPr>
          <w:rFonts w:ascii="Arial" w:hAnsi="Arial" w:cs="Arial"/>
          <w:snapToGrid w:val="0"/>
        </w:rPr>
        <w:t xml:space="preserve">The 2023/24 </w:t>
      </w:r>
      <w:r w:rsidRPr="00673F14">
        <w:rPr>
          <w:rFonts w:ascii="Arial" w:hAnsi="Arial" w:cs="Arial"/>
          <w:snapToGrid w:val="0"/>
        </w:rPr>
        <w:t>original approved budget for Place was £23.4m with actual expenditure for 2023/24 being £29m. The increase relates to expenditure on activity identified within 23/24 that has been funded by additional grant income and investment from retained business rates. Expenditure in 2023/24 relates to:</w:t>
      </w:r>
    </w:p>
    <w:p w14:paraId="74CAF1DE" w14:textId="77777777" w:rsidR="00D15D90" w:rsidRPr="00673F14" w:rsidRDefault="00D15D90" w:rsidP="00D15D90">
      <w:pPr>
        <w:pStyle w:val="ListParagraph"/>
        <w:numPr>
          <w:ilvl w:val="0"/>
          <w:numId w:val="68"/>
        </w:numPr>
        <w:spacing w:after="0" w:line="360" w:lineRule="auto"/>
        <w:ind w:left="709"/>
        <w:rPr>
          <w:rFonts w:ascii="Arial" w:hAnsi="Arial" w:cs="Arial"/>
          <w:sz w:val="24"/>
          <w:szCs w:val="24"/>
        </w:rPr>
      </w:pPr>
      <w:r w:rsidRPr="00673F14">
        <w:rPr>
          <w:rFonts w:ascii="Arial" w:hAnsi="Arial" w:cs="Arial"/>
          <w:snapToGrid w:val="0"/>
          <w:sz w:val="24"/>
          <w:szCs w:val="24"/>
        </w:rPr>
        <w:t xml:space="preserve">UK Shared Prosperity programme - expenditure of £17.0m for the second year of the core programme focusing on investment in ‘Communities and Place’ and ‘Local Business’ interventions to boost pride in place. </w:t>
      </w:r>
    </w:p>
    <w:p w14:paraId="28ADC5DD" w14:textId="77777777" w:rsidR="00D15D90" w:rsidRPr="00673F14" w:rsidRDefault="00D15D90" w:rsidP="00D15D90">
      <w:pPr>
        <w:pStyle w:val="ListParagraph"/>
        <w:numPr>
          <w:ilvl w:val="0"/>
          <w:numId w:val="68"/>
        </w:numPr>
        <w:spacing w:after="0" w:line="360" w:lineRule="auto"/>
        <w:ind w:left="709"/>
        <w:rPr>
          <w:rFonts w:ascii="Arial" w:hAnsi="Arial" w:cs="Arial"/>
          <w:snapToGrid w:val="0"/>
          <w:sz w:val="24"/>
          <w:szCs w:val="24"/>
        </w:rPr>
      </w:pPr>
      <w:r w:rsidRPr="00673F14">
        <w:rPr>
          <w:rFonts w:ascii="Arial" w:hAnsi="Arial" w:cs="Arial"/>
          <w:snapToGrid w:val="0"/>
          <w:sz w:val="24"/>
          <w:szCs w:val="24"/>
        </w:rPr>
        <w:t xml:space="preserve">Cultural and Social Impact Fund of £4.3m the majority of which was funded from a GM local authorities’ contribution and supported by retained business rates growth.  </w:t>
      </w:r>
    </w:p>
    <w:p w14:paraId="2D8C7EA3" w14:textId="77777777" w:rsidR="00D15D90" w:rsidRPr="00673F14" w:rsidRDefault="00D15D90" w:rsidP="00D15D90">
      <w:pPr>
        <w:pStyle w:val="ListParagraph"/>
        <w:numPr>
          <w:ilvl w:val="0"/>
          <w:numId w:val="68"/>
        </w:numPr>
        <w:spacing w:after="0" w:line="360" w:lineRule="auto"/>
        <w:ind w:left="709"/>
        <w:rPr>
          <w:rFonts w:ascii="Arial" w:hAnsi="Arial" w:cs="Arial"/>
          <w:snapToGrid w:val="0"/>
          <w:sz w:val="24"/>
          <w:szCs w:val="24"/>
        </w:rPr>
      </w:pPr>
      <w:r w:rsidRPr="00673F14">
        <w:rPr>
          <w:rFonts w:ascii="Arial" w:hAnsi="Arial" w:cs="Arial"/>
          <w:snapToGrid w:val="0"/>
          <w:sz w:val="24"/>
          <w:szCs w:val="24"/>
        </w:rPr>
        <w:t>Local Enforcement Pathfinder, expenditure of £1.1m, this is a new programme to improve enforcement in the private rented sector across Greater Manchester.</w:t>
      </w:r>
    </w:p>
    <w:p w14:paraId="01E2F468" w14:textId="77777777" w:rsidR="00D15D90" w:rsidRPr="00673F14" w:rsidRDefault="00D15D90" w:rsidP="00D15D90">
      <w:pPr>
        <w:pStyle w:val="ListParagraph"/>
        <w:numPr>
          <w:ilvl w:val="0"/>
          <w:numId w:val="68"/>
        </w:numPr>
        <w:spacing w:after="0" w:line="360" w:lineRule="auto"/>
        <w:ind w:left="709"/>
        <w:rPr>
          <w:rFonts w:ascii="Arial" w:hAnsi="Arial" w:cs="Arial"/>
          <w:snapToGrid w:val="0"/>
          <w:sz w:val="24"/>
          <w:szCs w:val="24"/>
        </w:rPr>
      </w:pPr>
      <w:r w:rsidRPr="00673F14">
        <w:rPr>
          <w:rFonts w:ascii="Arial" w:hAnsi="Arial" w:cs="Arial"/>
          <w:snapToGrid w:val="0"/>
          <w:sz w:val="24"/>
          <w:szCs w:val="24"/>
        </w:rPr>
        <w:t>The GM Delivery Team supports the delivery of GM’s housing delivery objectives and priorities, this was a cost of £0.6m funded from earmarked reserves.</w:t>
      </w:r>
    </w:p>
    <w:p w14:paraId="7AC6EE4D" w14:textId="77777777" w:rsidR="00D15D90" w:rsidRPr="00673F14" w:rsidRDefault="00D15D90" w:rsidP="00D15D90">
      <w:pPr>
        <w:pStyle w:val="ListParagraph"/>
        <w:numPr>
          <w:ilvl w:val="0"/>
          <w:numId w:val="68"/>
        </w:numPr>
        <w:spacing w:after="0" w:line="360" w:lineRule="auto"/>
        <w:ind w:left="709"/>
        <w:rPr>
          <w:rFonts w:ascii="Arial" w:hAnsi="Arial" w:cs="Arial"/>
          <w:snapToGrid w:val="0"/>
          <w:sz w:val="24"/>
          <w:szCs w:val="24"/>
        </w:rPr>
      </w:pPr>
      <w:r w:rsidRPr="00673F14">
        <w:rPr>
          <w:rFonts w:ascii="Arial" w:hAnsi="Arial" w:cs="Arial"/>
          <w:snapToGrid w:val="0"/>
          <w:sz w:val="24"/>
          <w:szCs w:val="24"/>
        </w:rPr>
        <w:lastRenderedPageBreak/>
        <w:t xml:space="preserve">Create Growth programme funded by Department of Culture, Media and Sport (DCMS) of £0.4m to support creative organisations in the region with a bespoke business support programme to attract investment to grow their business sustainably. </w:t>
      </w:r>
    </w:p>
    <w:p w14:paraId="3CB10CD7" w14:textId="7FA10B1D" w:rsidR="00D15D90" w:rsidRPr="00673F14" w:rsidRDefault="00D15D90" w:rsidP="00D15D90">
      <w:pPr>
        <w:pStyle w:val="ListParagraph"/>
        <w:numPr>
          <w:ilvl w:val="0"/>
          <w:numId w:val="68"/>
        </w:numPr>
        <w:spacing w:after="0" w:line="360" w:lineRule="auto"/>
        <w:ind w:left="709"/>
        <w:rPr>
          <w:rFonts w:ascii="Arial" w:hAnsi="Arial" w:cs="Arial"/>
          <w:snapToGrid w:val="0"/>
          <w:sz w:val="24"/>
          <w:szCs w:val="24"/>
        </w:rPr>
      </w:pPr>
      <w:r w:rsidRPr="00673F14">
        <w:rPr>
          <w:rFonts w:ascii="Arial" w:hAnsi="Arial" w:cs="Arial"/>
          <w:snapToGrid w:val="0"/>
          <w:sz w:val="24"/>
          <w:szCs w:val="24"/>
        </w:rPr>
        <w:t>Other Place Directorate expenditure tota</w:t>
      </w:r>
      <w:r w:rsidR="00CD0137">
        <w:rPr>
          <w:rFonts w:ascii="Arial" w:hAnsi="Arial" w:cs="Arial"/>
          <w:snapToGrid w:val="0"/>
          <w:sz w:val="24"/>
          <w:szCs w:val="24"/>
        </w:rPr>
        <w:t>l</w:t>
      </w:r>
      <w:r w:rsidRPr="00673F14">
        <w:rPr>
          <w:rFonts w:ascii="Arial" w:hAnsi="Arial" w:cs="Arial"/>
          <w:snapToGrid w:val="0"/>
          <w:sz w:val="24"/>
          <w:szCs w:val="24"/>
        </w:rPr>
        <w:t xml:space="preserve">ling £5.6m in relation to the Planning and Housing team and Business, Innovation and Enterprise policy funded from a combination of local authority contributions, grant funding and internal recharges, this included activity in areas such as Good Landlord Scheme, Growth Locations and Flood Risk Management.  </w:t>
      </w:r>
    </w:p>
    <w:p w14:paraId="6F46713D" w14:textId="77777777" w:rsidR="00D15D90" w:rsidRPr="00B15622" w:rsidRDefault="00D15D90" w:rsidP="00D15D90">
      <w:pPr>
        <w:spacing w:line="360" w:lineRule="auto"/>
        <w:jc w:val="both"/>
        <w:rPr>
          <w:rFonts w:ascii="Arial" w:hAnsi="Arial" w:cs="Arial"/>
          <w:snapToGrid w:val="0"/>
          <w:highlight w:val="yellow"/>
          <w:u w:val="single"/>
        </w:rPr>
      </w:pPr>
    </w:p>
    <w:p w14:paraId="7C7328E4" w14:textId="77777777" w:rsidR="00D15D90" w:rsidRPr="00673F14" w:rsidRDefault="00D15D90" w:rsidP="00D15D90">
      <w:pPr>
        <w:spacing w:line="360" w:lineRule="auto"/>
        <w:jc w:val="both"/>
        <w:rPr>
          <w:rFonts w:ascii="Arial" w:hAnsi="Arial" w:cs="Arial"/>
          <w:snapToGrid w:val="0"/>
          <w:u w:val="single"/>
        </w:rPr>
      </w:pPr>
      <w:r w:rsidRPr="00673F14">
        <w:rPr>
          <w:rFonts w:ascii="Arial" w:hAnsi="Arial" w:cs="Arial"/>
          <w:snapToGrid w:val="0"/>
          <w:u w:val="single"/>
        </w:rPr>
        <w:t>Public Service Reform</w:t>
      </w:r>
    </w:p>
    <w:p w14:paraId="68F4BD38" w14:textId="77777777" w:rsidR="00D15D90" w:rsidRPr="00B15622" w:rsidRDefault="00D15D90" w:rsidP="00D15D90">
      <w:pPr>
        <w:spacing w:line="360" w:lineRule="auto"/>
        <w:rPr>
          <w:rFonts w:ascii="Arial" w:hAnsi="Arial" w:cs="Arial"/>
          <w:snapToGrid w:val="0"/>
          <w:highlight w:val="yellow"/>
          <w:u w:val="single"/>
        </w:rPr>
      </w:pPr>
    </w:p>
    <w:p w14:paraId="100BFA11" w14:textId="77777777" w:rsidR="00D15D90" w:rsidRPr="009756AD" w:rsidRDefault="00D15D90" w:rsidP="00D15D90">
      <w:pPr>
        <w:spacing w:line="360" w:lineRule="auto"/>
        <w:rPr>
          <w:rFonts w:ascii="Arial" w:hAnsi="Arial" w:cs="Arial"/>
          <w:snapToGrid w:val="0"/>
          <w:u w:val="single"/>
        </w:rPr>
      </w:pPr>
      <w:r w:rsidRPr="009756AD">
        <w:rPr>
          <w:rFonts w:ascii="Arial" w:hAnsi="Arial" w:cs="Arial"/>
        </w:rPr>
        <w:t>Public Service Reform (PSR) supports reform, innovation and social policy development across Greater Manchester with the overarching objective of addressing inequality and improving outcomes for all residents across the city region</w:t>
      </w:r>
      <w:r w:rsidRPr="009756AD">
        <w:rPr>
          <w:rFonts w:ascii="Arial" w:hAnsi="Arial" w:cs="Arial"/>
          <w:i/>
          <w:iCs/>
        </w:rPr>
        <w:t>.</w:t>
      </w:r>
      <w:r w:rsidRPr="009756AD">
        <w:rPr>
          <w:rFonts w:ascii="Arial" w:hAnsi="Arial" w:cs="Arial"/>
        </w:rPr>
        <w:t xml:space="preserve"> It is made up of a number of thematic strands with lead responsibilities that include Early Years, Children and Young People, Troubled Families, Homelessness and Rough Sleeping, Asylum and Refugees, Armed Forces and Veterans, Gambling Harm Reduction and the GM Ageing Hub. The service performs a cross-cutting role across GM in collaboration with localities, other public service organisations and the VCSE sector to drive the implementation of unified public services for the people of Greater Manchester.  </w:t>
      </w:r>
    </w:p>
    <w:p w14:paraId="36852728" w14:textId="77777777" w:rsidR="00D15D90" w:rsidRPr="00B15622" w:rsidRDefault="00D15D90" w:rsidP="00D15D90">
      <w:pPr>
        <w:spacing w:line="360" w:lineRule="auto"/>
        <w:rPr>
          <w:rFonts w:ascii="Arial" w:hAnsi="Arial" w:cs="Arial"/>
          <w:snapToGrid w:val="0"/>
          <w:highlight w:val="yellow"/>
        </w:rPr>
      </w:pPr>
    </w:p>
    <w:p w14:paraId="2D3C003A" w14:textId="77777777" w:rsidR="00D15D90" w:rsidRPr="00B15622" w:rsidRDefault="00D15D90" w:rsidP="00D15D90">
      <w:pPr>
        <w:spacing w:line="360" w:lineRule="auto"/>
        <w:rPr>
          <w:rFonts w:ascii="Arial" w:hAnsi="Arial" w:cs="Arial"/>
          <w:snapToGrid w:val="0"/>
          <w:highlight w:val="yellow"/>
        </w:rPr>
      </w:pPr>
      <w:r w:rsidRPr="005D7C84">
        <w:rPr>
          <w:rFonts w:ascii="Arial" w:hAnsi="Arial" w:cs="Arial"/>
          <w:snapToGrid w:val="0"/>
        </w:rPr>
        <w:t xml:space="preserve">The 2023/24 original approved </w:t>
      </w:r>
      <w:r w:rsidRPr="00673F14">
        <w:rPr>
          <w:rFonts w:ascii="Arial" w:hAnsi="Arial" w:cs="Arial"/>
          <w:snapToGrid w:val="0"/>
        </w:rPr>
        <w:t>budget for PSR was £41.9m with actual expenditure for 2023/24 being £44.2m. The majority of the increase relates to additional funding for the Supporting Families Programme and the Homelessness Prevention Strategy. Expenditure in 2023/24 relates to:</w:t>
      </w:r>
    </w:p>
    <w:p w14:paraId="71E16A9D" w14:textId="77777777" w:rsidR="00D15D90" w:rsidRPr="00B15622" w:rsidRDefault="00D15D90" w:rsidP="00D15D90">
      <w:pPr>
        <w:spacing w:line="360" w:lineRule="auto"/>
        <w:rPr>
          <w:rFonts w:ascii="Arial" w:hAnsi="Arial" w:cs="Arial"/>
          <w:snapToGrid w:val="0"/>
          <w:highlight w:val="yellow"/>
          <w:u w:val="single"/>
        </w:rPr>
      </w:pPr>
    </w:p>
    <w:p w14:paraId="6FC3F60E" w14:textId="77777777" w:rsidR="00D15D90" w:rsidRPr="00673F14" w:rsidRDefault="00D15D90" w:rsidP="00D15D90">
      <w:pPr>
        <w:pStyle w:val="ListParagraph"/>
        <w:numPr>
          <w:ilvl w:val="0"/>
          <w:numId w:val="67"/>
        </w:numPr>
        <w:spacing w:after="0" w:line="360" w:lineRule="auto"/>
        <w:ind w:left="709" w:hanging="426"/>
        <w:rPr>
          <w:rFonts w:ascii="Arial" w:hAnsi="Arial" w:cs="Arial"/>
          <w:b/>
          <w:snapToGrid w:val="0"/>
          <w:sz w:val="24"/>
          <w:szCs w:val="24"/>
        </w:rPr>
      </w:pPr>
      <w:r w:rsidRPr="00673F14">
        <w:rPr>
          <w:rFonts w:ascii="Arial" w:hAnsi="Arial" w:cs="Arial"/>
          <w:sz w:val="24"/>
          <w:szCs w:val="24"/>
        </w:rPr>
        <w:t>Supporting Families programme of £17.4m continuation of the programme funded from DLUHC grant.</w:t>
      </w:r>
    </w:p>
    <w:p w14:paraId="4BC35C04" w14:textId="77777777" w:rsidR="00D15D90" w:rsidRPr="00673F14" w:rsidRDefault="00D15D90" w:rsidP="00D15D90">
      <w:pPr>
        <w:pStyle w:val="ListParagraph"/>
        <w:numPr>
          <w:ilvl w:val="0"/>
          <w:numId w:val="67"/>
        </w:numPr>
        <w:spacing w:after="0" w:line="360" w:lineRule="auto"/>
        <w:ind w:left="709" w:hanging="426"/>
        <w:rPr>
          <w:rFonts w:ascii="Arial" w:hAnsi="Arial" w:cs="Arial"/>
          <w:b/>
          <w:snapToGrid w:val="0"/>
          <w:sz w:val="24"/>
          <w:szCs w:val="24"/>
        </w:rPr>
      </w:pPr>
      <w:r w:rsidRPr="00673F14">
        <w:rPr>
          <w:rFonts w:ascii="Arial" w:hAnsi="Arial" w:cs="Arial"/>
          <w:sz w:val="24"/>
          <w:szCs w:val="24"/>
        </w:rPr>
        <w:t>Homelessness and Rough Sleeping including:</w:t>
      </w:r>
    </w:p>
    <w:p w14:paraId="20ADD2B5" w14:textId="77777777" w:rsidR="00D15D90" w:rsidRPr="00673F14" w:rsidRDefault="00D15D90" w:rsidP="00D15D90">
      <w:pPr>
        <w:pStyle w:val="ListParagraph"/>
        <w:numPr>
          <w:ilvl w:val="2"/>
          <w:numId w:val="85"/>
        </w:numPr>
        <w:spacing w:after="0" w:line="360" w:lineRule="auto"/>
        <w:ind w:left="1134"/>
        <w:rPr>
          <w:rFonts w:ascii="Arial" w:hAnsi="Arial" w:cs="Arial"/>
          <w:b/>
          <w:snapToGrid w:val="0"/>
          <w:sz w:val="24"/>
          <w:szCs w:val="24"/>
        </w:rPr>
      </w:pPr>
      <w:r w:rsidRPr="00673F14">
        <w:rPr>
          <w:rFonts w:ascii="Arial" w:hAnsi="Arial" w:cs="Arial"/>
          <w:snapToGrid w:val="0"/>
          <w:sz w:val="24"/>
          <w:szCs w:val="24"/>
        </w:rPr>
        <w:t xml:space="preserve">A Bed Every Night </w:t>
      </w:r>
      <w:r w:rsidRPr="00673F14">
        <w:rPr>
          <w:rFonts w:ascii="Arial" w:hAnsi="Arial" w:cs="Arial"/>
          <w:sz w:val="24"/>
          <w:szCs w:val="24"/>
        </w:rPr>
        <w:t xml:space="preserve">(ABEN) </w:t>
      </w:r>
      <w:r w:rsidRPr="00673F14">
        <w:rPr>
          <w:rFonts w:ascii="Arial" w:hAnsi="Arial" w:cs="Arial"/>
          <w:snapToGrid w:val="0"/>
          <w:sz w:val="24"/>
          <w:szCs w:val="24"/>
        </w:rPr>
        <w:t>of £6.7m expenditure funded from Mayoral Precept, partner contributions and government grant.</w:t>
      </w:r>
    </w:p>
    <w:p w14:paraId="477927A5" w14:textId="77777777" w:rsidR="00D15D90" w:rsidRPr="00673F14" w:rsidRDefault="00D15D90" w:rsidP="00D15D90">
      <w:pPr>
        <w:pStyle w:val="ListParagraph"/>
        <w:numPr>
          <w:ilvl w:val="2"/>
          <w:numId w:val="85"/>
        </w:numPr>
        <w:spacing w:after="0" w:line="360" w:lineRule="auto"/>
        <w:ind w:left="1134"/>
        <w:rPr>
          <w:rFonts w:ascii="Arial" w:hAnsi="Arial" w:cs="Arial"/>
          <w:b/>
          <w:snapToGrid w:val="0"/>
          <w:sz w:val="24"/>
          <w:szCs w:val="24"/>
        </w:rPr>
      </w:pPr>
      <w:r w:rsidRPr="00673F14">
        <w:rPr>
          <w:rFonts w:ascii="Arial" w:hAnsi="Arial" w:cs="Arial"/>
          <w:sz w:val="24"/>
          <w:szCs w:val="24"/>
        </w:rPr>
        <w:t xml:space="preserve">Housing First programme expenditure of £3.6m funded from government grant. </w:t>
      </w:r>
    </w:p>
    <w:p w14:paraId="0DF2C022" w14:textId="77777777" w:rsidR="00D15D90" w:rsidRPr="00673F14" w:rsidRDefault="00D15D90" w:rsidP="00D15D90">
      <w:pPr>
        <w:pStyle w:val="ListParagraph"/>
        <w:numPr>
          <w:ilvl w:val="2"/>
          <w:numId w:val="85"/>
        </w:numPr>
        <w:spacing w:after="0" w:line="360" w:lineRule="auto"/>
        <w:ind w:left="1134"/>
        <w:rPr>
          <w:rFonts w:ascii="Arial" w:hAnsi="Arial" w:cs="Arial"/>
          <w:b/>
          <w:snapToGrid w:val="0"/>
          <w:sz w:val="24"/>
          <w:szCs w:val="24"/>
        </w:rPr>
      </w:pPr>
      <w:r w:rsidRPr="00673F14">
        <w:rPr>
          <w:rFonts w:ascii="Arial" w:hAnsi="Arial" w:cs="Arial"/>
          <w:sz w:val="24"/>
          <w:szCs w:val="24"/>
        </w:rPr>
        <w:lastRenderedPageBreak/>
        <w:t>Rough Sleeper Initiative, Rough Sleeper Accommodation, Community Accommodation Youth Pathfinder and Refugee Transitions Outcomes programmes with expenditure of £9.3m.</w:t>
      </w:r>
    </w:p>
    <w:p w14:paraId="34C18E00" w14:textId="77777777" w:rsidR="00D15D90" w:rsidRPr="00673F14" w:rsidRDefault="00D15D90" w:rsidP="00D15D90">
      <w:pPr>
        <w:pStyle w:val="ListParagraph"/>
        <w:numPr>
          <w:ilvl w:val="0"/>
          <w:numId w:val="67"/>
        </w:numPr>
        <w:spacing w:after="0" w:line="360" w:lineRule="auto"/>
        <w:ind w:left="709" w:hanging="426"/>
        <w:rPr>
          <w:rFonts w:ascii="Arial" w:hAnsi="Arial" w:cs="Arial"/>
          <w:b/>
          <w:snapToGrid w:val="0"/>
          <w:sz w:val="24"/>
          <w:szCs w:val="24"/>
        </w:rPr>
      </w:pPr>
      <w:r w:rsidRPr="00673F14">
        <w:rPr>
          <w:rFonts w:ascii="Arial" w:hAnsi="Arial" w:cs="Arial"/>
          <w:sz w:val="24"/>
          <w:szCs w:val="24"/>
        </w:rPr>
        <w:t>Changing Futures funding of £2m for 2023/24 which is the third year of a three year programme to improve outcomes for adults experiencing multiple disadvantages.</w:t>
      </w:r>
    </w:p>
    <w:p w14:paraId="007171F1" w14:textId="77777777" w:rsidR="00D15D90" w:rsidRPr="00673F14" w:rsidRDefault="00D15D90" w:rsidP="00D15D90">
      <w:pPr>
        <w:pStyle w:val="ListParagraph"/>
        <w:numPr>
          <w:ilvl w:val="0"/>
          <w:numId w:val="67"/>
        </w:numPr>
        <w:spacing w:after="0" w:line="360" w:lineRule="auto"/>
        <w:ind w:left="709" w:hanging="426"/>
        <w:rPr>
          <w:rFonts w:ascii="Arial" w:hAnsi="Arial" w:cs="Arial"/>
          <w:b/>
          <w:snapToGrid w:val="0"/>
          <w:sz w:val="24"/>
          <w:szCs w:val="24"/>
        </w:rPr>
      </w:pPr>
      <w:r w:rsidRPr="00673F14">
        <w:rPr>
          <w:rFonts w:ascii="Arial" w:hAnsi="Arial" w:cs="Arial"/>
          <w:sz w:val="24"/>
          <w:szCs w:val="24"/>
        </w:rPr>
        <w:t>PSR Directorate and other delivery resources for the overall programme of £2.2m.</w:t>
      </w:r>
    </w:p>
    <w:p w14:paraId="1B2CD929" w14:textId="77777777" w:rsidR="00D15D90" w:rsidRPr="00673F14" w:rsidRDefault="00D15D90" w:rsidP="00D15D90">
      <w:pPr>
        <w:pStyle w:val="ListParagraph"/>
        <w:numPr>
          <w:ilvl w:val="0"/>
          <w:numId w:val="67"/>
        </w:numPr>
        <w:spacing w:after="0" w:line="360" w:lineRule="auto"/>
        <w:ind w:left="709" w:hanging="426"/>
        <w:rPr>
          <w:rFonts w:ascii="Arial" w:hAnsi="Arial" w:cs="Arial"/>
          <w:b/>
          <w:snapToGrid w:val="0"/>
          <w:sz w:val="24"/>
          <w:szCs w:val="24"/>
        </w:rPr>
      </w:pPr>
      <w:r w:rsidRPr="00673F14">
        <w:rPr>
          <w:rFonts w:ascii="Arial" w:hAnsi="Arial" w:cs="Arial"/>
          <w:sz w:val="24"/>
          <w:szCs w:val="24"/>
        </w:rPr>
        <w:t>Other programmes including Children’s Services, Children and Young People Plan, School Readiness, Special Educational Needs and Disability, GM Safeguarding Alliance, Aging Better, Aging in Place Pathfinder and Creative Health with expenditure totalling £2.8m.</w:t>
      </w:r>
    </w:p>
    <w:p w14:paraId="2293ACA0" w14:textId="77777777" w:rsidR="00D15D90" w:rsidRPr="00B15622" w:rsidRDefault="00D15D90" w:rsidP="00D15D90">
      <w:pPr>
        <w:pStyle w:val="ListParagraph"/>
        <w:spacing w:after="0" w:line="360" w:lineRule="auto"/>
        <w:rPr>
          <w:rFonts w:ascii="Arial" w:hAnsi="Arial" w:cs="Arial"/>
          <w:sz w:val="24"/>
          <w:szCs w:val="24"/>
          <w:highlight w:val="yellow"/>
        </w:rPr>
      </w:pPr>
    </w:p>
    <w:p w14:paraId="165233FB" w14:textId="77777777" w:rsidR="00D15D90" w:rsidRPr="00D36237" w:rsidRDefault="00D15D90" w:rsidP="00D15D90">
      <w:pPr>
        <w:spacing w:line="360" w:lineRule="auto"/>
        <w:rPr>
          <w:rFonts w:ascii="Arial" w:hAnsi="Arial" w:cs="Arial"/>
          <w:u w:val="single"/>
        </w:rPr>
      </w:pPr>
      <w:r w:rsidRPr="00D36237">
        <w:rPr>
          <w:rFonts w:ascii="Arial" w:hAnsi="Arial" w:cs="Arial"/>
          <w:u w:val="single"/>
        </w:rPr>
        <w:t>Education, Work and Skills</w:t>
      </w:r>
    </w:p>
    <w:p w14:paraId="6AA0E8B4" w14:textId="77777777" w:rsidR="00D15D90" w:rsidRPr="00B15622" w:rsidRDefault="00D15D90" w:rsidP="00D15D90">
      <w:pPr>
        <w:spacing w:line="360" w:lineRule="auto"/>
        <w:rPr>
          <w:rFonts w:ascii="Arial" w:hAnsi="Arial" w:cs="Arial"/>
          <w:highlight w:val="yellow"/>
          <w:u w:val="single"/>
        </w:rPr>
      </w:pPr>
    </w:p>
    <w:p w14:paraId="3A0C32A5" w14:textId="77777777" w:rsidR="00D15D90" w:rsidRPr="00B15622" w:rsidRDefault="00D15D90" w:rsidP="00D15D90">
      <w:pPr>
        <w:spacing w:line="360" w:lineRule="auto"/>
        <w:rPr>
          <w:rFonts w:ascii="Arial" w:hAnsi="Arial" w:cs="Arial"/>
          <w:highlight w:val="yellow"/>
        </w:rPr>
      </w:pPr>
      <w:r w:rsidRPr="009756AD">
        <w:rPr>
          <w:rFonts w:ascii="Arial" w:hAnsi="Arial" w:cs="Arial"/>
        </w:rPr>
        <w:t xml:space="preserve">Education, Work and Skills works in partnership with local authorities, partners and businesses to deliver and performance manage programmes that support people to enter, </w:t>
      </w:r>
      <w:r w:rsidRPr="00D36237">
        <w:rPr>
          <w:rFonts w:ascii="Arial" w:hAnsi="Arial" w:cs="Arial"/>
        </w:rPr>
        <w:t xml:space="preserve">progress and remain in work. The original 2023/24 budget was £141.1m with actual expenditure for 2023/24 being £140.1m supporting the following programmes: </w:t>
      </w:r>
    </w:p>
    <w:p w14:paraId="00FFBFA8" w14:textId="77777777" w:rsidR="00D15D90" w:rsidRPr="00B15622" w:rsidRDefault="00D15D90" w:rsidP="00D15D90">
      <w:pPr>
        <w:spacing w:line="360" w:lineRule="auto"/>
        <w:rPr>
          <w:rFonts w:ascii="Arial" w:hAnsi="Arial" w:cs="Arial"/>
          <w:highlight w:val="yellow"/>
        </w:rPr>
      </w:pPr>
    </w:p>
    <w:p w14:paraId="6E685018" w14:textId="77777777" w:rsidR="00D15D90" w:rsidRPr="00D36237" w:rsidRDefault="00D15D90" w:rsidP="00D15D90">
      <w:pPr>
        <w:pStyle w:val="ListParagraph"/>
        <w:numPr>
          <w:ilvl w:val="0"/>
          <w:numId w:val="66"/>
        </w:numPr>
        <w:spacing w:after="0" w:line="360" w:lineRule="auto"/>
        <w:ind w:left="426" w:hanging="426"/>
        <w:rPr>
          <w:rFonts w:ascii="Arial" w:hAnsi="Arial" w:cs="Arial"/>
          <w:sz w:val="24"/>
          <w:szCs w:val="24"/>
        </w:rPr>
      </w:pPr>
      <w:r w:rsidRPr="00D36237">
        <w:rPr>
          <w:rFonts w:ascii="Arial" w:hAnsi="Arial" w:cs="Arial"/>
          <w:sz w:val="24"/>
          <w:szCs w:val="24"/>
        </w:rPr>
        <w:t xml:space="preserve">The Adult Education Budget (AEB) of £97.2m devolved to GM to support the city region’s residents to develop skills needed for life and work, plus an additional £5.6m for the AEB National Skills Fund Adult Level 3 programme. </w:t>
      </w:r>
    </w:p>
    <w:p w14:paraId="32D58E2D" w14:textId="77777777" w:rsidR="00D15D90" w:rsidRPr="00D36237" w:rsidRDefault="00D15D90" w:rsidP="00D15D90">
      <w:pPr>
        <w:pStyle w:val="ListParagraph"/>
        <w:numPr>
          <w:ilvl w:val="0"/>
          <w:numId w:val="66"/>
        </w:numPr>
        <w:spacing w:after="0" w:line="360" w:lineRule="auto"/>
        <w:ind w:left="426" w:hanging="426"/>
        <w:rPr>
          <w:rFonts w:ascii="Arial" w:hAnsi="Arial" w:cs="Arial"/>
          <w:sz w:val="24"/>
          <w:szCs w:val="24"/>
        </w:rPr>
      </w:pPr>
      <w:r w:rsidRPr="00D36237">
        <w:rPr>
          <w:rFonts w:ascii="Arial" w:hAnsi="Arial" w:cs="Arial"/>
          <w:sz w:val="24"/>
          <w:szCs w:val="24"/>
        </w:rPr>
        <w:t>European Social Fund (ESF) Skills for Growth Programme of £8.7m, with 2023/24 being the first of four years of funding to support business growth and deliver an integrated approach to employment and skills.</w:t>
      </w:r>
    </w:p>
    <w:p w14:paraId="45BC111D" w14:textId="77777777" w:rsidR="00D15D90" w:rsidRPr="00D36237" w:rsidRDefault="00D15D90" w:rsidP="00D15D90">
      <w:pPr>
        <w:pStyle w:val="ListParagraph"/>
        <w:numPr>
          <w:ilvl w:val="0"/>
          <w:numId w:val="66"/>
        </w:numPr>
        <w:spacing w:after="0" w:line="360" w:lineRule="auto"/>
        <w:ind w:left="426" w:hanging="426"/>
        <w:rPr>
          <w:rFonts w:ascii="Arial" w:hAnsi="Arial" w:cs="Arial"/>
          <w:sz w:val="24"/>
          <w:szCs w:val="24"/>
        </w:rPr>
      </w:pPr>
      <w:r w:rsidRPr="00D36237">
        <w:rPr>
          <w:rFonts w:ascii="Arial" w:hAnsi="Arial" w:cs="Arial"/>
          <w:sz w:val="24"/>
          <w:szCs w:val="24"/>
        </w:rPr>
        <w:t>Working Well services to support people experiencing or at risk of long-term unemployment, including the Work and Health Programme of £10.3m, the Individual, Placement and Support in Primary Care Programme of £.1.1m, Working Well Specialist Employment Support of £0.8m and the Work &amp; Health: Pioneers Programme of £0.5m.</w:t>
      </w:r>
    </w:p>
    <w:p w14:paraId="5AE96B49" w14:textId="77777777" w:rsidR="00D15D90" w:rsidRPr="00D36237" w:rsidRDefault="00D15D90" w:rsidP="00D15D90">
      <w:pPr>
        <w:pStyle w:val="ListParagraph"/>
        <w:numPr>
          <w:ilvl w:val="0"/>
          <w:numId w:val="66"/>
        </w:numPr>
        <w:spacing w:after="0" w:line="360" w:lineRule="auto"/>
        <w:ind w:left="426" w:hanging="426"/>
        <w:rPr>
          <w:rFonts w:ascii="Arial" w:hAnsi="Arial" w:cs="Arial"/>
          <w:sz w:val="24"/>
          <w:szCs w:val="24"/>
        </w:rPr>
      </w:pPr>
      <w:r w:rsidRPr="00D36237">
        <w:rPr>
          <w:rFonts w:ascii="Arial" w:hAnsi="Arial" w:cs="Arial"/>
          <w:sz w:val="24"/>
          <w:szCs w:val="24"/>
        </w:rPr>
        <w:t>European Social Fund (ESF) Not in Employment, Education or Training (NEET) prevention/reduction and youth employment programme of £3.7m.</w:t>
      </w:r>
    </w:p>
    <w:p w14:paraId="47C5C2FC" w14:textId="77777777" w:rsidR="00D15D90" w:rsidRPr="00D36237" w:rsidRDefault="00D15D90" w:rsidP="00D15D90">
      <w:pPr>
        <w:pStyle w:val="ListParagraph"/>
        <w:numPr>
          <w:ilvl w:val="0"/>
          <w:numId w:val="66"/>
        </w:numPr>
        <w:spacing w:after="0" w:line="360" w:lineRule="auto"/>
        <w:ind w:left="426" w:hanging="426"/>
        <w:rPr>
          <w:rFonts w:ascii="Arial" w:hAnsi="Arial" w:cs="Arial"/>
          <w:sz w:val="24"/>
          <w:szCs w:val="24"/>
        </w:rPr>
      </w:pPr>
      <w:r w:rsidRPr="00D36237">
        <w:rPr>
          <w:rFonts w:ascii="Arial" w:hAnsi="Arial" w:cs="Arial"/>
          <w:sz w:val="24"/>
          <w:szCs w:val="24"/>
        </w:rPr>
        <w:lastRenderedPageBreak/>
        <w:t>Delivery of the Skills Bootcamp programme which expended £4.9m in the year and is a tailored offer of skills provision and learning that is aligned to employer needs and directly linked to employment opportunities in priority sectors.</w:t>
      </w:r>
    </w:p>
    <w:p w14:paraId="08D613DE" w14:textId="77777777" w:rsidR="00D15D90" w:rsidRPr="00D36237" w:rsidRDefault="00D15D90" w:rsidP="00D15D90">
      <w:pPr>
        <w:pStyle w:val="ListParagraph"/>
        <w:numPr>
          <w:ilvl w:val="0"/>
          <w:numId w:val="66"/>
        </w:numPr>
        <w:spacing w:after="0" w:line="360" w:lineRule="auto"/>
        <w:ind w:left="426" w:hanging="426"/>
        <w:rPr>
          <w:rFonts w:ascii="Arial" w:hAnsi="Arial" w:cs="Arial"/>
          <w:sz w:val="24"/>
          <w:szCs w:val="24"/>
        </w:rPr>
      </w:pPr>
      <w:r w:rsidRPr="00D36237">
        <w:rPr>
          <w:rFonts w:ascii="Arial" w:hAnsi="Arial" w:cs="Arial"/>
          <w:sz w:val="24"/>
          <w:szCs w:val="24"/>
        </w:rPr>
        <w:t xml:space="preserve">Self-Employment Pilot of £0.6m to support GM self-employed residents to sustain and grow their business.  </w:t>
      </w:r>
    </w:p>
    <w:p w14:paraId="17C4E8B8" w14:textId="77777777" w:rsidR="00D15D90" w:rsidRPr="00D36237" w:rsidRDefault="00D15D90" w:rsidP="00D15D90">
      <w:pPr>
        <w:pStyle w:val="ListParagraph"/>
        <w:numPr>
          <w:ilvl w:val="0"/>
          <w:numId w:val="66"/>
        </w:numPr>
        <w:spacing w:after="0" w:line="360" w:lineRule="auto"/>
        <w:ind w:left="426" w:hanging="426"/>
        <w:rPr>
          <w:rFonts w:ascii="Arial" w:hAnsi="Arial" w:cs="Arial"/>
          <w:sz w:val="24"/>
          <w:szCs w:val="24"/>
        </w:rPr>
      </w:pPr>
      <w:r w:rsidRPr="00D36237">
        <w:rPr>
          <w:rFonts w:ascii="Arial" w:hAnsi="Arial" w:cs="Arial"/>
          <w:sz w:val="24"/>
          <w:szCs w:val="24"/>
        </w:rPr>
        <w:t>UK Shared Prosperity Fund Adults’ Multiply programme with expenditure of £3.8m in year two of the £14.4m allocation over three years.</w:t>
      </w:r>
    </w:p>
    <w:p w14:paraId="78208FBD" w14:textId="60344BAC" w:rsidR="00D15D90" w:rsidRPr="00D36237" w:rsidRDefault="00D15D90" w:rsidP="00D15D90">
      <w:pPr>
        <w:pStyle w:val="ListParagraph"/>
        <w:numPr>
          <w:ilvl w:val="0"/>
          <w:numId w:val="66"/>
        </w:numPr>
        <w:spacing w:after="0" w:line="360" w:lineRule="auto"/>
        <w:ind w:left="426" w:hanging="426"/>
        <w:rPr>
          <w:rFonts w:ascii="Arial" w:hAnsi="Arial" w:cs="Arial"/>
          <w:sz w:val="24"/>
          <w:szCs w:val="24"/>
        </w:rPr>
      </w:pPr>
      <w:r w:rsidRPr="00D36237">
        <w:rPr>
          <w:rFonts w:ascii="Arial" w:hAnsi="Arial" w:cs="Arial"/>
          <w:sz w:val="24"/>
          <w:szCs w:val="24"/>
        </w:rPr>
        <w:t>Other programmes including Greater Manchester Apprenticeship &amp; Careers Service, Young Person’s Guarantee, GM Careers Hub and Digital Skills with expenditure tota</w:t>
      </w:r>
      <w:r w:rsidR="00CD0137">
        <w:rPr>
          <w:rFonts w:ascii="Arial" w:hAnsi="Arial" w:cs="Arial"/>
          <w:sz w:val="24"/>
          <w:szCs w:val="24"/>
        </w:rPr>
        <w:t>l</w:t>
      </w:r>
      <w:r w:rsidRPr="00D36237">
        <w:rPr>
          <w:rFonts w:ascii="Arial" w:hAnsi="Arial" w:cs="Arial"/>
          <w:sz w:val="24"/>
          <w:szCs w:val="24"/>
        </w:rPr>
        <w:t>ling £2.9m.</w:t>
      </w:r>
    </w:p>
    <w:p w14:paraId="14374F02" w14:textId="77777777" w:rsidR="00D15D90" w:rsidRPr="005D0373" w:rsidRDefault="00D15D90" w:rsidP="00D15D90">
      <w:pPr>
        <w:spacing w:line="360" w:lineRule="auto"/>
        <w:rPr>
          <w:rFonts w:ascii="Arial" w:hAnsi="Arial" w:cs="Arial"/>
        </w:rPr>
      </w:pPr>
    </w:p>
    <w:p w14:paraId="28DEB142" w14:textId="77777777" w:rsidR="00D15D90" w:rsidRPr="005D0373" w:rsidRDefault="00D15D90" w:rsidP="00D15D90">
      <w:pPr>
        <w:pStyle w:val="paragraph"/>
        <w:spacing w:before="0" w:beforeAutospacing="0" w:after="0" w:afterAutospacing="0" w:line="360" w:lineRule="auto"/>
        <w:textAlignment w:val="baseline"/>
        <w:rPr>
          <w:rStyle w:val="normaltextrun"/>
          <w:rFonts w:ascii="Arial" w:hAnsi="Arial" w:cs="Arial"/>
          <w:u w:val="single"/>
        </w:rPr>
      </w:pPr>
      <w:r w:rsidRPr="005D0373">
        <w:rPr>
          <w:rStyle w:val="normaltextrun"/>
          <w:rFonts w:ascii="Arial" w:hAnsi="Arial" w:cs="Arial"/>
          <w:u w:val="single"/>
        </w:rPr>
        <w:t>Business Rates Growth Retention Pilot</w:t>
      </w:r>
    </w:p>
    <w:p w14:paraId="0242E6EE" w14:textId="77777777" w:rsidR="00D15D90" w:rsidRPr="00B15622" w:rsidRDefault="00D15D90" w:rsidP="00D15D90">
      <w:pPr>
        <w:spacing w:line="360" w:lineRule="auto"/>
        <w:rPr>
          <w:rFonts w:ascii="Arial" w:hAnsi="Arial" w:cs="Arial"/>
          <w:highlight w:val="yellow"/>
        </w:rPr>
      </w:pPr>
    </w:p>
    <w:p w14:paraId="5BA1E38B" w14:textId="77777777" w:rsidR="00D15D90" w:rsidRPr="009756AD" w:rsidRDefault="00D15D90" w:rsidP="00D15D90">
      <w:pPr>
        <w:spacing w:line="360" w:lineRule="auto"/>
        <w:rPr>
          <w:rFonts w:ascii="Arial" w:hAnsi="Arial" w:cs="Arial"/>
        </w:rPr>
      </w:pPr>
      <w:r w:rsidRPr="009756AD">
        <w:rPr>
          <w:rFonts w:ascii="Arial" w:hAnsi="Arial" w:cs="Arial"/>
        </w:rPr>
        <w:t xml:space="preserve">The GMCA General budget includes funding from the 100% business rates retention pilot which was introduced in 2017/18 as part of the Greater Manchester Devolution Deal with the stated intention of: </w:t>
      </w:r>
    </w:p>
    <w:p w14:paraId="6CA33658" w14:textId="77777777" w:rsidR="00D15D90" w:rsidRPr="00B15622" w:rsidRDefault="00D15D90" w:rsidP="00D15D90">
      <w:pPr>
        <w:spacing w:line="360" w:lineRule="auto"/>
        <w:rPr>
          <w:rFonts w:ascii="Arial" w:hAnsi="Arial" w:cs="Arial"/>
          <w:highlight w:val="yellow"/>
        </w:rPr>
      </w:pPr>
    </w:p>
    <w:p w14:paraId="4C68BF8F" w14:textId="77777777" w:rsidR="00D15D90" w:rsidRPr="009756AD" w:rsidRDefault="00D15D90" w:rsidP="00D15D90">
      <w:pPr>
        <w:pStyle w:val="ListParagraph"/>
        <w:numPr>
          <w:ilvl w:val="0"/>
          <w:numId w:val="74"/>
        </w:numPr>
        <w:spacing w:after="0" w:line="360" w:lineRule="auto"/>
        <w:rPr>
          <w:rFonts w:ascii="Arial" w:hAnsi="Arial" w:cs="Arial"/>
          <w:sz w:val="24"/>
          <w:szCs w:val="24"/>
        </w:rPr>
      </w:pPr>
      <w:r w:rsidRPr="009756AD">
        <w:rPr>
          <w:rFonts w:ascii="Arial" w:hAnsi="Arial" w:cs="Arial"/>
          <w:sz w:val="24"/>
          <w:szCs w:val="24"/>
        </w:rPr>
        <w:t xml:space="preserve">Giving Greater Manchester authorities an incentive to grow local tax bases by ensuring they see long term rewards from growth. </w:t>
      </w:r>
    </w:p>
    <w:p w14:paraId="6989B8DF" w14:textId="77777777" w:rsidR="00D15D90" w:rsidRPr="009756AD" w:rsidRDefault="00D15D90" w:rsidP="00D15D90">
      <w:pPr>
        <w:pStyle w:val="ListParagraph"/>
        <w:numPr>
          <w:ilvl w:val="0"/>
          <w:numId w:val="74"/>
        </w:numPr>
        <w:spacing w:after="0" w:line="360" w:lineRule="auto"/>
        <w:rPr>
          <w:rFonts w:ascii="Arial" w:hAnsi="Arial" w:cs="Arial"/>
          <w:sz w:val="24"/>
          <w:szCs w:val="24"/>
        </w:rPr>
      </w:pPr>
      <w:r w:rsidRPr="009756AD">
        <w:rPr>
          <w:rFonts w:ascii="Arial" w:hAnsi="Arial" w:cs="Arial"/>
          <w:sz w:val="24"/>
          <w:szCs w:val="24"/>
        </w:rPr>
        <w:t>Maintaining a predictable income stream against which authorities can take long term investment decisions.</w:t>
      </w:r>
    </w:p>
    <w:p w14:paraId="638640BD" w14:textId="77777777" w:rsidR="00D15D90" w:rsidRPr="009756AD" w:rsidRDefault="00D15D90" w:rsidP="00D15D90">
      <w:pPr>
        <w:pStyle w:val="ListParagraph"/>
        <w:numPr>
          <w:ilvl w:val="0"/>
          <w:numId w:val="74"/>
        </w:numPr>
        <w:spacing w:after="0" w:line="360" w:lineRule="auto"/>
        <w:rPr>
          <w:rFonts w:ascii="Arial" w:hAnsi="Arial" w:cs="Arial"/>
          <w:sz w:val="24"/>
          <w:szCs w:val="24"/>
        </w:rPr>
      </w:pPr>
      <w:r w:rsidRPr="009756AD">
        <w:rPr>
          <w:rFonts w:ascii="Arial" w:hAnsi="Arial" w:cs="Arial"/>
          <w:sz w:val="24"/>
          <w:szCs w:val="24"/>
        </w:rPr>
        <w:t>Ensuring that Greater Manchester authorities can continue to provide a full range of local services, whilst recognising that decisions about spending priorities should be made locally by locally elected representatives accountable to local taxpayers.</w:t>
      </w:r>
    </w:p>
    <w:p w14:paraId="306E8AEC" w14:textId="77777777" w:rsidR="00D15D90" w:rsidRPr="00B15622" w:rsidRDefault="00D15D90" w:rsidP="00D15D90">
      <w:pPr>
        <w:pStyle w:val="ListParagraph"/>
        <w:spacing w:after="0" w:line="360" w:lineRule="auto"/>
        <w:rPr>
          <w:rFonts w:ascii="Arial" w:hAnsi="Arial" w:cs="Arial"/>
          <w:sz w:val="24"/>
          <w:szCs w:val="24"/>
          <w:highlight w:val="yellow"/>
        </w:rPr>
      </w:pPr>
      <w:r w:rsidRPr="00B15622">
        <w:rPr>
          <w:rFonts w:ascii="Arial" w:hAnsi="Arial" w:cs="Arial"/>
          <w:sz w:val="24"/>
          <w:szCs w:val="24"/>
          <w:highlight w:val="yellow"/>
        </w:rPr>
        <w:t xml:space="preserve"> </w:t>
      </w:r>
    </w:p>
    <w:p w14:paraId="1BD447AB" w14:textId="77777777" w:rsidR="00D15D90" w:rsidRPr="009756AD" w:rsidRDefault="00D15D90" w:rsidP="00D15D90">
      <w:pPr>
        <w:spacing w:line="360" w:lineRule="auto"/>
        <w:rPr>
          <w:rFonts w:ascii="Arial" w:hAnsi="Arial" w:cs="Arial"/>
        </w:rPr>
      </w:pPr>
      <w:r w:rsidRPr="009756AD">
        <w:rPr>
          <w:rFonts w:ascii="Arial" w:hAnsi="Arial" w:cs="Arial"/>
        </w:rPr>
        <w:t xml:space="preserve">Under the scheme the ten Greater Manchester local authorities retain 100% of business rates growth from the base year. The benefits are calculated applying a ‘no detriment’ formula which ensures Greater Manchester is no worse off financially than it would have been if it were not part of the pilot. The local agreement with local authorities is that the benefits of the scheme, to the extent that there should be any, are shared for investment both at individual local authority level and for Greater Manchester priorities. In 2020/21 during the peak of the financial impact from the pandemic, the full 100% benefit of the pilot was retained by local authorities to support their response.  </w:t>
      </w:r>
    </w:p>
    <w:p w14:paraId="39CE2CFC" w14:textId="77777777" w:rsidR="00D15D90" w:rsidRPr="00B15622" w:rsidRDefault="00D15D90" w:rsidP="00D15D90">
      <w:pPr>
        <w:spacing w:line="360" w:lineRule="auto"/>
        <w:rPr>
          <w:rFonts w:ascii="Arial" w:hAnsi="Arial" w:cs="Arial"/>
          <w:highlight w:val="yellow"/>
        </w:rPr>
      </w:pPr>
    </w:p>
    <w:p w14:paraId="35A08C6D" w14:textId="77777777" w:rsidR="00D15D90" w:rsidRPr="00B5490C" w:rsidRDefault="00D15D90" w:rsidP="00D15D90">
      <w:pPr>
        <w:spacing w:line="360" w:lineRule="auto"/>
        <w:rPr>
          <w:rFonts w:ascii="Arial" w:hAnsi="Arial" w:cs="Arial"/>
        </w:rPr>
      </w:pPr>
      <w:r w:rsidRPr="00E70746">
        <w:rPr>
          <w:rFonts w:ascii="Arial" w:hAnsi="Arial" w:cs="Arial"/>
        </w:rPr>
        <w:t xml:space="preserve">In 2023/24, the benefits of the pilot continued to be split on the basis of 75% retained by local authorities and 25% for Greater Manchester priorities. </w:t>
      </w:r>
      <w:r w:rsidRPr="00B5490C">
        <w:rPr>
          <w:rFonts w:ascii="Arial" w:hAnsi="Arial" w:cs="Arial"/>
        </w:rPr>
        <w:t xml:space="preserve">This was an income of £18.7m for Greater Manchester wide initiatives which was held by GMCA in an earmarked reserve for specific programmes of work agreed by Greater Manchester leaders. In order to manage the risk around the unpredictability of business rates growth, the commitments are made in the year following the confirmed benefit and subsequent share for Greater Manchester priorities. </w:t>
      </w:r>
    </w:p>
    <w:p w14:paraId="6B37F302" w14:textId="77777777" w:rsidR="00D15D90" w:rsidRPr="00B15622" w:rsidRDefault="00D15D90" w:rsidP="00D15D90">
      <w:pPr>
        <w:spacing w:line="360" w:lineRule="auto"/>
        <w:rPr>
          <w:rFonts w:ascii="Arial" w:hAnsi="Arial" w:cs="Arial"/>
          <w:highlight w:val="yellow"/>
        </w:rPr>
      </w:pPr>
    </w:p>
    <w:p w14:paraId="5C728385" w14:textId="77777777" w:rsidR="00D15D90" w:rsidRPr="0066484A" w:rsidRDefault="00D15D90" w:rsidP="00D15D90">
      <w:pPr>
        <w:spacing w:line="360" w:lineRule="auto"/>
        <w:rPr>
          <w:rFonts w:ascii="Arial" w:hAnsi="Arial" w:cs="Arial"/>
          <w:b/>
          <w:bCs/>
        </w:rPr>
      </w:pPr>
      <w:r w:rsidRPr="0066484A">
        <w:rPr>
          <w:rFonts w:ascii="Arial" w:hAnsi="Arial" w:cs="Arial"/>
          <w:b/>
          <w:bCs/>
        </w:rPr>
        <w:t>Mayoral General Services</w:t>
      </w:r>
    </w:p>
    <w:p w14:paraId="302C5F75" w14:textId="77777777" w:rsidR="00D15D90" w:rsidRPr="00B15622" w:rsidRDefault="00D15D90" w:rsidP="00D15D90">
      <w:pPr>
        <w:spacing w:line="360" w:lineRule="auto"/>
        <w:rPr>
          <w:rFonts w:ascii="Arial" w:hAnsi="Arial" w:cs="Arial"/>
          <w:highlight w:val="yellow"/>
        </w:rPr>
      </w:pPr>
    </w:p>
    <w:p w14:paraId="3156D2B0" w14:textId="77777777" w:rsidR="00D15D90" w:rsidRPr="009756AD" w:rsidRDefault="00D15D90" w:rsidP="00D15D90">
      <w:pPr>
        <w:spacing w:line="360" w:lineRule="auto"/>
        <w:rPr>
          <w:rFonts w:ascii="Arial" w:eastAsia="Arial" w:hAnsi="Arial" w:cs="Arial"/>
        </w:rPr>
      </w:pPr>
      <w:r w:rsidRPr="009756AD">
        <w:rPr>
          <w:rFonts w:ascii="Arial" w:eastAsia="Arial" w:hAnsi="Arial" w:cs="Arial"/>
          <w:spacing w:val="1"/>
        </w:rPr>
        <w:t xml:space="preserve">The Mayoral budget includes Mayoral </w:t>
      </w:r>
      <w:r w:rsidRPr="009756AD">
        <w:rPr>
          <w:rFonts w:ascii="Arial" w:eastAsia="Arial" w:hAnsi="Arial" w:cs="Arial"/>
          <w:spacing w:val="-2"/>
        </w:rPr>
        <w:t>g</w:t>
      </w:r>
      <w:r w:rsidRPr="009756AD">
        <w:rPr>
          <w:rFonts w:ascii="Arial" w:eastAsia="Arial" w:hAnsi="Arial" w:cs="Arial"/>
          <w:spacing w:val="1"/>
        </w:rPr>
        <w:t>ene</w:t>
      </w:r>
      <w:r w:rsidRPr="009756AD">
        <w:rPr>
          <w:rFonts w:ascii="Arial" w:eastAsia="Arial" w:hAnsi="Arial" w:cs="Arial"/>
        </w:rPr>
        <w:t>r</w:t>
      </w:r>
      <w:r w:rsidRPr="009756AD">
        <w:rPr>
          <w:rFonts w:ascii="Arial" w:eastAsia="Arial" w:hAnsi="Arial" w:cs="Arial"/>
          <w:spacing w:val="-2"/>
        </w:rPr>
        <w:t>a</w:t>
      </w:r>
      <w:r w:rsidRPr="009756AD">
        <w:rPr>
          <w:rFonts w:ascii="Arial" w:eastAsia="Arial" w:hAnsi="Arial" w:cs="Arial"/>
        </w:rPr>
        <w:t>l f</w:t>
      </w:r>
      <w:r w:rsidRPr="009756AD">
        <w:rPr>
          <w:rFonts w:ascii="Arial" w:eastAsia="Arial" w:hAnsi="Arial" w:cs="Arial"/>
          <w:spacing w:val="1"/>
        </w:rPr>
        <w:t>un</w:t>
      </w:r>
      <w:r w:rsidRPr="009756AD">
        <w:rPr>
          <w:rFonts w:ascii="Arial" w:eastAsia="Arial" w:hAnsi="Arial" w:cs="Arial"/>
        </w:rPr>
        <w:t>cti</w:t>
      </w:r>
      <w:r w:rsidRPr="009756AD">
        <w:rPr>
          <w:rFonts w:ascii="Arial" w:eastAsia="Arial" w:hAnsi="Arial" w:cs="Arial"/>
          <w:spacing w:val="-1"/>
        </w:rPr>
        <w:t>o</w:t>
      </w:r>
      <w:r w:rsidRPr="009756AD">
        <w:rPr>
          <w:rFonts w:ascii="Arial" w:eastAsia="Arial" w:hAnsi="Arial" w:cs="Arial"/>
          <w:spacing w:val="1"/>
        </w:rPr>
        <w:t>n</w:t>
      </w:r>
      <w:r w:rsidRPr="009756AD">
        <w:rPr>
          <w:rFonts w:ascii="Arial" w:eastAsia="Arial" w:hAnsi="Arial" w:cs="Arial"/>
        </w:rPr>
        <w:t xml:space="preserve">s </w:t>
      </w:r>
      <w:r w:rsidRPr="009756AD">
        <w:rPr>
          <w:rFonts w:ascii="Arial" w:eastAsia="Arial" w:hAnsi="Arial" w:cs="Arial"/>
          <w:spacing w:val="1"/>
        </w:rPr>
        <w:t>a</w:t>
      </w:r>
      <w:r w:rsidRPr="009756AD">
        <w:rPr>
          <w:rFonts w:ascii="Arial" w:eastAsia="Arial" w:hAnsi="Arial" w:cs="Arial"/>
        </w:rPr>
        <w:t>s follows:</w:t>
      </w:r>
    </w:p>
    <w:p w14:paraId="6ADD72D7" w14:textId="77777777" w:rsidR="00D15D90" w:rsidRPr="009756AD" w:rsidRDefault="00D15D90" w:rsidP="00D15D90">
      <w:pPr>
        <w:spacing w:line="360" w:lineRule="auto"/>
        <w:rPr>
          <w:rFonts w:ascii="Arial" w:eastAsia="Arial" w:hAnsi="Arial" w:cs="Arial"/>
          <w:b/>
          <w:spacing w:val="1"/>
        </w:rPr>
      </w:pPr>
    </w:p>
    <w:p w14:paraId="4C8B9831" w14:textId="77777777" w:rsidR="00D15D90" w:rsidRPr="009756AD" w:rsidRDefault="00D15D90" w:rsidP="00D15D90">
      <w:pPr>
        <w:pStyle w:val="ListParagraph"/>
        <w:numPr>
          <w:ilvl w:val="0"/>
          <w:numId w:val="71"/>
        </w:numPr>
        <w:spacing w:after="0" w:line="360" w:lineRule="auto"/>
        <w:ind w:left="567" w:hanging="284"/>
        <w:rPr>
          <w:rFonts w:ascii="Arial" w:eastAsia="Arial" w:hAnsi="Arial" w:cs="Arial"/>
          <w:sz w:val="24"/>
          <w:szCs w:val="24"/>
        </w:rPr>
      </w:pPr>
      <w:r w:rsidRPr="009756AD">
        <w:rPr>
          <w:rFonts w:ascii="Arial" w:eastAsia="Arial" w:hAnsi="Arial" w:cs="Arial"/>
          <w:sz w:val="24"/>
          <w:szCs w:val="24"/>
        </w:rPr>
        <w:t>F</w:t>
      </w:r>
      <w:r w:rsidRPr="009756AD">
        <w:rPr>
          <w:rFonts w:ascii="Arial" w:eastAsia="Arial" w:hAnsi="Arial" w:cs="Arial"/>
          <w:spacing w:val="-1"/>
          <w:sz w:val="24"/>
          <w:szCs w:val="24"/>
        </w:rPr>
        <w:t>i</w:t>
      </w:r>
      <w:r w:rsidRPr="009756AD">
        <w:rPr>
          <w:rFonts w:ascii="Arial" w:eastAsia="Arial" w:hAnsi="Arial" w:cs="Arial"/>
          <w:sz w:val="24"/>
          <w:szCs w:val="24"/>
        </w:rPr>
        <w:t xml:space="preserve">re </w:t>
      </w:r>
      <w:r w:rsidRPr="009756AD">
        <w:rPr>
          <w:rFonts w:ascii="Arial" w:eastAsia="Arial" w:hAnsi="Arial" w:cs="Arial"/>
          <w:spacing w:val="1"/>
          <w:sz w:val="24"/>
          <w:szCs w:val="24"/>
        </w:rPr>
        <w:t>an</w:t>
      </w:r>
      <w:r w:rsidRPr="009756AD">
        <w:rPr>
          <w:rFonts w:ascii="Arial" w:eastAsia="Arial" w:hAnsi="Arial" w:cs="Arial"/>
          <w:sz w:val="24"/>
          <w:szCs w:val="24"/>
        </w:rPr>
        <w:t>d</w:t>
      </w:r>
      <w:r w:rsidRPr="009756AD">
        <w:rPr>
          <w:rFonts w:ascii="Arial" w:eastAsia="Arial" w:hAnsi="Arial" w:cs="Arial"/>
          <w:spacing w:val="1"/>
          <w:sz w:val="24"/>
          <w:szCs w:val="24"/>
        </w:rPr>
        <w:t xml:space="preserve"> </w:t>
      </w:r>
      <w:r w:rsidRPr="009756AD">
        <w:rPr>
          <w:rFonts w:ascii="Arial" w:eastAsia="Arial" w:hAnsi="Arial" w:cs="Arial"/>
          <w:sz w:val="24"/>
          <w:szCs w:val="24"/>
        </w:rPr>
        <w:t>R</w:t>
      </w:r>
      <w:r w:rsidRPr="009756AD">
        <w:rPr>
          <w:rFonts w:ascii="Arial" w:eastAsia="Arial" w:hAnsi="Arial" w:cs="Arial"/>
          <w:spacing w:val="1"/>
          <w:sz w:val="24"/>
          <w:szCs w:val="24"/>
        </w:rPr>
        <w:t>e</w:t>
      </w:r>
      <w:r w:rsidRPr="009756AD">
        <w:rPr>
          <w:rFonts w:ascii="Arial" w:eastAsia="Arial" w:hAnsi="Arial" w:cs="Arial"/>
          <w:sz w:val="24"/>
          <w:szCs w:val="24"/>
        </w:rPr>
        <w:t>s</w:t>
      </w:r>
      <w:r w:rsidRPr="009756AD">
        <w:rPr>
          <w:rFonts w:ascii="Arial" w:eastAsia="Arial" w:hAnsi="Arial" w:cs="Arial"/>
          <w:spacing w:val="-2"/>
          <w:sz w:val="24"/>
          <w:szCs w:val="24"/>
        </w:rPr>
        <w:t>c</w:t>
      </w:r>
      <w:r w:rsidRPr="009756AD">
        <w:rPr>
          <w:rFonts w:ascii="Arial" w:eastAsia="Arial" w:hAnsi="Arial" w:cs="Arial"/>
          <w:spacing w:val="1"/>
          <w:sz w:val="24"/>
          <w:szCs w:val="24"/>
        </w:rPr>
        <w:t>u</w:t>
      </w:r>
      <w:r w:rsidRPr="009756AD">
        <w:rPr>
          <w:rFonts w:ascii="Arial" w:eastAsia="Arial" w:hAnsi="Arial" w:cs="Arial"/>
          <w:sz w:val="24"/>
          <w:szCs w:val="24"/>
        </w:rPr>
        <w:t>e</w:t>
      </w:r>
    </w:p>
    <w:p w14:paraId="225A73D5" w14:textId="77777777" w:rsidR="00D15D90" w:rsidRPr="009756AD" w:rsidRDefault="00D15D90" w:rsidP="00D15D90">
      <w:pPr>
        <w:pStyle w:val="ListParagraph"/>
        <w:numPr>
          <w:ilvl w:val="0"/>
          <w:numId w:val="71"/>
        </w:numPr>
        <w:spacing w:after="0" w:line="360" w:lineRule="auto"/>
        <w:ind w:left="567" w:hanging="284"/>
        <w:rPr>
          <w:rFonts w:ascii="Arial" w:eastAsia="Arial" w:hAnsi="Arial" w:cs="Arial"/>
          <w:sz w:val="24"/>
          <w:szCs w:val="24"/>
        </w:rPr>
      </w:pPr>
      <w:r w:rsidRPr="009756AD">
        <w:rPr>
          <w:rFonts w:ascii="Arial" w:eastAsia="Arial" w:hAnsi="Arial" w:cs="Arial"/>
          <w:sz w:val="24"/>
          <w:szCs w:val="24"/>
        </w:rPr>
        <w:t>Co</w:t>
      </w:r>
      <w:r w:rsidRPr="009756AD">
        <w:rPr>
          <w:rFonts w:ascii="Arial" w:eastAsia="Arial" w:hAnsi="Arial" w:cs="Arial"/>
          <w:spacing w:val="2"/>
          <w:sz w:val="24"/>
          <w:szCs w:val="24"/>
        </w:rPr>
        <w:t>m</w:t>
      </w:r>
      <w:r w:rsidRPr="009756AD">
        <w:rPr>
          <w:rFonts w:ascii="Arial" w:eastAsia="Arial" w:hAnsi="Arial" w:cs="Arial"/>
          <w:spacing w:val="-1"/>
          <w:sz w:val="24"/>
          <w:szCs w:val="24"/>
        </w:rPr>
        <w:t>p</w:t>
      </w:r>
      <w:r w:rsidRPr="009756AD">
        <w:rPr>
          <w:rFonts w:ascii="Arial" w:eastAsia="Arial" w:hAnsi="Arial" w:cs="Arial"/>
          <w:spacing w:val="1"/>
          <w:sz w:val="24"/>
          <w:szCs w:val="24"/>
        </w:rPr>
        <w:t>u</w:t>
      </w:r>
      <w:r w:rsidRPr="009756AD">
        <w:rPr>
          <w:rFonts w:ascii="Arial" w:eastAsia="Arial" w:hAnsi="Arial" w:cs="Arial"/>
          <w:sz w:val="24"/>
          <w:szCs w:val="24"/>
        </w:rPr>
        <w:t>lsory</w:t>
      </w:r>
      <w:r w:rsidRPr="009756AD">
        <w:rPr>
          <w:rFonts w:ascii="Arial" w:eastAsia="Arial" w:hAnsi="Arial" w:cs="Arial"/>
          <w:spacing w:val="-2"/>
          <w:sz w:val="24"/>
          <w:szCs w:val="24"/>
        </w:rPr>
        <w:t xml:space="preserve"> p</w:t>
      </w:r>
      <w:r w:rsidRPr="009756AD">
        <w:rPr>
          <w:rFonts w:ascii="Arial" w:eastAsia="Arial" w:hAnsi="Arial" w:cs="Arial"/>
          <w:spacing w:val="1"/>
          <w:sz w:val="24"/>
          <w:szCs w:val="24"/>
        </w:rPr>
        <w:t>u</w:t>
      </w:r>
      <w:r w:rsidRPr="009756AD">
        <w:rPr>
          <w:rFonts w:ascii="Arial" w:eastAsia="Arial" w:hAnsi="Arial" w:cs="Arial"/>
          <w:sz w:val="24"/>
          <w:szCs w:val="24"/>
        </w:rPr>
        <w:t>rch</w:t>
      </w:r>
      <w:r w:rsidRPr="009756AD">
        <w:rPr>
          <w:rFonts w:ascii="Arial" w:eastAsia="Arial" w:hAnsi="Arial" w:cs="Arial"/>
          <w:spacing w:val="1"/>
          <w:sz w:val="24"/>
          <w:szCs w:val="24"/>
        </w:rPr>
        <w:t>a</w:t>
      </w:r>
      <w:r w:rsidRPr="009756AD">
        <w:rPr>
          <w:rFonts w:ascii="Arial" w:eastAsia="Arial" w:hAnsi="Arial" w:cs="Arial"/>
          <w:sz w:val="24"/>
          <w:szCs w:val="24"/>
        </w:rPr>
        <w:t>se</w:t>
      </w:r>
      <w:r w:rsidRPr="009756AD">
        <w:rPr>
          <w:rFonts w:ascii="Arial" w:eastAsia="Arial" w:hAnsi="Arial" w:cs="Arial"/>
          <w:spacing w:val="-1"/>
          <w:sz w:val="24"/>
          <w:szCs w:val="24"/>
        </w:rPr>
        <w:t xml:space="preserve"> o</w:t>
      </w:r>
      <w:r w:rsidRPr="009756AD">
        <w:rPr>
          <w:rFonts w:ascii="Arial" w:eastAsia="Arial" w:hAnsi="Arial" w:cs="Arial"/>
          <w:sz w:val="24"/>
          <w:szCs w:val="24"/>
        </w:rPr>
        <w:t>f</w:t>
      </w:r>
      <w:r w:rsidRPr="009756AD">
        <w:rPr>
          <w:rFonts w:ascii="Arial" w:eastAsia="Arial" w:hAnsi="Arial" w:cs="Arial"/>
          <w:spacing w:val="3"/>
          <w:sz w:val="24"/>
          <w:szCs w:val="24"/>
        </w:rPr>
        <w:t xml:space="preserve"> l</w:t>
      </w:r>
      <w:r w:rsidRPr="009756AD">
        <w:rPr>
          <w:rFonts w:ascii="Arial" w:eastAsia="Arial" w:hAnsi="Arial" w:cs="Arial"/>
          <w:spacing w:val="1"/>
          <w:sz w:val="24"/>
          <w:szCs w:val="24"/>
        </w:rPr>
        <w:t>an</w:t>
      </w:r>
      <w:r w:rsidRPr="009756AD">
        <w:rPr>
          <w:rFonts w:ascii="Arial" w:eastAsia="Arial" w:hAnsi="Arial" w:cs="Arial"/>
          <w:sz w:val="24"/>
          <w:szCs w:val="24"/>
        </w:rPr>
        <w:t>d</w:t>
      </w:r>
    </w:p>
    <w:p w14:paraId="031A78AA" w14:textId="77777777" w:rsidR="00D15D90" w:rsidRPr="009756AD" w:rsidRDefault="00D15D90" w:rsidP="00D15D90">
      <w:pPr>
        <w:pStyle w:val="ListParagraph"/>
        <w:numPr>
          <w:ilvl w:val="0"/>
          <w:numId w:val="71"/>
        </w:numPr>
        <w:spacing w:after="0" w:line="360" w:lineRule="auto"/>
        <w:ind w:left="567" w:hanging="284"/>
        <w:rPr>
          <w:rFonts w:ascii="Arial" w:eastAsia="Arial" w:hAnsi="Arial" w:cs="Arial"/>
          <w:sz w:val="24"/>
          <w:szCs w:val="24"/>
        </w:rPr>
      </w:pPr>
      <w:r w:rsidRPr="009756AD">
        <w:rPr>
          <w:rFonts w:ascii="Arial" w:eastAsia="Arial" w:hAnsi="Arial" w:cs="Arial"/>
          <w:spacing w:val="-1"/>
          <w:sz w:val="24"/>
          <w:szCs w:val="24"/>
        </w:rPr>
        <w:t>M</w:t>
      </w:r>
      <w:r w:rsidRPr="009756AD">
        <w:rPr>
          <w:rFonts w:ascii="Arial" w:eastAsia="Arial" w:hAnsi="Arial" w:cs="Arial"/>
          <w:spacing w:val="1"/>
          <w:sz w:val="24"/>
          <w:szCs w:val="24"/>
        </w:rPr>
        <w:t>a</w:t>
      </w:r>
      <w:r w:rsidRPr="009756AD">
        <w:rPr>
          <w:rFonts w:ascii="Arial" w:eastAsia="Arial" w:hAnsi="Arial" w:cs="Arial"/>
          <w:spacing w:val="-2"/>
          <w:sz w:val="24"/>
          <w:szCs w:val="24"/>
        </w:rPr>
        <w:t>y</w:t>
      </w:r>
      <w:r w:rsidRPr="009756AD">
        <w:rPr>
          <w:rFonts w:ascii="Arial" w:eastAsia="Arial" w:hAnsi="Arial" w:cs="Arial"/>
          <w:spacing w:val="1"/>
          <w:sz w:val="24"/>
          <w:szCs w:val="24"/>
        </w:rPr>
        <w:t>o</w:t>
      </w:r>
      <w:r w:rsidRPr="009756AD">
        <w:rPr>
          <w:rFonts w:ascii="Arial" w:eastAsia="Arial" w:hAnsi="Arial" w:cs="Arial"/>
          <w:sz w:val="24"/>
          <w:szCs w:val="24"/>
        </w:rPr>
        <w:t xml:space="preserve">ral </w:t>
      </w:r>
      <w:r w:rsidRPr="009756AD">
        <w:rPr>
          <w:rFonts w:ascii="Arial" w:eastAsia="Arial" w:hAnsi="Arial" w:cs="Arial"/>
          <w:spacing w:val="1"/>
          <w:sz w:val="24"/>
          <w:szCs w:val="24"/>
        </w:rPr>
        <w:t>de</w:t>
      </w:r>
      <w:r w:rsidRPr="009756AD">
        <w:rPr>
          <w:rFonts w:ascii="Arial" w:eastAsia="Arial" w:hAnsi="Arial" w:cs="Arial"/>
          <w:spacing w:val="-2"/>
          <w:sz w:val="24"/>
          <w:szCs w:val="24"/>
        </w:rPr>
        <w:t>v</w:t>
      </w:r>
      <w:r w:rsidRPr="009756AD">
        <w:rPr>
          <w:rFonts w:ascii="Arial" w:eastAsia="Arial" w:hAnsi="Arial" w:cs="Arial"/>
          <w:spacing w:val="1"/>
          <w:sz w:val="24"/>
          <w:szCs w:val="24"/>
        </w:rPr>
        <w:t>e</w:t>
      </w:r>
      <w:r w:rsidRPr="009756AD">
        <w:rPr>
          <w:rFonts w:ascii="Arial" w:eastAsia="Arial" w:hAnsi="Arial" w:cs="Arial"/>
          <w:sz w:val="24"/>
          <w:szCs w:val="24"/>
        </w:rPr>
        <w:t>lo</w:t>
      </w:r>
      <w:r w:rsidRPr="009756AD">
        <w:rPr>
          <w:rFonts w:ascii="Arial" w:eastAsia="Arial" w:hAnsi="Arial" w:cs="Arial"/>
          <w:spacing w:val="1"/>
          <w:sz w:val="24"/>
          <w:szCs w:val="24"/>
        </w:rPr>
        <w:t>pm</w:t>
      </w:r>
      <w:r w:rsidRPr="009756AD">
        <w:rPr>
          <w:rFonts w:ascii="Arial" w:eastAsia="Arial" w:hAnsi="Arial" w:cs="Arial"/>
          <w:spacing w:val="-1"/>
          <w:sz w:val="24"/>
          <w:szCs w:val="24"/>
        </w:rPr>
        <w:t>e</w:t>
      </w:r>
      <w:r w:rsidRPr="009756AD">
        <w:rPr>
          <w:rFonts w:ascii="Arial" w:eastAsia="Arial" w:hAnsi="Arial" w:cs="Arial"/>
          <w:spacing w:val="1"/>
          <w:sz w:val="24"/>
          <w:szCs w:val="24"/>
        </w:rPr>
        <w:t>n</w:t>
      </w:r>
      <w:r w:rsidRPr="009756AD">
        <w:rPr>
          <w:rFonts w:ascii="Arial" w:eastAsia="Arial" w:hAnsi="Arial" w:cs="Arial"/>
          <w:sz w:val="24"/>
          <w:szCs w:val="24"/>
        </w:rPr>
        <w:t>t</w:t>
      </w:r>
      <w:r w:rsidRPr="009756AD">
        <w:rPr>
          <w:rFonts w:ascii="Arial" w:eastAsia="Arial" w:hAnsi="Arial" w:cs="Arial"/>
          <w:spacing w:val="-1"/>
          <w:sz w:val="24"/>
          <w:szCs w:val="24"/>
        </w:rPr>
        <w:t xml:space="preserve"> </w:t>
      </w:r>
      <w:r w:rsidRPr="009756AD">
        <w:rPr>
          <w:rFonts w:ascii="Arial" w:eastAsia="Arial" w:hAnsi="Arial" w:cs="Arial"/>
          <w:sz w:val="24"/>
          <w:szCs w:val="24"/>
        </w:rPr>
        <w:t>c</w:t>
      </w:r>
      <w:r w:rsidRPr="009756AD">
        <w:rPr>
          <w:rFonts w:ascii="Arial" w:eastAsia="Arial" w:hAnsi="Arial" w:cs="Arial"/>
          <w:spacing w:val="1"/>
          <w:sz w:val="24"/>
          <w:szCs w:val="24"/>
        </w:rPr>
        <w:t>o</w:t>
      </w:r>
      <w:r w:rsidRPr="009756AD">
        <w:rPr>
          <w:rFonts w:ascii="Arial" w:eastAsia="Arial" w:hAnsi="Arial" w:cs="Arial"/>
          <w:sz w:val="24"/>
          <w:szCs w:val="24"/>
        </w:rPr>
        <w:t>rp</w:t>
      </w:r>
      <w:r w:rsidRPr="009756AD">
        <w:rPr>
          <w:rFonts w:ascii="Arial" w:eastAsia="Arial" w:hAnsi="Arial" w:cs="Arial"/>
          <w:spacing w:val="1"/>
          <w:sz w:val="24"/>
          <w:szCs w:val="24"/>
        </w:rPr>
        <w:t>o</w:t>
      </w:r>
      <w:r w:rsidRPr="009756AD">
        <w:rPr>
          <w:rFonts w:ascii="Arial" w:eastAsia="Arial" w:hAnsi="Arial" w:cs="Arial"/>
          <w:sz w:val="24"/>
          <w:szCs w:val="24"/>
        </w:rPr>
        <w:t>rati</w:t>
      </w:r>
      <w:r w:rsidRPr="009756AD">
        <w:rPr>
          <w:rFonts w:ascii="Arial" w:eastAsia="Arial" w:hAnsi="Arial" w:cs="Arial"/>
          <w:spacing w:val="-1"/>
          <w:sz w:val="24"/>
          <w:szCs w:val="24"/>
        </w:rPr>
        <w:t>o</w:t>
      </w:r>
      <w:r w:rsidRPr="009756AD">
        <w:rPr>
          <w:rFonts w:ascii="Arial" w:eastAsia="Arial" w:hAnsi="Arial" w:cs="Arial"/>
          <w:spacing w:val="1"/>
          <w:sz w:val="24"/>
          <w:szCs w:val="24"/>
        </w:rPr>
        <w:t>n</w:t>
      </w:r>
      <w:r w:rsidRPr="009756AD">
        <w:rPr>
          <w:rFonts w:ascii="Arial" w:eastAsia="Arial" w:hAnsi="Arial" w:cs="Arial"/>
          <w:sz w:val="24"/>
          <w:szCs w:val="24"/>
        </w:rPr>
        <w:t>s</w:t>
      </w:r>
    </w:p>
    <w:p w14:paraId="2993D3C5" w14:textId="77777777" w:rsidR="00D15D90" w:rsidRPr="009756AD" w:rsidRDefault="00D15D90" w:rsidP="00D15D90">
      <w:pPr>
        <w:pStyle w:val="ListParagraph"/>
        <w:numPr>
          <w:ilvl w:val="0"/>
          <w:numId w:val="71"/>
        </w:numPr>
        <w:spacing w:after="0" w:line="360" w:lineRule="auto"/>
        <w:ind w:left="567" w:hanging="284"/>
        <w:rPr>
          <w:rFonts w:ascii="Arial" w:eastAsia="Arial" w:hAnsi="Arial" w:cs="Arial"/>
          <w:sz w:val="24"/>
          <w:szCs w:val="24"/>
        </w:rPr>
      </w:pPr>
      <w:r w:rsidRPr="009756AD">
        <w:rPr>
          <w:rFonts w:ascii="Arial" w:eastAsia="Arial" w:hAnsi="Arial" w:cs="Arial"/>
          <w:sz w:val="24"/>
          <w:szCs w:val="24"/>
        </w:rPr>
        <w:t>De</w:t>
      </w:r>
      <w:r w:rsidRPr="009756AD">
        <w:rPr>
          <w:rFonts w:ascii="Arial" w:eastAsia="Arial" w:hAnsi="Arial" w:cs="Arial"/>
          <w:spacing w:val="-2"/>
          <w:sz w:val="24"/>
          <w:szCs w:val="24"/>
        </w:rPr>
        <w:t>v</w:t>
      </w:r>
      <w:r w:rsidRPr="009756AD">
        <w:rPr>
          <w:rFonts w:ascii="Arial" w:eastAsia="Arial" w:hAnsi="Arial" w:cs="Arial"/>
          <w:spacing w:val="1"/>
          <w:sz w:val="24"/>
          <w:szCs w:val="24"/>
        </w:rPr>
        <w:t>e</w:t>
      </w:r>
      <w:r w:rsidRPr="009756AD">
        <w:rPr>
          <w:rFonts w:ascii="Arial" w:eastAsia="Arial" w:hAnsi="Arial" w:cs="Arial"/>
          <w:sz w:val="24"/>
          <w:szCs w:val="24"/>
        </w:rPr>
        <w:t>lo</w:t>
      </w:r>
      <w:r w:rsidRPr="009756AD">
        <w:rPr>
          <w:rFonts w:ascii="Arial" w:eastAsia="Arial" w:hAnsi="Arial" w:cs="Arial"/>
          <w:spacing w:val="1"/>
          <w:sz w:val="24"/>
          <w:szCs w:val="24"/>
        </w:rPr>
        <w:t>pm</w:t>
      </w:r>
      <w:r w:rsidRPr="009756AD">
        <w:rPr>
          <w:rFonts w:ascii="Arial" w:eastAsia="Arial" w:hAnsi="Arial" w:cs="Arial"/>
          <w:spacing w:val="-1"/>
          <w:sz w:val="24"/>
          <w:szCs w:val="24"/>
        </w:rPr>
        <w:t>e</w:t>
      </w:r>
      <w:r w:rsidRPr="009756AD">
        <w:rPr>
          <w:rFonts w:ascii="Arial" w:eastAsia="Arial" w:hAnsi="Arial" w:cs="Arial"/>
          <w:spacing w:val="1"/>
          <w:sz w:val="24"/>
          <w:szCs w:val="24"/>
        </w:rPr>
        <w:t>n</w:t>
      </w:r>
      <w:r w:rsidRPr="009756AD">
        <w:rPr>
          <w:rFonts w:ascii="Arial" w:eastAsia="Arial" w:hAnsi="Arial" w:cs="Arial"/>
          <w:sz w:val="24"/>
          <w:szCs w:val="24"/>
        </w:rPr>
        <w:t>t</w:t>
      </w:r>
      <w:r w:rsidRPr="009756AD">
        <w:rPr>
          <w:rFonts w:ascii="Arial" w:eastAsia="Arial" w:hAnsi="Arial" w:cs="Arial"/>
          <w:spacing w:val="1"/>
          <w:sz w:val="24"/>
          <w:szCs w:val="24"/>
        </w:rPr>
        <w:t xml:space="preserve"> </w:t>
      </w:r>
      <w:r w:rsidRPr="009756AD">
        <w:rPr>
          <w:rFonts w:ascii="Arial" w:eastAsia="Arial" w:hAnsi="Arial" w:cs="Arial"/>
          <w:spacing w:val="-1"/>
          <w:sz w:val="24"/>
          <w:szCs w:val="24"/>
        </w:rPr>
        <w:t>o</w:t>
      </w:r>
      <w:r w:rsidRPr="009756AD">
        <w:rPr>
          <w:rFonts w:ascii="Arial" w:eastAsia="Arial" w:hAnsi="Arial" w:cs="Arial"/>
          <w:sz w:val="24"/>
          <w:szCs w:val="24"/>
        </w:rPr>
        <w:t>f</w:t>
      </w:r>
      <w:r w:rsidRPr="009756AD">
        <w:rPr>
          <w:rFonts w:ascii="Arial" w:eastAsia="Arial" w:hAnsi="Arial" w:cs="Arial"/>
          <w:spacing w:val="1"/>
          <w:sz w:val="24"/>
          <w:szCs w:val="24"/>
        </w:rPr>
        <w:t xml:space="preserve"> </w:t>
      </w:r>
      <w:r w:rsidRPr="009756AD">
        <w:rPr>
          <w:rFonts w:ascii="Arial" w:eastAsia="Arial" w:hAnsi="Arial" w:cs="Arial"/>
          <w:sz w:val="24"/>
          <w:szCs w:val="24"/>
        </w:rPr>
        <w:t>tra</w:t>
      </w:r>
      <w:r w:rsidRPr="009756AD">
        <w:rPr>
          <w:rFonts w:ascii="Arial" w:eastAsia="Arial" w:hAnsi="Arial" w:cs="Arial"/>
          <w:spacing w:val="1"/>
          <w:sz w:val="24"/>
          <w:szCs w:val="24"/>
        </w:rPr>
        <w:t>n</w:t>
      </w:r>
      <w:r w:rsidRPr="009756AD">
        <w:rPr>
          <w:rFonts w:ascii="Arial" w:eastAsia="Arial" w:hAnsi="Arial" w:cs="Arial"/>
          <w:spacing w:val="-2"/>
          <w:sz w:val="24"/>
          <w:szCs w:val="24"/>
        </w:rPr>
        <w:t>s</w:t>
      </w:r>
      <w:r w:rsidRPr="009756AD">
        <w:rPr>
          <w:rFonts w:ascii="Arial" w:eastAsia="Arial" w:hAnsi="Arial" w:cs="Arial"/>
          <w:spacing w:val="-1"/>
          <w:sz w:val="24"/>
          <w:szCs w:val="24"/>
        </w:rPr>
        <w:t>p</w:t>
      </w:r>
      <w:r w:rsidRPr="009756AD">
        <w:rPr>
          <w:rFonts w:ascii="Arial" w:eastAsia="Arial" w:hAnsi="Arial" w:cs="Arial"/>
          <w:spacing w:val="1"/>
          <w:sz w:val="24"/>
          <w:szCs w:val="24"/>
        </w:rPr>
        <w:t>o</w:t>
      </w:r>
      <w:r w:rsidRPr="009756AD">
        <w:rPr>
          <w:rFonts w:ascii="Arial" w:eastAsia="Arial" w:hAnsi="Arial" w:cs="Arial"/>
          <w:sz w:val="24"/>
          <w:szCs w:val="24"/>
        </w:rPr>
        <w:t xml:space="preserve">rt </w:t>
      </w:r>
      <w:r w:rsidRPr="009756AD">
        <w:rPr>
          <w:rFonts w:ascii="Arial" w:eastAsia="Arial" w:hAnsi="Arial" w:cs="Arial"/>
          <w:spacing w:val="1"/>
          <w:sz w:val="24"/>
          <w:szCs w:val="24"/>
        </w:rPr>
        <w:t>po</w:t>
      </w:r>
      <w:r w:rsidRPr="009756AD">
        <w:rPr>
          <w:rFonts w:ascii="Arial" w:eastAsia="Arial" w:hAnsi="Arial" w:cs="Arial"/>
          <w:sz w:val="24"/>
          <w:szCs w:val="24"/>
        </w:rPr>
        <w:t>l</w:t>
      </w:r>
      <w:r w:rsidRPr="009756AD">
        <w:rPr>
          <w:rFonts w:ascii="Arial" w:eastAsia="Arial" w:hAnsi="Arial" w:cs="Arial"/>
          <w:spacing w:val="-1"/>
          <w:sz w:val="24"/>
          <w:szCs w:val="24"/>
        </w:rPr>
        <w:t>i</w:t>
      </w:r>
      <w:r w:rsidRPr="009756AD">
        <w:rPr>
          <w:rFonts w:ascii="Arial" w:eastAsia="Arial" w:hAnsi="Arial" w:cs="Arial"/>
          <w:sz w:val="24"/>
          <w:szCs w:val="24"/>
        </w:rPr>
        <w:t>cies</w:t>
      </w:r>
    </w:p>
    <w:p w14:paraId="27300762" w14:textId="77777777" w:rsidR="00D15D90" w:rsidRPr="009756AD" w:rsidRDefault="00D15D90" w:rsidP="00D15D90">
      <w:pPr>
        <w:pStyle w:val="ListParagraph"/>
        <w:numPr>
          <w:ilvl w:val="0"/>
          <w:numId w:val="71"/>
        </w:numPr>
        <w:spacing w:after="0" w:line="360" w:lineRule="auto"/>
        <w:ind w:left="567" w:hanging="284"/>
        <w:rPr>
          <w:rFonts w:ascii="Arial" w:eastAsia="Arial" w:hAnsi="Arial" w:cs="Arial"/>
          <w:sz w:val="24"/>
          <w:szCs w:val="24"/>
        </w:rPr>
      </w:pPr>
      <w:r w:rsidRPr="009756AD">
        <w:rPr>
          <w:rFonts w:ascii="Arial" w:eastAsia="Arial" w:hAnsi="Arial" w:cs="Arial"/>
          <w:position w:val="-1"/>
          <w:sz w:val="24"/>
          <w:szCs w:val="24"/>
        </w:rPr>
        <w:t>Pre</w:t>
      </w:r>
      <w:r w:rsidRPr="009756AD">
        <w:rPr>
          <w:rFonts w:ascii="Arial" w:eastAsia="Arial" w:hAnsi="Arial" w:cs="Arial"/>
          <w:spacing w:val="1"/>
          <w:position w:val="-1"/>
          <w:sz w:val="24"/>
          <w:szCs w:val="24"/>
        </w:rPr>
        <w:t>pa</w:t>
      </w:r>
      <w:r w:rsidRPr="009756AD">
        <w:rPr>
          <w:rFonts w:ascii="Arial" w:eastAsia="Arial" w:hAnsi="Arial" w:cs="Arial"/>
          <w:position w:val="-1"/>
          <w:sz w:val="24"/>
          <w:szCs w:val="24"/>
        </w:rPr>
        <w:t>rat</w:t>
      </w:r>
      <w:r w:rsidRPr="009756AD">
        <w:rPr>
          <w:rFonts w:ascii="Arial" w:eastAsia="Arial" w:hAnsi="Arial" w:cs="Arial"/>
          <w:spacing w:val="-2"/>
          <w:position w:val="-1"/>
          <w:sz w:val="24"/>
          <w:szCs w:val="24"/>
        </w:rPr>
        <w:t>i</w:t>
      </w:r>
      <w:r w:rsidRPr="009756AD">
        <w:rPr>
          <w:rFonts w:ascii="Arial" w:eastAsia="Arial" w:hAnsi="Arial" w:cs="Arial"/>
          <w:spacing w:val="1"/>
          <w:position w:val="-1"/>
          <w:sz w:val="24"/>
          <w:szCs w:val="24"/>
        </w:rPr>
        <w:t>on</w:t>
      </w:r>
      <w:r w:rsidRPr="009756AD">
        <w:rPr>
          <w:rFonts w:ascii="Arial" w:eastAsia="Arial" w:hAnsi="Arial" w:cs="Arial"/>
          <w:position w:val="-1"/>
          <w:sz w:val="24"/>
          <w:szCs w:val="24"/>
        </w:rPr>
        <w:t>,</w:t>
      </w:r>
      <w:r w:rsidRPr="009756AD">
        <w:rPr>
          <w:rFonts w:ascii="Arial" w:eastAsia="Arial" w:hAnsi="Arial" w:cs="Arial"/>
          <w:spacing w:val="-1"/>
          <w:position w:val="-1"/>
          <w:sz w:val="24"/>
          <w:szCs w:val="24"/>
        </w:rPr>
        <w:t xml:space="preserve"> </w:t>
      </w:r>
      <w:r w:rsidRPr="009756AD">
        <w:rPr>
          <w:rFonts w:ascii="Arial" w:eastAsia="Arial" w:hAnsi="Arial" w:cs="Arial"/>
          <w:spacing w:val="1"/>
          <w:position w:val="-1"/>
          <w:sz w:val="24"/>
          <w:szCs w:val="24"/>
        </w:rPr>
        <w:t>a</w:t>
      </w:r>
      <w:r w:rsidRPr="009756AD">
        <w:rPr>
          <w:rFonts w:ascii="Arial" w:eastAsia="Arial" w:hAnsi="Arial" w:cs="Arial"/>
          <w:position w:val="-1"/>
          <w:sz w:val="24"/>
          <w:szCs w:val="24"/>
        </w:rPr>
        <w:t>lt</w:t>
      </w:r>
      <w:r w:rsidRPr="009756AD">
        <w:rPr>
          <w:rFonts w:ascii="Arial" w:eastAsia="Arial" w:hAnsi="Arial" w:cs="Arial"/>
          <w:spacing w:val="1"/>
          <w:position w:val="-1"/>
          <w:sz w:val="24"/>
          <w:szCs w:val="24"/>
        </w:rPr>
        <w:t>e</w:t>
      </w:r>
      <w:r w:rsidRPr="009756AD">
        <w:rPr>
          <w:rFonts w:ascii="Arial" w:eastAsia="Arial" w:hAnsi="Arial" w:cs="Arial"/>
          <w:position w:val="-1"/>
          <w:sz w:val="24"/>
          <w:szCs w:val="24"/>
        </w:rPr>
        <w:t>rat</w:t>
      </w:r>
      <w:r w:rsidRPr="009756AD">
        <w:rPr>
          <w:rFonts w:ascii="Arial" w:eastAsia="Arial" w:hAnsi="Arial" w:cs="Arial"/>
          <w:spacing w:val="-2"/>
          <w:position w:val="-1"/>
          <w:sz w:val="24"/>
          <w:szCs w:val="24"/>
        </w:rPr>
        <w:t>i</w:t>
      </w:r>
      <w:r w:rsidRPr="009756AD">
        <w:rPr>
          <w:rFonts w:ascii="Arial" w:eastAsia="Arial" w:hAnsi="Arial" w:cs="Arial"/>
          <w:spacing w:val="1"/>
          <w:position w:val="-1"/>
          <w:sz w:val="24"/>
          <w:szCs w:val="24"/>
        </w:rPr>
        <w:t>o</w:t>
      </w:r>
      <w:r w:rsidRPr="009756AD">
        <w:rPr>
          <w:rFonts w:ascii="Arial" w:eastAsia="Arial" w:hAnsi="Arial" w:cs="Arial"/>
          <w:position w:val="-1"/>
          <w:sz w:val="24"/>
          <w:szCs w:val="24"/>
        </w:rPr>
        <w:t>n</w:t>
      </w:r>
      <w:r w:rsidRPr="009756AD">
        <w:rPr>
          <w:rFonts w:ascii="Arial" w:eastAsia="Arial" w:hAnsi="Arial" w:cs="Arial"/>
          <w:spacing w:val="-1"/>
          <w:position w:val="-1"/>
          <w:sz w:val="24"/>
          <w:szCs w:val="24"/>
        </w:rPr>
        <w:t xml:space="preserve"> </w:t>
      </w:r>
      <w:r w:rsidRPr="009756AD">
        <w:rPr>
          <w:rFonts w:ascii="Arial" w:eastAsia="Arial" w:hAnsi="Arial" w:cs="Arial"/>
          <w:spacing w:val="1"/>
          <w:position w:val="-1"/>
          <w:sz w:val="24"/>
          <w:szCs w:val="24"/>
        </w:rPr>
        <w:t>an</w:t>
      </w:r>
      <w:r w:rsidRPr="009756AD">
        <w:rPr>
          <w:rFonts w:ascii="Arial" w:eastAsia="Arial" w:hAnsi="Arial" w:cs="Arial"/>
          <w:position w:val="-1"/>
          <w:sz w:val="24"/>
          <w:szCs w:val="24"/>
        </w:rPr>
        <w:t>d</w:t>
      </w:r>
      <w:r w:rsidRPr="009756AD">
        <w:rPr>
          <w:rFonts w:ascii="Arial" w:eastAsia="Arial" w:hAnsi="Arial" w:cs="Arial"/>
          <w:spacing w:val="1"/>
          <w:position w:val="-1"/>
          <w:sz w:val="24"/>
          <w:szCs w:val="24"/>
        </w:rPr>
        <w:t xml:space="preserve"> </w:t>
      </w:r>
      <w:r w:rsidRPr="009756AD">
        <w:rPr>
          <w:rFonts w:ascii="Arial" w:eastAsia="Arial" w:hAnsi="Arial" w:cs="Arial"/>
          <w:position w:val="-1"/>
          <w:sz w:val="24"/>
          <w:szCs w:val="24"/>
        </w:rPr>
        <w:t>r</w:t>
      </w:r>
      <w:r w:rsidRPr="009756AD">
        <w:rPr>
          <w:rFonts w:ascii="Arial" w:eastAsia="Arial" w:hAnsi="Arial" w:cs="Arial"/>
          <w:spacing w:val="-2"/>
          <w:position w:val="-1"/>
          <w:sz w:val="24"/>
          <w:szCs w:val="24"/>
        </w:rPr>
        <w:t>e</w:t>
      </w:r>
      <w:r w:rsidRPr="009756AD">
        <w:rPr>
          <w:rFonts w:ascii="Arial" w:eastAsia="Arial" w:hAnsi="Arial" w:cs="Arial"/>
          <w:spacing w:val="1"/>
          <w:position w:val="-1"/>
          <w:sz w:val="24"/>
          <w:szCs w:val="24"/>
        </w:rPr>
        <w:t>p</w:t>
      </w:r>
      <w:r w:rsidRPr="009756AD">
        <w:rPr>
          <w:rFonts w:ascii="Arial" w:eastAsia="Arial" w:hAnsi="Arial" w:cs="Arial"/>
          <w:position w:val="-1"/>
          <w:sz w:val="24"/>
          <w:szCs w:val="24"/>
        </w:rPr>
        <w:t>lac</w:t>
      </w:r>
      <w:r w:rsidRPr="009756AD">
        <w:rPr>
          <w:rFonts w:ascii="Arial" w:eastAsia="Arial" w:hAnsi="Arial" w:cs="Arial"/>
          <w:spacing w:val="-1"/>
          <w:position w:val="-1"/>
          <w:sz w:val="24"/>
          <w:szCs w:val="24"/>
        </w:rPr>
        <w:t>e</w:t>
      </w:r>
      <w:r w:rsidRPr="009756AD">
        <w:rPr>
          <w:rFonts w:ascii="Arial" w:eastAsia="Arial" w:hAnsi="Arial" w:cs="Arial"/>
          <w:spacing w:val="1"/>
          <w:position w:val="-1"/>
          <w:sz w:val="24"/>
          <w:szCs w:val="24"/>
        </w:rPr>
        <w:t>m</w:t>
      </w:r>
      <w:r w:rsidRPr="009756AD">
        <w:rPr>
          <w:rFonts w:ascii="Arial" w:eastAsia="Arial" w:hAnsi="Arial" w:cs="Arial"/>
          <w:spacing w:val="-1"/>
          <w:position w:val="-1"/>
          <w:sz w:val="24"/>
          <w:szCs w:val="24"/>
        </w:rPr>
        <w:t>e</w:t>
      </w:r>
      <w:r w:rsidRPr="009756AD">
        <w:rPr>
          <w:rFonts w:ascii="Arial" w:eastAsia="Arial" w:hAnsi="Arial" w:cs="Arial"/>
          <w:spacing w:val="1"/>
          <w:position w:val="-1"/>
          <w:sz w:val="24"/>
          <w:szCs w:val="24"/>
        </w:rPr>
        <w:t>n</w:t>
      </w:r>
      <w:r w:rsidRPr="009756AD">
        <w:rPr>
          <w:rFonts w:ascii="Arial" w:eastAsia="Arial" w:hAnsi="Arial" w:cs="Arial"/>
          <w:position w:val="-1"/>
          <w:sz w:val="24"/>
          <w:szCs w:val="24"/>
        </w:rPr>
        <w:t>t</w:t>
      </w:r>
      <w:r w:rsidRPr="009756AD">
        <w:rPr>
          <w:rFonts w:ascii="Arial" w:eastAsia="Arial" w:hAnsi="Arial" w:cs="Arial"/>
          <w:spacing w:val="-1"/>
          <w:position w:val="-1"/>
          <w:sz w:val="24"/>
          <w:szCs w:val="24"/>
        </w:rPr>
        <w:t xml:space="preserve"> o</w:t>
      </w:r>
      <w:r w:rsidRPr="009756AD">
        <w:rPr>
          <w:rFonts w:ascii="Arial" w:eastAsia="Arial" w:hAnsi="Arial" w:cs="Arial"/>
          <w:position w:val="-1"/>
          <w:sz w:val="24"/>
          <w:szCs w:val="24"/>
        </w:rPr>
        <w:t>f</w:t>
      </w:r>
      <w:r w:rsidRPr="009756AD">
        <w:rPr>
          <w:rFonts w:ascii="Arial" w:eastAsia="Arial" w:hAnsi="Arial" w:cs="Arial"/>
          <w:spacing w:val="3"/>
          <w:position w:val="-1"/>
          <w:sz w:val="24"/>
          <w:szCs w:val="24"/>
        </w:rPr>
        <w:t xml:space="preserve"> </w:t>
      </w:r>
      <w:r w:rsidRPr="009756AD">
        <w:rPr>
          <w:rFonts w:ascii="Arial" w:eastAsia="Arial" w:hAnsi="Arial" w:cs="Arial"/>
          <w:spacing w:val="-1"/>
          <w:position w:val="-1"/>
          <w:sz w:val="24"/>
          <w:szCs w:val="24"/>
        </w:rPr>
        <w:t>t</w:t>
      </w:r>
      <w:r w:rsidRPr="009756AD">
        <w:rPr>
          <w:rFonts w:ascii="Arial" w:eastAsia="Arial" w:hAnsi="Arial" w:cs="Arial"/>
          <w:spacing w:val="1"/>
          <w:position w:val="-1"/>
          <w:sz w:val="24"/>
          <w:szCs w:val="24"/>
        </w:rPr>
        <w:t>h</w:t>
      </w:r>
      <w:r w:rsidRPr="009756AD">
        <w:rPr>
          <w:rFonts w:ascii="Arial" w:eastAsia="Arial" w:hAnsi="Arial" w:cs="Arial"/>
          <w:position w:val="-1"/>
          <w:sz w:val="24"/>
          <w:szCs w:val="24"/>
        </w:rPr>
        <w:t>e</w:t>
      </w:r>
      <w:r w:rsidRPr="009756AD">
        <w:rPr>
          <w:rFonts w:ascii="Arial" w:eastAsia="Arial" w:hAnsi="Arial" w:cs="Arial"/>
          <w:spacing w:val="-1"/>
          <w:position w:val="-1"/>
          <w:sz w:val="24"/>
          <w:szCs w:val="24"/>
        </w:rPr>
        <w:t xml:space="preserve"> </w:t>
      </w:r>
      <w:r w:rsidRPr="009756AD">
        <w:rPr>
          <w:rFonts w:ascii="Arial" w:eastAsia="Arial" w:hAnsi="Arial" w:cs="Arial"/>
          <w:spacing w:val="1"/>
          <w:position w:val="-1"/>
          <w:sz w:val="24"/>
          <w:szCs w:val="24"/>
        </w:rPr>
        <w:t>Lo</w:t>
      </w:r>
      <w:r w:rsidRPr="009756AD">
        <w:rPr>
          <w:rFonts w:ascii="Arial" w:eastAsia="Arial" w:hAnsi="Arial" w:cs="Arial"/>
          <w:position w:val="-1"/>
          <w:sz w:val="24"/>
          <w:szCs w:val="24"/>
        </w:rPr>
        <w:t>c</w:t>
      </w:r>
      <w:r w:rsidRPr="009756AD">
        <w:rPr>
          <w:rFonts w:ascii="Arial" w:eastAsia="Arial" w:hAnsi="Arial" w:cs="Arial"/>
          <w:spacing w:val="1"/>
          <w:position w:val="-1"/>
          <w:sz w:val="24"/>
          <w:szCs w:val="24"/>
        </w:rPr>
        <w:t>a</w:t>
      </w:r>
      <w:r w:rsidRPr="009756AD">
        <w:rPr>
          <w:rFonts w:ascii="Arial" w:eastAsia="Arial" w:hAnsi="Arial" w:cs="Arial"/>
          <w:position w:val="-1"/>
          <w:sz w:val="24"/>
          <w:szCs w:val="24"/>
        </w:rPr>
        <w:t>l</w:t>
      </w:r>
      <w:r w:rsidRPr="009756AD">
        <w:rPr>
          <w:rFonts w:ascii="Arial" w:eastAsia="Arial" w:hAnsi="Arial" w:cs="Arial"/>
          <w:spacing w:val="-2"/>
          <w:position w:val="-1"/>
          <w:sz w:val="24"/>
          <w:szCs w:val="24"/>
        </w:rPr>
        <w:t xml:space="preserve"> </w:t>
      </w:r>
      <w:r w:rsidRPr="009756AD">
        <w:rPr>
          <w:rFonts w:ascii="Arial" w:eastAsia="Arial" w:hAnsi="Arial" w:cs="Arial"/>
          <w:spacing w:val="2"/>
          <w:position w:val="-1"/>
          <w:sz w:val="24"/>
          <w:szCs w:val="24"/>
        </w:rPr>
        <w:t>T</w:t>
      </w:r>
      <w:r w:rsidRPr="009756AD">
        <w:rPr>
          <w:rFonts w:ascii="Arial" w:eastAsia="Arial" w:hAnsi="Arial" w:cs="Arial"/>
          <w:position w:val="-1"/>
          <w:sz w:val="24"/>
          <w:szCs w:val="24"/>
        </w:rPr>
        <w:t>r</w:t>
      </w:r>
      <w:r w:rsidRPr="009756AD">
        <w:rPr>
          <w:rFonts w:ascii="Arial" w:eastAsia="Arial" w:hAnsi="Arial" w:cs="Arial"/>
          <w:spacing w:val="-2"/>
          <w:position w:val="-1"/>
          <w:sz w:val="24"/>
          <w:szCs w:val="24"/>
        </w:rPr>
        <w:t>a</w:t>
      </w:r>
      <w:r w:rsidRPr="009756AD">
        <w:rPr>
          <w:rFonts w:ascii="Arial" w:eastAsia="Arial" w:hAnsi="Arial" w:cs="Arial"/>
          <w:spacing w:val="1"/>
          <w:position w:val="-1"/>
          <w:sz w:val="24"/>
          <w:szCs w:val="24"/>
        </w:rPr>
        <w:t>n</w:t>
      </w:r>
      <w:r w:rsidRPr="009756AD">
        <w:rPr>
          <w:rFonts w:ascii="Arial" w:eastAsia="Arial" w:hAnsi="Arial" w:cs="Arial"/>
          <w:position w:val="-1"/>
          <w:sz w:val="24"/>
          <w:szCs w:val="24"/>
        </w:rPr>
        <w:t>s</w:t>
      </w:r>
      <w:r w:rsidRPr="009756AD">
        <w:rPr>
          <w:rFonts w:ascii="Arial" w:eastAsia="Arial" w:hAnsi="Arial" w:cs="Arial"/>
          <w:spacing w:val="1"/>
          <w:position w:val="-1"/>
          <w:sz w:val="24"/>
          <w:szCs w:val="24"/>
        </w:rPr>
        <w:t>po</w:t>
      </w:r>
      <w:r w:rsidRPr="009756AD">
        <w:rPr>
          <w:rFonts w:ascii="Arial" w:eastAsia="Arial" w:hAnsi="Arial" w:cs="Arial"/>
          <w:position w:val="-1"/>
          <w:sz w:val="24"/>
          <w:szCs w:val="24"/>
        </w:rPr>
        <w:t>rt</w:t>
      </w:r>
      <w:r w:rsidRPr="009756AD">
        <w:rPr>
          <w:rFonts w:ascii="Arial" w:eastAsia="Arial" w:hAnsi="Arial" w:cs="Arial"/>
          <w:spacing w:val="-2"/>
          <w:position w:val="-1"/>
          <w:sz w:val="24"/>
          <w:szCs w:val="24"/>
        </w:rPr>
        <w:t xml:space="preserve"> </w:t>
      </w:r>
      <w:r w:rsidRPr="009756AD">
        <w:rPr>
          <w:rFonts w:ascii="Arial" w:eastAsia="Arial" w:hAnsi="Arial" w:cs="Arial"/>
          <w:spacing w:val="1"/>
          <w:position w:val="-1"/>
          <w:sz w:val="24"/>
          <w:szCs w:val="24"/>
        </w:rPr>
        <w:t>P</w:t>
      </w:r>
      <w:r w:rsidRPr="009756AD">
        <w:rPr>
          <w:rFonts w:ascii="Arial" w:eastAsia="Arial" w:hAnsi="Arial" w:cs="Arial"/>
          <w:position w:val="-1"/>
          <w:sz w:val="24"/>
          <w:szCs w:val="24"/>
        </w:rPr>
        <w:t>lan</w:t>
      </w:r>
    </w:p>
    <w:p w14:paraId="78980AC6" w14:textId="77777777" w:rsidR="00D15D90" w:rsidRPr="009756AD" w:rsidRDefault="00D15D90" w:rsidP="00D15D90">
      <w:pPr>
        <w:pStyle w:val="ListParagraph"/>
        <w:numPr>
          <w:ilvl w:val="0"/>
          <w:numId w:val="71"/>
        </w:numPr>
        <w:spacing w:after="0" w:line="360" w:lineRule="auto"/>
        <w:ind w:left="567" w:hanging="284"/>
        <w:rPr>
          <w:rFonts w:ascii="Arial" w:eastAsia="Arial" w:hAnsi="Arial" w:cs="Arial"/>
          <w:sz w:val="24"/>
          <w:szCs w:val="24"/>
        </w:rPr>
      </w:pPr>
      <w:r w:rsidRPr="009756AD">
        <w:rPr>
          <w:rFonts w:ascii="Arial" w:eastAsia="Arial" w:hAnsi="Arial" w:cs="Arial"/>
          <w:sz w:val="24"/>
          <w:szCs w:val="24"/>
        </w:rPr>
        <w:t>Gra</w:t>
      </w:r>
      <w:r w:rsidRPr="009756AD">
        <w:rPr>
          <w:rFonts w:ascii="Arial" w:eastAsia="Arial" w:hAnsi="Arial" w:cs="Arial"/>
          <w:spacing w:val="1"/>
          <w:sz w:val="24"/>
          <w:szCs w:val="24"/>
        </w:rPr>
        <w:t>n</w:t>
      </w:r>
      <w:r w:rsidRPr="009756AD">
        <w:rPr>
          <w:rFonts w:ascii="Arial" w:eastAsia="Arial" w:hAnsi="Arial" w:cs="Arial"/>
          <w:sz w:val="24"/>
          <w:szCs w:val="24"/>
        </w:rPr>
        <w:t>ts</w:t>
      </w:r>
      <w:r w:rsidRPr="009756AD">
        <w:rPr>
          <w:rFonts w:ascii="Arial" w:eastAsia="Arial" w:hAnsi="Arial" w:cs="Arial"/>
          <w:spacing w:val="1"/>
          <w:sz w:val="24"/>
          <w:szCs w:val="24"/>
        </w:rPr>
        <w:t xml:space="preserve"> </w:t>
      </w:r>
      <w:r w:rsidRPr="009756AD">
        <w:rPr>
          <w:rFonts w:ascii="Arial" w:eastAsia="Arial" w:hAnsi="Arial" w:cs="Arial"/>
          <w:spacing w:val="-2"/>
          <w:sz w:val="24"/>
          <w:szCs w:val="24"/>
        </w:rPr>
        <w:t>t</w:t>
      </w:r>
      <w:r w:rsidRPr="009756AD">
        <w:rPr>
          <w:rFonts w:ascii="Arial" w:eastAsia="Arial" w:hAnsi="Arial" w:cs="Arial"/>
          <w:sz w:val="24"/>
          <w:szCs w:val="24"/>
        </w:rPr>
        <w:t>o</w:t>
      </w:r>
      <w:r w:rsidRPr="009756AD">
        <w:rPr>
          <w:rFonts w:ascii="Arial" w:eastAsia="Arial" w:hAnsi="Arial" w:cs="Arial"/>
          <w:spacing w:val="1"/>
          <w:sz w:val="24"/>
          <w:szCs w:val="24"/>
        </w:rPr>
        <w:t xml:space="preserve"> </w:t>
      </w:r>
      <w:r w:rsidRPr="009756AD">
        <w:rPr>
          <w:rFonts w:ascii="Arial" w:eastAsia="Arial" w:hAnsi="Arial" w:cs="Arial"/>
          <w:spacing w:val="-1"/>
          <w:sz w:val="24"/>
          <w:szCs w:val="24"/>
        </w:rPr>
        <w:t>b</w:t>
      </w:r>
      <w:r w:rsidRPr="009756AD">
        <w:rPr>
          <w:rFonts w:ascii="Arial" w:eastAsia="Arial" w:hAnsi="Arial" w:cs="Arial"/>
          <w:spacing w:val="1"/>
          <w:sz w:val="24"/>
          <w:szCs w:val="24"/>
        </w:rPr>
        <w:t>u</w:t>
      </w:r>
      <w:r w:rsidRPr="009756AD">
        <w:rPr>
          <w:rFonts w:ascii="Arial" w:eastAsia="Arial" w:hAnsi="Arial" w:cs="Arial"/>
          <w:sz w:val="24"/>
          <w:szCs w:val="24"/>
        </w:rPr>
        <w:t>s s</w:t>
      </w:r>
      <w:r w:rsidRPr="009756AD">
        <w:rPr>
          <w:rFonts w:ascii="Arial" w:eastAsia="Arial" w:hAnsi="Arial" w:cs="Arial"/>
          <w:spacing w:val="1"/>
          <w:sz w:val="24"/>
          <w:szCs w:val="24"/>
        </w:rPr>
        <w:t>e</w:t>
      </w:r>
      <w:r w:rsidRPr="009756AD">
        <w:rPr>
          <w:rFonts w:ascii="Arial" w:eastAsia="Arial" w:hAnsi="Arial" w:cs="Arial"/>
          <w:sz w:val="24"/>
          <w:szCs w:val="24"/>
        </w:rPr>
        <w:t>r</w:t>
      </w:r>
      <w:r w:rsidRPr="009756AD">
        <w:rPr>
          <w:rFonts w:ascii="Arial" w:eastAsia="Arial" w:hAnsi="Arial" w:cs="Arial"/>
          <w:spacing w:val="-3"/>
          <w:sz w:val="24"/>
          <w:szCs w:val="24"/>
        </w:rPr>
        <w:t>v</w:t>
      </w:r>
      <w:r w:rsidRPr="009756AD">
        <w:rPr>
          <w:rFonts w:ascii="Arial" w:eastAsia="Arial" w:hAnsi="Arial" w:cs="Arial"/>
          <w:sz w:val="24"/>
          <w:szCs w:val="24"/>
        </w:rPr>
        <w:t>ice</w:t>
      </w:r>
      <w:r w:rsidRPr="009756AD">
        <w:rPr>
          <w:rFonts w:ascii="Arial" w:eastAsia="Arial" w:hAnsi="Arial" w:cs="Arial"/>
          <w:spacing w:val="3"/>
          <w:sz w:val="24"/>
          <w:szCs w:val="24"/>
        </w:rPr>
        <w:t xml:space="preserve"> </w:t>
      </w:r>
      <w:r w:rsidRPr="009756AD">
        <w:rPr>
          <w:rFonts w:ascii="Arial" w:eastAsia="Arial" w:hAnsi="Arial" w:cs="Arial"/>
          <w:spacing w:val="1"/>
          <w:sz w:val="24"/>
          <w:szCs w:val="24"/>
        </w:rPr>
        <w:t>ope</w:t>
      </w:r>
      <w:r w:rsidRPr="009756AD">
        <w:rPr>
          <w:rFonts w:ascii="Arial" w:eastAsia="Arial" w:hAnsi="Arial" w:cs="Arial"/>
          <w:sz w:val="24"/>
          <w:szCs w:val="24"/>
        </w:rPr>
        <w:t>ra</w:t>
      </w:r>
      <w:r w:rsidRPr="009756AD">
        <w:rPr>
          <w:rFonts w:ascii="Arial" w:eastAsia="Arial" w:hAnsi="Arial" w:cs="Arial"/>
          <w:spacing w:val="-2"/>
          <w:sz w:val="24"/>
          <w:szCs w:val="24"/>
        </w:rPr>
        <w:t>t</w:t>
      </w:r>
      <w:r w:rsidRPr="009756AD">
        <w:rPr>
          <w:rFonts w:ascii="Arial" w:eastAsia="Arial" w:hAnsi="Arial" w:cs="Arial"/>
          <w:spacing w:val="1"/>
          <w:sz w:val="24"/>
          <w:szCs w:val="24"/>
        </w:rPr>
        <w:t>o</w:t>
      </w:r>
      <w:r w:rsidRPr="009756AD">
        <w:rPr>
          <w:rFonts w:ascii="Arial" w:eastAsia="Arial" w:hAnsi="Arial" w:cs="Arial"/>
          <w:sz w:val="24"/>
          <w:szCs w:val="24"/>
        </w:rPr>
        <w:t>rs</w:t>
      </w:r>
    </w:p>
    <w:p w14:paraId="7BE23567" w14:textId="77777777" w:rsidR="00D15D90" w:rsidRPr="009756AD" w:rsidRDefault="00D15D90" w:rsidP="00D15D90">
      <w:pPr>
        <w:pStyle w:val="ListParagraph"/>
        <w:numPr>
          <w:ilvl w:val="0"/>
          <w:numId w:val="71"/>
        </w:numPr>
        <w:spacing w:after="0" w:line="360" w:lineRule="auto"/>
        <w:ind w:left="567" w:hanging="284"/>
        <w:rPr>
          <w:rFonts w:ascii="Arial" w:eastAsia="Arial" w:hAnsi="Arial" w:cs="Arial"/>
          <w:sz w:val="24"/>
          <w:szCs w:val="24"/>
        </w:rPr>
      </w:pPr>
      <w:r w:rsidRPr="009756AD">
        <w:rPr>
          <w:rFonts w:ascii="Arial" w:eastAsia="Arial" w:hAnsi="Arial" w:cs="Arial"/>
          <w:sz w:val="24"/>
          <w:szCs w:val="24"/>
        </w:rPr>
        <w:t>Gra</w:t>
      </w:r>
      <w:r w:rsidRPr="009756AD">
        <w:rPr>
          <w:rFonts w:ascii="Arial" w:eastAsia="Arial" w:hAnsi="Arial" w:cs="Arial"/>
          <w:spacing w:val="1"/>
          <w:sz w:val="24"/>
          <w:szCs w:val="24"/>
        </w:rPr>
        <w:t>n</w:t>
      </w:r>
      <w:r w:rsidRPr="009756AD">
        <w:rPr>
          <w:rFonts w:ascii="Arial" w:eastAsia="Arial" w:hAnsi="Arial" w:cs="Arial"/>
          <w:sz w:val="24"/>
          <w:szCs w:val="24"/>
        </w:rPr>
        <w:t>ts</w:t>
      </w:r>
      <w:r w:rsidRPr="009756AD">
        <w:rPr>
          <w:rFonts w:ascii="Arial" w:eastAsia="Arial" w:hAnsi="Arial" w:cs="Arial"/>
          <w:spacing w:val="1"/>
          <w:sz w:val="24"/>
          <w:szCs w:val="24"/>
        </w:rPr>
        <w:t xml:space="preserve"> </w:t>
      </w:r>
      <w:r w:rsidRPr="009756AD">
        <w:rPr>
          <w:rFonts w:ascii="Arial" w:eastAsia="Arial" w:hAnsi="Arial" w:cs="Arial"/>
          <w:spacing w:val="-2"/>
          <w:sz w:val="24"/>
          <w:szCs w:val="24"/>
        </w:rPr>
        <w:t>t</w:t>
      </w:r>
      <w:r w:rsidRPr="009756AD">
        <w:rPr>
          <w:rFonts w:ascii="Arial" w:eastAsia="Arial" w:hAnsi="Arial" w:cs="Arial"/>
          <w:sz w:val="24"/>
          <w:szCs w:val="24"/>
        </w:rPr>
        <w:t>o</w:t>
      </w:r>
      <w:r w:rsidRPr="009756AD">
        <w:rPr>
          <w:rFonts w:ascii="Arial" w:eastAsia="Arial" w:hAnsi="Arial" w:cs="Arial"/>
          <w:spacing w:val="1"/>
          <w:sz w:val="24"/>
          <w:szCs w:val="24"/>
        </w:rPr>
        <w:t xml:space="preserve"> </w:t>
      </w:r>
      <w:r w:rsidRPr="009756AD">
        <w:rPr>
          <w:rFonts w:ascii="Arial" w:eastAsia="Arial" w:hAnsi="Arial" w:cs="Arial"/>
          <w:sz w:val="24"/>
          <w:szCs w:val="24"/>
        </w:rPr>
        <w:t>c</w:t>
      </w:r>
      <w:r w:rsidRPr="009756AD">
        <w:rPr>
          <w:rFonts w:ascii="Arial" w:eastAsia="Arial" w:hAnsi="Arial" w:cs="Arial"/>
          <w:spacing w:val="-1"/>
          <w:sz w:val="24"/>
          <w:szCs w:val="24"/>
        </w:rPr>
        <w:t>o</w:t>
      </w:r>
      <w:r w:rsidRPr="009756AD">
        <w:rPr>
          <w:rFonts w:ascii="Arial" w:eastAsia="Arial" w:hAnsi="Arial" w:cs="Arial"/>
          <w:spacing w:val="1"/>
          <w:sz w:val="24"/>
          <w:szCs w:val="24"/>
        </w:rPr>
        <w:t>n</w:t>
      </w:r>
      <w:r w:rsidRPr="009756AD">
        <w:rPr>
          <w:rFonts w:ascii="Arial" w:eastAsia="Arial" w:hAnsi="Arial" w:cs="Arial"/>
          <w:sz w:val="24"/>
          <w:szCs w:val="24"/>
        </w:rPr>
        <w:t>stit</w:t>
      </w:r>
      <w:r w:rsidRPr="009756AD">
        <w:rPr>
          <w:rFonts w:ascii="Arial" w:eastAsia="Arial" w:hAnsi="Arial" w:cs="Arial"/>
          <w:spacing w:val="-1"/>
          <w:sz w:val="24"/>
          <w:szCs w:val="24"/>
        </w:rPr>
        <w:t>u</w:t>
      </w:r>
      <w:r w:rsidRPr="009756AD">
        <w:rPr>
          <w:rFonts w:ascii="Arial" w:eastAsia="Arial" w:hAnsi="Arial" w:cs="Arial"/>
          <w:spacing w:val="1"/>
          <w:sz w:val="24"/>
          <w:szCs w:val="24"/>
        </w:rPr>
        <w:t>en</w:t>
      </w:r>
      <w:r w:rsidRPr="009756AD">
        <w:rPr>
          <w:rFonts w:ascii="Arial" w:eastAsia="Arial" w:hAnsi="Arial" w:cs="Arial"/>
          <w:sz w:val="24"/>
          <w:szCs w:val="24"/>
        </w:rPr>
        <w:t>t</w:t>
      </w:r>
      <w:r w:rsidRPr="009756AD">
        <w:rPr>
          <w:rFonts w:ascii="Arial" w:eastAsia="Arial" w:hAnsi="Arial" w:cs="Arial"/>
          <w:spacing w:val="3"/>
          <w:sz w:val="24"/>
          <w:szCs w:val="24"/>
        </w:rPr>
        <w:t xml:space="preserve"> </w:t>
      </w:r>
      <w:r w:rsidRPr="009756AD">
        <w:rPr>
          <w:rFonts w:ascii="Arial" w:eastAsia="Arial" w:hAnsi="Arial" w:cs="Arial"/>
          <w:spacing w:val="-2"/>
          <w:sz w:val="24"/>
          <w:szCs w:val="24"/>
        </w:rPr>
        <w:t>c</w:t>
      </w:r>
      <w:r w:rsidRPr="009756AD">
        <w:rPr>
          <w:rFonts w:ascii="Arial" w:eastAsia="Arial" w:hAnsi="Arial" w:cs="Arial"/>
          <w:spacing w:val="1"/>
          <w:sz w:val="24"/>
          <w:szCs w:val="24"/>
        </w:rPr>
        <w:t>oun</w:t>
      </w:r>
      <w:r w:rsidRPr="009756AD">
        <w:rPr>
          <w:rFonts w:ascii="Arial" w:eastAsia="Arial" w:hAnsi="Arial" w:cs="Arial"/>
          <w:sz w:val="24"/>
          <w:szCs w:val="24"/>
        </w:rPr>
        <w:t>ci</w:t>
      </w:r>
      <w:r w:rsidRPr="009756AD">
        <w:rPr>
          <w:rFonts w:ascii="Arial" w:eastAsia="Arial" w:hAnsi="Arial" w:cs="Arial"/>
          <w:spacing w:val="-1"/>
          <w:sz w:val="24"/>
          <w:szCs w:val="24"/>
        </w:rPr>
        <w:t>l</w:t>
      </w:r>
      <w:r w:rsidRPr="009756AD">
        <w:rPr>
          <w:rFonts w:ascii="Arial" w:eastAsia="Arial" w:hAnsi="Arial" w:cs="Arial"/>
          <w:sz w:val="24"/>
          <w:szCs w:val="24"/>
        </w:rPr>
        <w:t>s</w:t>
      </w:r>
    </w:p>
    <w:p w14:paraId="3027AAC7" w14:textId="77777777" w:rsidR="00D15D90" w:rsidRPr="009756AD" w:rsidRDefault="00D15D90" w:rsidP="00D15D90">
      <w:pPr>
        <w:pStyle w:val="ListParagraph"/>
        <w:numPr>
          <w:ilvl w:val="0"/>
          <w:numId w:val="71"/>
        </w:numPr>
        <w:spacing w:after="0" w:line="360" w:lineRule="auto"/>
        <w:ind w:left="567" w:hanging="284"/>
        <w:rPr>
          <w:rFonts w:ascii="Arial" w:eastAsia="Arial" w:hAnsi="Arial" w:cs="Arial"/>
          <w:sz w:val="24"/>
          <w:szCs w:val="24"/>
        </w:rPr>
      </w:pPr>
      <w:r w:rsidRPr="009756AD">
        <w:rPr>
          <w:rFonts w:ascii="Arial" w:eastAsia="Arial" w:hAnsi="Arial" w:cs="Arial"/>
          <w:sz w:val="24"/>
          <w:szCs w:val="24"/>
        </w:rPr>
        <w:t>D</w:t>
      </w:r>
      <w:r w:rsidRPr="009756AD">
        <w:rPr>
          <w:rFonts w:ascii="Arial" w:eastAsia="Arial" w:hAnsi="Arial" w:cs="Arial"/>
          <w:spacing w:val="1"/>
          <w:sz w:val="24"/>
          <w:szCs w:val="24"/>
        </w:rPr>
        <w:t>e</w:t>
      </w:r>
      <w:r w:rsidRPr="009756AD">
        <w:rPr>
          <w:rFonts w:ascii="Arial" w:eastAsia="Arial" w:hAnsi="Arial" w:cs="Arial"/>
          <w:sz w:val="24"/>
          <w:szCs w:val="24"/>
        </w:rPr>
        <w:t>cis</w:t>
      </w:r>
      <w:r w:rsidRPr="009756AD">
        <w:rPr>
          <w:rFonts w:ascii="Arial" w:eastAsia="Arial" w:hAnsi="Arial" w:cs="Arial"/>
          <w:spacing w:val="-1"/>
          <w:sz w:val="24"/>
          <w:szCs w:val="24"/>
        </w:rPr>
        <w:t>i</w:t>
      </w:r>
      <w:r w:rsidRPr="009756AD">
        <w:rPr>
          <w:rFonts w:ascii="Arial" w:eastAsia="Arial" w:hAnsi="Arial" w:cs="Arial"/>
          <w:spacing w:val="1"/>
          <w:sz w:val="24"/>
          <w:szCs w:val="24"/>
        </w:rPr>
        <w:t>on</w:t>
      </w:r>
      <w:r w:rsidRPr="009756AD">
        <w:rPr>
          <w:rFonts w:ascii="Arial" w:eastAsia="Arial" w:hAnsi="Arial" w:cs="Arial"/>
          <w:sz w:val="24"/>
          <w:szCs w:val="24"/>
        </w:rPr>
        <w:t xml:space="preserve">s </w:t>
      </w:r>
      <w:r w:rsidRPr="009756AD">
        <w:rPr>
          <w:rFonts w:ascii="Arial" w:eastAsia="Arial" w:hAnsi="Arial" w:cs="Arial"/>
          <w:spacing w:val="1"/>
          <w:sz w:val="24"/>
          <w:szCs w:val="24"/>
        </w:rPr>
        <w:t>t</w:t>
      </w:r>
      <w:r w:rsidRPr="009756AD">
        <w:rPr>
          <w:rFonts w:ascii="Arial" w:eastAsia="Arial" w:hAnsi="Arial" w:cs="Arial"/>
          <w:sz w:val="24"/>
          <w:szCs w:val="24"/>
        </w:rPr>
        <w:t>o</w:t>
      </w:r>
      <w:r w:rsidRPr="009756AD">
        <w:rPr>
          <w:rFonts w:ascii="Arial" w:eastAsia="Arial" w:hAnsi="Arial" w:cs="Arial"/>
          <w:spacing w:val="-1"/>
          <w:sz w:val="24"/>
          <w:szCs w:val="24"/>
        </w:rPr>
        <w:t xml:space="preserve"> m</w:t>
      </w:r>
      <w:r w:rsidRPr="009756AD">
        <w:rPr>
          <w:rFonts w:ascii="Arial" w:eastAsia="Arial" w:hAnsi="Arial" w:cs="Arial"/>
          <w:spacing w:val="1"/>
          <w:sz w:val="24"/>
          <w:szCs w:val="24"/>
        </w:rPr>
        <w:t>a</w:t>
      </w:r>
      <w:r w:rsidRPr="009756AD">
        <w:rPr>
          <w:rFonts w:ascii="Arial" w:eastAsia="Arial" w:hAnsi="Arial" w:cs="Arial"/>
          <w:sz w:val="24"/>
          <w:szCs w:val="24"/>
        </w:rPr>
        <w:t>k</w:t>
      </w:r>
      <w:r w:rsidRPr="009756AD">
        <w:rPr>
          <w:rFonts w:ascii="Arial" w:eastAsia="Arial" w:hAnsi="Arial" w:cs="Arial"/>
          <w:spacing w:val="1"/>
          <w:sz w:val="24"/>
          <w:szCs w:val="24"/>
        </w:rPr>
        <w:t>e</w:t>
      </w:r>
      <w:r w:rsidRPr="009756AD">
        <w:rPr>
          <w:rFonts w:ascii="Arial" w:eastAsia="Arial" w:hAnsi="Arial" w:cs="Arial"/>
          <w:sz w:val="24"/>
          <w:szCs w:val="24"/>
        </w:rPr>
        <w:t>,</w:t>
      </w:r>
      <w:r w:rsidRPr="009756AD">
        <w:rPr>
          <w:rFonts w:ascii="Arial" w:eastAsia="Arial" w:hAnsi="Arial" w:cs="Arial"/>
          <w:spacing w:val="1"/>
          <w:sz w:val="24"/>
          <w:szCs w:val="24"/>
        </w:rPr>
        <w:t xml:space="preserve"> </w:t>
      </w:r>
      <w:r w:rsidRPr="009756AD">
        <w:rPr>
          <w:rFonts w:ascii="Arial" w:eastAsia="Arial" w:hAnsi="Arial" w:cs="Arial"/>
          <w:spacing w:val="-2"/>
          <w:sz w:val="24"/>
          <w:szCs w:val="24"/>
        </w:rPr>
        <w:t>v</w:t>
      </w:r>
      <w:r w:rsidRPr="009756AD">
        <w:rPr>
          <w:rFonts w:ascii="Arial" w:eastAsia="Arial" w:hAnsi="Arial" w:cs="Arial"/>
          <w:spacing w:val="1"/>
          <w:sz w:val="24"/>
          <w:szCs w:val="24"/>
        </w:rPr>
        <w:t>a</w:t>
      </w:r>
      <w:r w:rsidRPr="009756AD">
        <w:rPr>
          <w:rFonts w:ascii="Arial" w:eastAsia="Arial" w:hAnsi="Arial" w:cs="Arial"/>
          <w:sz w:val="24"/>
          <w:szCs w:val="24"/>
        </w:rPr>
        <w:t>ry</w:t>
      </w:r>
      <w:r w:rsidRPr="009756AD">
        <w:rPr>
          <w:rFonts w:ascii="Arial" w:eastAsia="Arial" w:hAnsi="Arial" w:cs="Arial"/>
          <w:spacing w:val="-3"/>
          <w:sz w:val="24"/>
          <w:szCs w:val="24"/>
        </w:rPr>
        <w:t xml:space="preserve"> </w:t>
      </w:r>
      <w:r w:rsidRPr="009756AD">
        <w:rPr>
          <w:rFonts w:ascii="Arial" w:eastAsia="Arial" w:hAnsi="Arial" w:cs="Arial"/>
          <w:spacing w:val="1"/>
          <w:sz w:val="24"/>
          <w:szCs w:val="24"/>
        </w:rPr>
        <w:t>o</w:t>
      </w:r>
      <w:r w:rsidRPr="009756AD">
        <w:rPr>
          <w:rFonts w:ascii="Arial" w:eastAsia="Arial" w:hAnsi="Arial" w:cs="Arial"/>
          <w:sz w:val="24"/>
          <w:szCs w:val="24"/>
        </w:rPr>
        <w:t xml:space="preserve">r </w:t>
      </w:r>
      <w:r w:rsidRPr="009756AD">
        <w:rPr>
          <w:rFonts w:ascii="Arial" w:eastAsia="Arial" w:hAnsi="Arial" w:cs="Arial"/>
          <w:spacing w:val="-1"/>
          <w:sz w:val="24"/>
          <w:szCs w:val="24"/>
        </w:rPr>
        <w:t>r</w:t>
      </w:r>
      <w:r w:rsidRPr="009756AD">
        <w:rPr>
          <w:rFonts w:ascii="Arial" w:eastAsia="Arial" w:hAnsi="Arial" w:cs="Arial"/>
          <w:spacing w:val="1"/>
          <w:sz w:val="24"/>
          <w:szCs w:val="24"/>
        </w:rPr>
        <w:t>e</w:t>
      </w:r>
      <w:r w:rsidRPr="009756AD">
        <w:rPr>
          <w:rFonts w:ascii="Arial" w:eastAsia="Arial" w:hAnsi="Arial" w:cs="Arial"/>
          <w:spacing w:val="-2"/>
          <w:sz w:val="24"/>
          <w:szCs w:val="24"/>
        </w:rPr>
        <w:t>v</w:t>
      </w:r>
      <w:r w:rsidRPr="009756AD">
        <w:rPr>
          <w:rFonts w:ascii="Arial" w:eastAsia="Arial" w:hAnsi="Arial" w:cs="Arial"/>
          <w:spacing w:val="1"/>
          <w:sz w:val="24"/>
          <w:szCs w:val="24"/>
        </w:rPr>
        <w:t>o</w:t>
      </w:r>
      <w:r w:rsidRPr="009756AD">
        <w:rPr>
          <w:rFonts w:ascii="Arial" w:eastAsia="Arial" w:hAnsi="Arial" w:cs="Arial"/>
          <w:spacing w:val="4"/>
          <w:sz w:val="24"/>
          <w:szCs w:val="24"/>
        </w:rPr>
        <w:t>k</w:t>
      </w:r>
      <w:r w:rsidRPr="009756AD">
        <w:rPr>
          <w:rFonts w:ascii="Arial" w:eastAsia="Arial" w:hAnsi="Arial" w:cs="Arial"/>
          <w:sz w:val="24"/>
          <w:szCs w:val="24"/>
        </w:rPr>
        <w:t>e</w:t>
      </w:r>
      <w:r w:rsidRPr="009756AD">
        <w:rPr>
          <w:rFonts w:ascii="Arial" w:eastAsia="Arial" w:hAnsi="Arial" w:cs="Arial"/>
          <w:spacing w:val="1"/>
          <w:sz w:val="24"/>
          <w:szCs w:val="24"/>
        </w:rPr>
        <w:t xml:space="preserve"> bu</w:t>
      </w:r>
      <w:r w:rsidRPr="009756AD">
        <w:rPr>
          <w:rFonts w:ascii="Arial" w:eastAsia="Arial" w:hAnsi="Arial" w:cs="Arial"/>
          <w:sz w:val="24"/>
          <w:szCs w:val="24"/>
        </w:rPr>
        <w:t>s</w:t>
      </w:r>
      <w:r w:rsidRPr="009756AD">
        <w:rPr>
          <w:rFonts w:ascii="Arial" w:eastAsia="Arial" w:hAnsi="Arial" w:cs="Arial"/>
          <w:spacing w:val="-2"/>
          <w:sz w:val="24"/>
          <w:szCs w:val="24"/>
        </w:rPr>
        <w:t xml:space="preserve"> </w:t>
      </w:r>
      <w:r w:rsidRPr="009756AD">
        <w:rPr>
          <w:rFonts w:ascii="Arial" w:eastAsia="Arial" w:hAnsi="Arial" w:cs="Arial"/>
          <w:spacing w:val="3"/>
          <w:sz w:val="24"/>
          <w:szCs w:val="24"/>
        </w:rPr>
        <w:t>f</w:t>
      </w:r>
      <w:r w:rsidRPr="009756AD">
        <w:rPr>
          <w:rFonts w:ascii="Arial" w:eastAsia="Arial" w:hAnsi="Arial" w:cs="Arial"/>
          <w:sz w:val="24"/>
          <w:szCs w:val="24"/>
        </w:rPr>
        <w:t>ra</w:t>
      </w:r>
      <w:r w:rsidRPr="009756AD">
        <w:rPr>
          <w:rFonts w:ascii="Arial" w:eastAsia="Arial" w:hAnsi="Arial" w:cs="Arial"/>
          <w:spacing w:val="1"/>
          <w:sz w:val="24"/>
          <w:szCs w:val="24"/>
        </w:rPr>
        <w:t>n</w:t>
      </w:r>
      <w:r w:rsidRPr="009756AD">
        <w:rPr>
          <w:rFonts w:ascii="Arial" w:eastAsia="Arial" w:hAnsi="Arial" w:cs="Arial"/>
          <w:spacing w:val="-2"/>
          <w:sz w:val="24"/>
          <w:szCs w:val="24"/>
        </w:rPr>
        <w:t>c</w:t>
      </w:r>
      <w:r w:rsidRPr="009756AD">
        <w:rPr>
          <w:rFonts w:ascii="Arial" w:eastAsia="Arial" w:hAnsi="Arial" w:cs="Arial"/>
          <w:spacing w:val="1"/>
          <w:sz w:val="24"/>
          <w:szCs w:val="24"/>
        </w:rPr>
        <w:t>h</w:t>
      </w:r>
      <w:r w:rsidRPr="009756AD">
        <w:rPr>
          <w:rFonts w:ascii="Arial" w:eastAsia="Arial" w:hAnsi="Arial" w:cs="Arial"/>
          <w:sz w:val="24"/>
          <w:szCs w:val="24"/>
        </w:rPr>
        <w:t>is</w:t>
      </w:r>
      <w:r w:rsidRPr="009756AD">
        <w:rPr>
          <w:rFonts w:ascii="Arial" w:eastAsia="Arial" w:hAnsi="Arial" w:cs="Arial"/>
          <w:spacing w:val="-1"/>
          <w:sz w:val="24"/>
          <w:szCs w:val="24"/>
        </w:rPr>
        <w:t>i</w:t>
      </w:r>
      <w:r w:rsidRPr="009756AD">
        <w:rPr>
          <w:rFonts w:ascii="Arial" w:eastAsia="Arial" w:hAnsi="Arial" w:cs="Arial"/>
          <w:spacing w:val="1"/>
          <w:sz w:val="24"/>
          <w:szCs w:val="24"/>
        </w:rPr>
        <w:t>n</w:t>
      </w:r>
      <w:r w:rsidRPr="009756AD">
        <w:rPr>
          <w:rFonts w:ascii="Arial" w:eastAsia="Arial" w:hAnsi="Arial" w:cs="Arial"/>
          <w:sz w:val="24"/>
          <w:szCs w:val="24"/>
        </w:rPr>
        <w:t>g</w:t>
      </w:r>
      <w:r w:rsidRPr="009756AD">
        <w:rPr>
          <w:rFonts w:ascii="Arial" w:eastAsia="Arial" w:hAnsi="Arial" w:cs="Arial"/>
          <w:spacing w:val="-1"/>
          <w:sz w:val="24"/>
          <w:szCs w:val="24"/>
        </w:rPr>
        <w:t xml:space="preserve"> </w:t>
      </w:r>
      <w:r w:rsidRPr="009756AD">
        <w:rPr>
          <w:rFonts w:ascii="Arial" w:eastAsia="Arial" w:hAnsi="Arial" w:cs="Arial"/>
          <w:sz w:val="24"/>
          <w:szCs w:val="24"/>
        </w:rPr>
        <w:t>sc</w:t>
      </w:r>
      <w:r w:rsidRPr="009756AD">
        <w:rPr>
          <w:rFonts w:ascii="Arial" w:eastAsia="Arial" w:hAnsi="Arial" w:cs="Arial"/>
          <w:spacing w:val="1"/>
          <w:sz w:val="24"/>
          <w:szCs w:val="24"/>
        </w:rPr>
        <w:t>he</w:t>
      </w:r>
      <w:r w:rsidRPr="009756AD">
        <w:rPr>
          <w:rFonts w:ascii="Arial" w:eastAsia="Arial" w:hAnsi="Arial" w:cs="Arial"/>
          <w:spacing w:val="-1"/>
          <w:sz w:val="24"/>
          <w:szCs w:val="24"/>
        </w:rPr>
        <w:t>m</w:t>
      </w:r>
      <w:r w:rsidRPr="009756AD">
        <w:rPr>
          <w:rFonts w:ascii="Arial" w:eastAsia="Arial" w:hAnsi="Arial" w:cs="Arial"/>
          <w:spacing w:val="1"/>
          <w:sz w:val="24"/>
          <w:szCs w:val="24"/>
        </w:rPr>
        <w:t>e</w:t>
      </w:r>
      <w:r w:rsidRPr="009756AD">
        <w:rPr>
          <w:rFonts w:ascii="Arial" w:eastAsia="Arial" w:hAnsi="Arial" w:cs="Arial"/>
          <w:sz w:val="24"/>
          <w:szCs w:val="24"/>
        </w:rPr>
        <w:t>s</w:t>
      </w:r>
    </w:p>
    <w:p w14:paraId="7CCF5F98" w14:textId="77777777" w:rsidR="00D15D90" w:rsidRPr="00B15622" w:rsidRDefault="00D15D90" w:rsidP="00D15D90">
      <w:pPr>
        <w:spacing w:line="360" w:lineRule="auto"/>
        <w:rPr>
          <w:rFonts w:ascii="Arial" w:eastAsia="Arial" w:hAnsi="Arial" w:cs="Arial"/>
          <w:spacing w:val="2"/>
          <w:highlight w:val="yellow"/>
        </w:rPr>
      </w:pPr>
    </w:p>
    <w:p w14:paraId="3A93391D" w14:textId="77777777" w:rsidR="00D15D90" w:rsidRPr="00B15622" w:rsidRDefault="00D15D90" w:rsidP="00D15D90">
      <w:pPr>
        <w:spacing w:line="360" w:lineRule="auto"/>
        <w:rPr>
          <w:rFonts w:ascii="Arial" w:eastAsia="Arial" w:hAnsi="Arial" w:cs="Arial"/>
          <w:bCs/>
          <w:spacing w:val="1"/>
          <w:highlight w:val="yellow"/>
        </w:rPr>
      </w:pPr>
      <w:r w:rsidRPr="009756AD">
        <w:rPr>
          <w:rFonts w:ascii="Arial" w:eastAsia="Arial" w:hAnsi="Arial" w:cs="Arial"/>
          <w:spacing w:val="2"/>
        </w:rPr>
        <w:t>T</w:t>
      </w:r>
      <w:r w:rsidRPr="009756AD">
        <w:rPr>
          <w:rFonts w:ascii="Arial" w:eastAsia="Arial" w:hAnsi="Arial" w:cs="Arial"/>
          <w:spacing w:val="-1"/>
        </w:rPr>
        <w:t>h</w:t>
      </w:r>
      <w:r w:rsidRPr="009756AD">
        <w:rPr>
          <w:rFonts w:ascii="Arial" w:eastAsia="Arial" w:hAnsi="Arial" w:cs="Arial"/>
        </w:rPr>
        <w:t>e</w:t>
      </w:r>
      <w:r w:rsidRPr="009756AD">
        <w:rPr>
          <w:rFonts w:ascii="Arial" w:eastAsia="Arial" w:hAnsi="Arial" w:cs="Arial"/>
          <w:spacing w:val="4"/>
        </w:rPr>
        <w:t xml:space="preserve"> </w:t>
      </w:r>
      <w:r w:rsidRPr="009756AD">
        <w:rPr>
          <w:rFonts w:ascii="Arial" w:eastAsia="Arial" w:hAnsi="Arial" w:cs="Arial"/>
        </w:rPr>
        <w:t>s</w:t>
      </w:r>
      <w:r w:rsidRPr="009756AD">
        <w:rPr>
          <w:rFonts w:ascii="Arial" w:eastAsia="Arial" w:hAnsi="Arial" w:cs="Arial"/>
          <w:spacing w:val="-1"/>
        </w:rPr>
        <w:t>o</w:t>
      </w:r>
      <w:r w:rsidRPr="009756AD">
        <w:rPr>
          <w:rFonts w:ascii="Arial" w:eastAsia="Arial" w:hAnsi="Arial" w:cs="Arial"/>
          <w:spacing w:val="1"/>
        </w:rPr>
        <w:t>u</w:t>
      </w:r>
      <w:r w:rsidRPr="009756AD">
        <w:rPr>
          <w:rFonts w:ascii="Arial" w:eastAsia="Arial" w:hAnsi="Arial" w:cs="Arial"/>
        </w:rPr>
        <w:t>rces</w:t>
      </w:r>
      <w:r w:rsidRPr="009756AD">
        <w:rPr>
          <w:rFonts w:ascii="Arial" w:eastAsia="Arial" w:hAnsi="Arial" w:cs="Arial"/>
          <w:spacing w:val="1"/>
        </w:rPr>
        <w:t xml:space="preserve"> </w:t>
      </w:r>
      <w:r w:rsidRPr="009756AD">
        <w:rPr>
          <w:rFonts w:ascii="Arial" w:eastAsia="Arial" w:hAnsi="Arial" w:cs="Arial"/>
          <w:spacing w:val="-1"/>
        </w:rPr>
        <w:t>o</w:t>
      </w:r>
      <w:r w:rsidRPr="009756AD">
        <w:rPr>
          <w:rFonts w:ascii="Arial" w:eastAsia="Arial" w:hAnsi="Arial" w:cs="Arial"/>
        </w:rPr>
        <w:t>f</w:t>
      </w:r>
      <w:r w:rsidRPr="009756AD">
        <w:rPr>
          <w:rFonts w:ascii="Arial" w:eastAsia="Arial" w:hAnsi="Arial" w:cs="Arial"/>
          <w:spacing w:val="3"/>
        </w:rPr>
        <w:t xml:space="preserve"> </w:t>
      </w:r>
      <w:r w:rsidRPr="009756AD">
        <w:rPr>
          <w:rFonts w:ascii="Arial" w:eastAsia="Arial" w:hAnsi="Arial" w:cs="Arial"/>
          <w:spacing w:val="1"/>
        </w:rPr>
        <w:t>fu</w:t>
      </w:r>
      <w:r w:rsidRPr="009756AD">
        <w:rPr>
          <w:rFonts w:ascii="Arial" w:eastAsia="Arial" w:hAnsi="Arial" w:cs="Arial"/>
          <w:spacing w:val="-1"/>
        </w:rPr>
        <w:t>n</w:t>
      </w:r>
      <w:r w:rsidRPr="009756AD">
        <w:rPr>
          <w:rFonts w:ascii="Arial" w:eastAsia="Arial" w:hAnsi="Arial" w:cs="Arial"/>
          <w:spacing w:val="1"/>
        </w:rPr>
        <w:t>d</w:t>
      </w:r>
      <w:r w:rsidRPr="009756AD">
        <w:rPr>
          <w:rFonts w:ascii="Arial" w:eastAsia="Arial" w:hAnsi="Arial" w:cs="Arial"/>
        </w:rPr>
        <w:t>ing</w:t>
      </w:r>
      <w:r w:rsidRPr="009756AD">
        <w:rPr>
          <w:rFonts w:ascii="Arial" w:eastAsia="Arial" w:hAnsi="Arial" w:cs="Arial"/>
          <w:spacing w:val="-1"/>
        </w:rPr>
        <w:t xml:space="preserve"> </w:t>
      </w:r>
      <w:r w:rsidRPr="009756AD">
        <w:rPr>
          <w:rFonts w:ascii="Arial" w:eastAsia="Arial" w:hAnsi="Arial" w:cs="Arial"/>
          <w:spacing w:val="3"/>
        </w:rPr>
        <w:t>f</w:t>
      </w:r>
      <w:r w:rsidRPr="009756AD">
        <w:rPr>
          <w:rFonts w:ascii="Arial" w:eastAsia="Arial" w:hAnsi="Arial" w:cs="Arial"/>
          <w:spacing w:val="1"/>
        </w:rPr>
        <w:t>o</w:t>
      </w:r>
      <w:r w:rsidRPr="009756AD">
        <w:rPr>
          <w:rFonts w:ascii="Arial" w:eastAsia="Arial" w:hAnsi="Arial" w:cs="Arial"/>
        </w:rPr>
        <w:t>r</w:t>
      </w:r>
      <w:r w:rsidRPr="009756AD">
        <w:rPr>
          <w:rFonts w:ascii="Arial" w:eastAsia="Arial" w:hAnsi="Arial" w:cs="Arial"/>
          <w:spacing w:val="2"/>
        </w:rPr>
        <w:t xml:space="preserve"> </w:t>
      </w:r>
      <w:r w:rsidRPr="009756AD">
        <w:rPr>
          <w:rFonts w:ascii="Arial" w:eastAsia="Arial" w:hAnsi="Arial" w:cs="Arial"/>
          <w:spacing w:val="-1"/>
        </w:rPr>
        <w:t>M</w:t>
      </w:r>
      <w:r w:rsidRPr="009756AD">
        <w:rPr>
          <w:rFonts w:ascii="Arial" w:eastAsia="Arial" w:hAnsi="Arial" w:cs="Arial"/>
          <w:spacing w:val="1"/>
        </w:rPr>
        <w:t>a</w:t>
      </w:r>
      <w:r w:rsidRPr="009756AD">
        <w:rPr>
          <w:rFonts w:ascii="Arial" w:eastAsia="Arial" w:hAnsi="Arial" w:cs="Arial"/>
          <w:spacing w:val="-2"/>
        </w:rPr>
        <w:t>y</w:t>
      </w:r>
      <w:r w:rsidRPr="009756AD">
        <w:rPr>
          <w:rFonts w:ascii="Arial" w:eastAsia="Arial" w:hAnsi="Arial" w:cs="Arial"/>
          <w:spacing w:val="1"/>
        </w:rPr>
        <w:t>o</w:t>
      </w:r>
      <w:r w:rsidRPr="009756AD">
        <w:rPr>
          <w:rFonts w:ascii="Arial" w:eastAsia="Arial" w:hAnsi="Arial" w:cs="Arial"/>
        </w:rPr>
        <w:t>ral</w:t>
      </w:r>
      <w:r w:rsidRPr="009756AD">
        <w:rPr>
          <w:rFonts w:ascii="Arial" w:eastAsia="Arial" w:hAnsi="Arial" w:cs="Arial"/>
          <w:spacing w:val="3"/>
        </w:rPr>
        <w:t xml:space="preserve"> </w:t>
      </w:r>
      <w:r w:rsidRPr="009756AD">
        <w:rPr>
          <w:rFonts w:ascii="Arial" w:eastAsia="Arial" w:hAnsi="Arial" w:cs="Arial"/>
        </w:rPr>
        <w:t>functions, to</w:t>
      </w:r>
      <w:r w:rsidRPr="009756AD">
        <w:rPr>
          <w:rFonts w:ascii="Arial" w:eastAsia="Arial" w:hAnsi="Arial" w:cs="Arial"/>
          <w:spacing w:val="2"/>
        </w:rPr>
        <w:t xml:space="preserve"> </w:t>
      </w:r>
      <w:r w:rsidRPr="009756AD">
        <w:rPr>
          <w:rFonts w:ascii="Arial" w:eastAsia="Arial" w:hAnsi="Arial" w:cs="Arial"/>
          <w:spacing w:val="-2"/>
        </w:rPr>
        <w:t>t</w:t>
      </w:r>
      <w:r w:rsidRPr="009756AD">
        <w:rPr>
          <w:rFonts w:ascii="Arial" w:eastAsia="Arial" w:hAnsi="Arial" w:cs="Arial"/>
          <w:spacing w:val="1"/>
        </w:rPr>
        <w:t>h</w:t>
      </w:r>
      <w:r w:rsidRPr="009756AD">
        <w:rPr>
          <w:rFonts w:ascii="Arial" w:eastAsia="Arial" w:hAnsi="Arial" w:cs="Arial"/>
        </w:rPr>
        <w:t>e</w:t>
      </w:r>
      <w:r w:rsidRPr="009756AD">
        <w:rPr>
          <w:rFonts w:ascii="Arial" w:eastAsia="Arial" w:hAnsi="Arial" w:cs="Arial"/>
          <w:spacing w:val="7"/>
        </w:rPr>
        <w:t xml:space="preserve"> </w:t>
      </w:r>
      <w:r w:rsidRPr="009756AD">
        <w:rPr>
          <w:rFonts w:ascii="Arial" w:eastAsia="Arial" w:hAnsi="Arial" w:cs="Arial"/>
          <w:spacing w:val="1"/>
        </w:rPr>
        <w:t>e</w:t>
      </w:r>
      <w:r w:rsidRPr="009756AD">
        <w:rPr>
          <w:rFonts w:ascii="Arial" w:eastAsia="Arial" w:hAnsi="Arial" w:cs="Arial"/>
          <w:spacing w:val="-2"/>
        </w:rPr>
        <w:t>x</w:t>
      </w:r>
      <w:r w:rsidRPr="009756AD">
        <w:rPr>
          <w:rFonts w:ascii="Arial" w:eastAsia="Arial" w:hAnsi="Arial" w:cs="Arial"/>
        </w:rPr>
        <w:t>t</w:t>
      </w:r>
      <w:r w:rsidRPr="009756AD">
        <w:rPr>
          <w:rFonts w:ascii="Arial" w:eastAsia="Arial" w:hAnsi="Arial" w:cs="Arial"/>
          <w:spacing w:val="1"/>
        </w:rPr>
        <w:t>en</w:t>
      </w:r>
      <w:r w:rsidRPr="009756AD">
        <w:rPr>
          <w:rFonts w:ascii="Arial" w:eastAsia="Arial" w:hAnsi="Arial" w:cs="Arial"/>
        </w:rPr>
        <w:t>t</w:t>
      </w:r>
      <w:r w:rsidRPr="009756AD">
        <w:rPr>
          <w:rFonts w:ascii="Arial" w:eastAsia="Arial" w:hAnsi="Arial" w:cs="Arial"/>
          <w:spacing w:val="3"/>
        </w:rPr>
        <w:t xml:space="preserve"> </w:t>
      </w:r>
      <w:r w:rsidRPr="009756AD">
        <w:rPr>
          <w:rFonts w:ascii="Arial" w:eastAsia="Arial" w:hAnsi="Arial" w:cs="Arial"/>
          <w:spacing w:val="-2"/>
        </w:rPr>
        <w:t>t</w:t>
      </w:r>
      <w:r w:rsidRPr="009756AD">
        <w:rPr>
          <w:rFonts w:ascii="Arial" w:eastAsia="Arial" w:hAnsi="Arial" w:cs="Arial"/>
          <w:spacing w:val="1"/>
        </w:rPr>
        <w:t>ha</w:t>
      </w:r>
      <w:r w:rsidRPr="009756AD">
        <w:rPr>
          <w:rFonts w:ascii="Arial" w:eastAsia="Arial" w:hAnsi="Arial" w:cs="Arial"/>
        </w:rPr>
        <w:t>t</w:t>
      </w:r>
      <w:r w:rsidRPr="009756AD">
        <w:rPr>
          <w:rFonts w:ascii="Arial" w:eastAsia="Arial" w:hAnsi="Arial" w:cs="Arial"/>
          <w:spacing w:val="1"/>
        </w:rPr>
        <w:t xml:space="preserve"> </w:t>
      </w:r>
      <w:r w:rsidRPr="009756AD">
        <w:rPr>
          <w:rFonts w:ascii="Arial" w:eastAsia="Arial" w:hAnsi="Arial" w:cs="Arial"/>
        </w:rPr>
        <w:t>t</w:t>
      </w:r>
      <w:r w:rsidRPr="009756AD">
        <w:rPr>
          <w:rFonts w:ascii="Arial" w:eastAsia="Arial" w:hAnsi="Arial" w:cs="Arial"/>
          <w:spacing w:val="-1"/>
        </w:rPr>
        <w:t>h</w:t>
      </w:r>
      <w:r w:rsidRPr="009756AD">
        <w:rPr>
          <w:rFonts w:ascii="Arial" w:eastAsia="Arial" w:hAnsi="Arial" w:cs="Arial"/>
          <w:spacing w:val="1"/>
        </w:rPr>
        <w:t>e</w:t>
      </w:r>
      <w:r w:rsidRPr="009756AD">
        <w:rPr>
          <w:rFonts w:ascii="Arial" w:eastAsia="Arial" w:hAnsi="Arial" w:cs="Arial"/>
        </w:rPr>
        <w:t xml:space="preserve">y </w:t>
      </w:r>
      <w:r w:rsidRPr="009756AD">
        <w:rPr>
          <w:rFonts w:ascii="Arial" w:eastAsia="Arial" w:hAnsi="Arial" w:cs="Arial"/>
          <w:spacing w:val="1"/>
        </w:rPr>
        <w:t>a</w:t>
      </w:r>
      <w:r w:rsidRPr="009756AD">
        <w:rPr>
          <w:rFonts w:ascii="Arial" w:eastAsia="Arial" w:hAnsi="Arial" w:cs="Arial"/>
        </w:rPr>
        <w:t>re</w:t>
      </w:r>
      <w:r w:rsidRPr="009756AD">
        <w:rPr>
          <w:rFonts w:ascii="Arial" w:eastAsia="Arial" w:hAnsi="Arial" w:cs="Arial"/>
          <w:spacing w:val="3"/>
        </w:rPr>
        <w:t xml:space="preserve"> </w:t>
      </w:r>
      <w:r w:rsidRPr="009756AD">
        <w:rPr>
          <w:rFonts w:ascii="Arial" w:eastAsia="Arial" w:hAnsi="Arial" w:cs="Arial"/>
          <w:spacing w:val="1"/>
        </w:rPr>
        <w:t>no</w:t>
      </w:r>
      <w:r w:rsidRPr="009756AD">
        <w:rPr>
          <w:rFonts w:ascii="Arial" w:eastAsia="Arial" w:hAnsi="Arial" w:cs="Arial"/>
        </w:rPr>
        <w:t>t</w:t>
      </w:r>
      <w:r w:rsidRPr="009756AD">
        <w:rPr>
          <w:rFonts w:ascii="Arial" w:eastAsia="Arial" w:hAnsi="Arial" w:cs="Arial"/>
          <w:spacing w:val="-2"/>
        </w:rPr>
        <w:t xml:space="preserve"> </w:t>
      </w:r>
      <w:r w:rsidRPr="009756AD">
        <w:rPr>
          <w:rFonts w:ascii="Arial" w:eastAsia="Arial" w:hAnsi="Arial" w:cs="Arial"/>
          <w:spacing w:val="3"/>
        </w:rPr>
        <w:t>f</w:t>
      </w:r>
      <w:r w:rsidRPr="009756AD">
        <w:rPr>
          <w:rFonts w:ascii="Arial" w:eastAsia="Arial" w:hAnsi="Arial" w:cs="Arial"/>
          <w:spacing w:val="-1"/>
        </w:rPr>
        <w:t>u</w:t>
      </w:r>
      <w:r w:rsidRPr="009756AD">
        <w:rPr>
          <w:rFonts w:ascii="Arial" w:eastAsia="Arial" w:hAnsi="Arial" w:cs="Arial"/>
          <w:spacing w:val="1"/>
        </w:rPr>
        <w:t>nd</w:t>
      </w:r>
      <w:r w:rsidRPr="009756AD">
        <w:rPr>
          <w:rFonts w:ascii="Arial" w:eastAsia="Arial" w:hAnsi="Arial" w:cs="Arial"/>
          <w:spacing w:val="-1"/>
        </w:rPr>
        <w:t>e</w:t>
      </w:r>
      <w:r w:rsidRPr="009756AD">
        <w:rPr>
          <w:rFonts w:ascii="Arial" w:eastAsia="Arial" w:hAnsi="Arial" w:cs="Arial"/>
        </w:rPr>
        <w:t>d</w:t>
      </w:r>
      <w:r w:rsidRPr="009756AD">
        <w:rPr>
          <w:rFonts w:ascii="Arial" w:eastAsia="Arial" w:hAnsi="Arial" w:cs="Arial"/>
          <w:spacing w:val="1"/>
        </w:rPr>
        <w:t xml:space="preserve"> </w:t>
      </w:r>
      <w:r w:rsidRPr="009756AD">
        <w:rPr>
          <w:rFonts w:ascii="Arial" w:eastAsia="Arial" w:hAnsi="Arial" w:cs="Arial"/>
          <w:spacing w:val="3"/>
        </w:rPr>
        <w:t>f</w:t>
      </w:r>
      <w:r w:rsidRPr="009756AD">
        <w:rPr>
          <w:rFonts w:ascii="Arial" w:eastAsia="Arial" w:hAnsi="Arial" w:cs="Arial"/>
          <w:spacing w:val="-3"/>
        </w:rPr>
        <w:t>r</w:t>
      </w:r>
      <w:r w:rsidRPr="009756AD">
        <w:rPr>
          <w:rFonts w:ascii="Arial" w:eastAsia="Arial" w:hAnsi="Arial" w:cs="Arial"/>
          <w:spacing w:val="-1"/>
        </w:rPr>
        <w:t>o</w:t>
      </w:r>
      <w:r w:rsidRPr="009756AD">
        <w:rPr>
          <w:rFonts w:ascii="Arial" w:eastAsia="Arial" w:hAnsi="Arial" w:cs="Arial"/>
        </w:rPr>
        <w:t xml:space="preserve">m </w:t>
      </w:r>
      <w:r w:rsidRPr="009756AD">
        <w:rPr>
          <w:rFonts w:ascii="Arial" w:eastAsia="Arial" w:hAnsi="Arial" w:cs="Arial"/>
          <w:spacing w:val="1"/>
        </w:rPr>
        <w:t>o</w:t>
      </w:r>
      <w:r w:rsidRPr="009756AD">
        <w:rPr>
          <w:rFonts w:ascii="Arial" w:eastAsia="Arial" w:hAnsi="Arial" w:cs="Arial"/>
        </w:rPr>
        <w:t>t</w:t>
      </w:r>
      <w:r w:rsidRPr="009756AD">
        <w:rPr>
          <w:rFonts w:ascii="Arial" w:eastAsia="Arial" w:hAnsi="Arial" w:cs="Arial"/>
          <w:spacing w:val="1"/>
        </w:rPr>
        <w:t>he</w:t>
      </w:r>
      <w:r w:rsidRPr="009756AD">
        <w:rPr>
          <w:rFonts w:ascii="Arial" w:eastAsia="Arial" w:hAnsi="Arial" w:cs="Arial"/>
        </w:rPr>
        <w:t>r</w:t>
      </w:r>
      <w:r w:rsidRPr="009756AD">
        <w:rPr>
          <w:rFonts w:ascii="Arial" w:eastAsia="Arial" w:hAnsi="Arial" w:cs="Arial"/>
          <w:spacing w:val="2"/>
        </w:rPr>
        <w:t xml:space="preserve"> </w:t>
      </w:r>
      <w:r w:rsidRPr="009756AD">
        <w:rPr>
          <w:rFonts w:ascii="Arial" w:eastAsia="Arial" w:hAnsi="Arial" w:cs="Arial"/>
          <w:spacing w:val="-2"/>
        </w:rPr>
        <w:t>s</w:t>
      </w:r>
      <w:r w:rsidRPr="009756AD">
        <w:rPr>
          <w:rFonts w:ascii="Arial" w:eastAsia="Arial" w:hAnsi="Arial" w:cs="Arial"/>
          <w:spacing w:val="1"/>
        </w:rPr>
        <w:t>ou</w:t>
      </w:r>
      <w:r w:rsidRPr="009756AD">
        <w:rPr>
          <w:rFonts w:ascii="Arial" w:eastAsia="Arial" w:hAnsi="Arial" w:cs="Arial"/>
        </w:rPr>
        <w:t>rces,</w:t>
      </w:r>
      <w:r w:rsidRPr="009756AD">
        <w:rPr>
          <w:rFonts w:ascii="Arial" w:eastAsia="Arial" w:hAnsi="Arial" w:cs="Arial"/>
          <w:spacing w:val="1"/>
        </w:rPr>
        <w:t xml:space="preserve"> a</w:t>
      </w:r>
      <w:r w:rsidRPr="009756AD">
        <w:rPr>
          <w:rFonts w:ascii="Arial" w:eastAsia="Arial" w:hAnsi="Arial" w:cs="Arial"/>
        </w:rPr>
        <w:t>re</w:t>
      </w:r>
      <w:r w:rsidRPr="009756AD">
        <w:rPr>
          <w:rFonts w:ascii="Arial" w:eastAsia="Arial" w:hAnsi="Arial" w:cs="Arial"/>
          <w:spacing w:val="3"/>
        </w:rPr>
        <w:t xml:space="preserve"> </w:t>
      </w:r>
      <w:r w:rsidRPr="009756AD">
        <w:rPr>
          <w:rFonts w:ascii="Arial" w:eastAsia="Arial" w:hAnsi="Arial" w:cs="Arial"/>
        </w:rPr>
        <w:t>a</w:t>
      </w:r>
      <w:r w:rsidRPr="009756AD">
        <w:rPr>
          <w:rFonts w:ascii="Arial" w:eastAsia="Arial" w:hAnsi="Arial" w:cs="Arial"/>
          <w:spacing w:val="1"/>
        </w:rPr>
        <w:t xml:space="preserve"> </w:t>
      </w:r>
      <w:r w:rsidRPr="009756AD">
        <w:rPr>
          <w:rFonts w:ascii="Arial" w:eastAsia="Arial" w:hAnsi="Arial" w:cs="Arial"/>
          <w:spacing w:val="2"/>
        </w:rPr>
        <w:t>p</w:t>
      </w:r>
      <w:r w:rsidRPr="009756AD">
        <w:rPr>
          <w:rFonts w:ascii="Arial" w:eastAsia="Arial" w:hAnsi="Arial" w:cs="Arial"/>
        </w:rPr>
        <w:t>rec</w:t>
      </w:r>
      <w:r w:rsidRPr="009756AD">
        <w:rPr>
          <w:rFonts w:ascii="Arial" w:eastAsia="Arial" w:hAnsi="Arial" w:cs="Arial"/>
          <w:spacing w:val="1"/>
        </w:rPr>
        <w:t>ep</w:t>
      </w:r>
      <w:r w:rsidRPr="009756AD">
        <w:rPr>
          <w:rFonts w:ascii="Arial" w:eastAsia="Arial" w:hAnsi="Arial" w:cs="Arial"/>
        </w:rPr>
        <w:t>t</w:t>
      </w:r>
      <w:r w:rsidRPr="009756AD">
        <w:rPr>
          <w:rFonts w:ascii="Arial" w:eastAsia="Arial" w:hAnsi="Arial" w:cs="Arial"/>
          <w:spacing w:val="1"/>
        </w:rPr>
        <w:t xml:space="preserve"> o</w:t>
      </w:r>
      <w:r w:rsidRPr="009756AD">
        <w:rPr>
          <w:rFonts w:ascii="Arial" w:eastAsia="Arial" w:hAnsi="Arial" w:cs="Arial"/>
        </w:rPr>
        <w:t>r</w:t>
      </w:r>
      <w:r w:rsidRPr="009756AD">
        <w:rPr>
          <w:rFonts w:ascii="Arial" w:eastAsia="Arial" w:hAnsi="Arial" w:cs="Arial"/>
          <w:spacing w:val="4"/>
        </w:rPr>
        <w:t xml:space="preserve"> </w:t>
      </w:r>
      <w:r w:rsidRPr="009756AD">
        <w:rPr>
          <w:rFonts w:ascii="Arial" w:eastAsia="Arial" w:hAnsi="Arial" w:cs="Arial"/>
        </w:rPr>
        <w:t>st</w:t>
      </w:r>
      <w:r w:rsidRPr="009756AD">
        <w:rPr>
          <w:rFonts w:ascii="Arial" w:eastAsia="Arial" w:hAnsi="Arial" w:cs="Arial"/>
          <w:spacing w:val="1"/>
        </w:rPr>
        <w:t>a</w:t>
      </w:r>
      <w:r w:rsidRPr="009756AD">
        <w:rPr>
          <w:rFonts w:ascii="Arial" w:eastAsia="Arial" w:hAnsi="Arial" w:cs="Arial"/>
        </w:rPr>
        <w:t>t</w:t>
      </w:r>
      <w:r w:rsidRPr="009756AD">
        <w:rPr>
          <w:rFonts w:ascii="Arial" w:eastAsia="Arial" w:hAnsi="Arial" w:cs="Arial"/>
          <w:spacing w:val="-1"/>
        </w:rPr>
        <w:t>u</w:t>
      </w:r>
      <w:r w:rsidRPr="009756AD">
        <w:rPr>
          <w:rFonts w:ascii="Arial" w:eastAsia="Arial" w:hAnsi="Arial" w:cs="Arial"/>
        </w:rPr>
        <w:t>t</w:t>
      </w:r>
      <w:r w:rsidRPr="009756AD">
        <w:rPr>
          <w:rFonts w:ascii="Arial" w:eastAsia="Arial" w:hAnsi="Arial" w:cs="Arial"/>
          <w:spacing w:val="1"/>
        </w:rPr>
        <w:t>o</w:t>
      </w:r>
      <w:r w:rsidRPr="009756AD">
        <w:rPr>
          <w:rFonts w:ascii="Arial" w:eastAsia="Arial" w:hAnsi="Arial" w:cs="Arial"/>
        </w:rPr>
        <w:t>ry c</w:t>
      </w:r>
      <w:r w:rsidRPr="009756AD">
        <w:rPr>
          <w:rFonts w:ascii="Arial" w:eastAsia="Arial" w:hAnsi="Arial" w:cs="Arial"/>
          <w:spacing w:val="1"/>
        </w:rPr>
        <w:t>o</w:t>
      </w:r>
      <w:r w:rsidRPr="009756AD">
        <w:rPr>
          <w:rFonts w:ascii="Arial" w:eastAsia="Arial" w:hAnsi="Arial" w:cs="Arial"/>
          <w:spacing w:val="-1"/>
        </w:rPr>
        <w:t>n</w:t>
      </w:r>
      <w:r w:rsidRPr="009756AD">
        <w:rPr>
          <w:rFonts w:ascii="Arial" w:eastAsia="Arial" w:hAnsi="Arial" w:cs="Arial"/>
        </w:rPr>
        <w:t>tr</w:t>
      </w:r>
      <w:r w:rsidRPr="009756AD">
        <w:rPr>
          <w:rFonts w:ascii="Arial" w:eastAsia="Arial" w:hAnsi="Arial" w:cs="Arial"/>
          <w:spacing w:val="-1"/>
        </w:rPr>
        <w:t>i</w:t>
      </w:r>
      <w:r w:rsidRPr="009756AD">
        <w:rPr>
          <w:rFonts w:ascii="Arial" w:eastAsia="Arial" w:hAnsi="Arial" w:cs="Arial"/>
          <w:spacing w:val="1"/>
        </w:rPr>
        <w:t>bu</w:t>
      </w:r>
      <w:r w:rsidRPr="009756AD">
        <w:rPr>
          <w:rFonts w:ascii="Arial" w:eastAsia="Arial" w:hAnsi="Arial" w:cs="Arial"/>
        </w:rPr>
        <w:t>ti</w:t>
      </w:r>
      <w:r w:rsidRPr="009756AD">
        <w:rPr>
          <w:rFonts w:ascii="Arial" w:eastAsia="Arial" w:hAnsi="Arial" w:cs="Arial"/>
          <w:spacing w:val="1"/>
        </w:rPr>
        <w:t>on</w:t>
      </w:r>
      <w:r w:rsidRPr="009756AD">
        <w:rPr>
          <w:rFonts w:ascii="Arial" w:eastAsia="Arial" w:hAnsi="Arial" w:cs="Arial"/>
        </w:rPr>
        <w:t>s</w:t>
      </w:r>
      <w:r w:rsidRPr="009756AD">
        <w:rPr>
          <w:rFonts w:ascii="Arial" w:eastAsia="Arial" w:hAnsi="Arial" w:cs="Arial"/>
          <w:spacing w:val="6"/>
        </w:rPr>
        <w:t xml:space="preserve">. </w:t>
      </w:r>
      <w:r w:rsidRPr="009756AD">
        <w:rPr>
          <w:rFonts w:ascii="Arial" w:hAnsi="Arial" w:cs="Arial"/>
          <w:color w:val="212529"/>
          <w:lang w:val="en"/>
        </w:rPr>
        <w:t>The Mayoral Precept is part of the overall council tax paid by Greater Manchester residents and used to fund Greater Manchester wide services for which the Mayor is responsible</w:t>
      </w:r>
      <w:r w:rsidRPr="005D0373">
        <w:rPr>
          <w:rFonts w:ascii="Arial" w:hAnsi="Arial" w:cs="Arial"/>
          <w:color w:val="212529"/>
          <w:lang w:val="en"/>
        </w:rPr>
        <w:t xml:space="preserve">. </w:t>
      </w:r>
      <w:r w:rsidRPr="005D0373">
        <w:rPr>
          <w:rFonts w:ascii="Arial" w:eastAsia="Arial" w:hAnsi="Arial" w:cs="Arial"/>
          <w:bCs/>
          <w:spacing w:val="1"/>
        </w:rPr>
        <w:t xml:space="preserve">The Mayoral Precept for the financial year 2023/24 was £107.95 for a Band D property, with the fire service accounting for £76.20 and £31.75 for non-fire.  </w:t>
      </w:r>
    </w:p>
    <w:p w14:paraId="3D02E0C8" w14:textId="77777777" w:rsidR="00D15D90" w:rsidRPr="00B15622" w:rsidRDefault="00D15D90" w:rsidP="00D15D90">
      <w:pPr>
        <w:spacing w:line="360" w:lineRule="auto"/>
        <w:rPr>
          <w:rFonts w:ascii="Arial" w:eastAsia="Arial" w:hAnsi="Arial" w:cs="Arial"/>
          <w:bCs/>
          <w:spacing w:val="1"/>
          <w:highlight w:val="yellow"/>
        </w:rPr>
      </w:pPr>
    </w:p>
    <w:p w14:paraId="32762AEE" w14:textId="77777777" w:rsidR="00D15D90" w:rsidRPr="009756AD" w:rsidRDefault="00D15D90" w:rsidP="00D15D90">
      <w:pPr>
        <w:spacing w:line="360" w:lineRule="auto"/>
        <w:rPr>
          <w:rFonts w:ascii="Arial" w:eastAsia="Arial" w:hAnsi="Arial" w:cs="Arial"/>
          <w:bCs/>
          <w:spacing w:val="1"/>
        </w:rPr>
      </w:pPr>
      <w:r w:rsidRPr="009756AD">
        <w:rPr>
          <w:rFonts w:ascii="Arial" w:eastAsia="Arial" w:hAnsi="Arial" w:cs="Arial"/>
          <w:bCs/>
          <w:spacing w:val="1"/>
        </w:rPr>
        <w:t>The Mayoral general budget has two parts:</w:t>
      </w:r>
    </w:p>
    <w:p w14:paraId="7A59B0DE" w14:textId="77777777" w:rsidR="00D15D90" w:rsidRPr="009756AD" w:rsidRDefault="00D15D90" w:rsidP="00D15D90">
      <w:pPr>
        <w:spacing w:line="360" w:lineRule="auto"/>
        <w:rPr>
          <w:rFonts w:ascii="Arial" w:eastAsia="Arial" w:hAnsi="Arial" w:cs="Arial"/>
        </w:rPr>
      </w:pPr>
    </w:p>
    <w:p w14:paraId="5DE32EA1" w14:textId="77777777" w:rsidR="00D15D90" w:rsidRPr="009756AD" w:rsidRDefault="00D15D90" w:rsidP="00D15D90">
      <w:pPr>
        <w:pStyle w:val="ListParagraph"/>
        <w:numPr>
          <w:ilvl w:val="0"/>
          <w:numId w:val="72"/>
        </w:numPr>
        <w:spacing w:after="0" w:line="360" w:lineRule="auto"/>
        <w:ind w:left="284" w:hanging="284"/>
        <w:rPr>
          <w:rFonts w:ascii="Arial" w:eastAsia="Arial" w:hAnsi="Arial" w:cs="Arial"/>
          <w:bCs/>
          <w:spacing w:val="1"/>
          <w:sz w:val="24"/>
          <w:szCs w:val="24"/>
        </w:rPr>
      </w:pPr>
      <w:r w:rsidRPr="009756AD">
        <w:rPr>
          <w:rFonts w:ascii="Arial" w:eastAsia="Arial" w:hAnsi="Arial" w:cs="Arial"/>
          <w:bCs/>
          <w:spacing w:val="1"/>
          <w:sz w:val="24"/>
          <w:szCs w:val="24"/>
        </w:rPr>
        <w:t>Mayoral General budget (excluding Fire and Rescue).</w:t>
      </w:r>
    </w:p>
    <w:p w14:paraId="6F80CB99" w14:textId="77777777" w:rsidR="00D15D90" w:rsidRPr="009756AD" w:rsidRDefault="00D15D90" w:rsidP="00D15D90">
      <w:pPr>
        <w:pStyle w:val="ListParagraph"/>
        <w:numPr>
          <w:ilvl w:val="0"/>
          <w:numId w:val="72"/>
        </w:numPr>
        <w:spacing w:after="0" w:line="360" w:lineRule="auto"/>
        <w:ind w:left="284" w:hanging="284"/>
        <w:rPr>
          <w:rFonts w:ascii="Arial" w:eastAsia="Arial" w:hAnsi="Arial" w:cs="Arial"/>
          <w:bCs/>
          <w:spacing w:val="1"/>
          <w:sz w:val="24"/>
          <w:szCs w:val="24"/>
        </w:rPr>
      </w:pPr>
      <w:r w:rsidRPr="009756AD">
        <w:rPr>
          <w:rFonts w:ascii="Arial" w:eastAsia="Arial" w:hAnsi="Arial" w:cs="Arial"/>
          <w:bCs/>
          <w:spacing w:val="1"/>
          <w:sz w:val="24"/>
          <w:szCs w:val="24"/>
        </w:rPr>
        <w:t xml:space="preserve">Mayoral Fire and Rescue Service budget.  </w:t>
      </w:r>
    </w:p>
    <w:p w14:paraId="3B0FA91D" w14:textId="77777777" w:rsidR="00D15D90" w:rsidRPr="00B15622" w:rsidRDefault="00D15D90" w:rsidP="00D15D90">
      <w:pPr>
        <w:widowControl w:val="0"/>
        <w:spacing w:line="360" w:lineRule="auto"/>
        <w:jc w:val="both"/>
        <w:rPr>
          <w:rFonts w:ascii="Arial" w:hAnsi="Arial" w:cs="Arial"/>
          <w:highlight w:val="yellow"/>
        </w:rPr>
      </w:pPr>
    </w:p>
    <w:p w14:paraId="62D7932D" w14:textId="77777777" w:rsidR="00D15D90" w:rsidRDefault="00D15D90" w:rsidP="00D15D90">
      <w:pPr>
        <w:widowControl w:val="0"/>
        <w:spacing w:line="360" w:lineRule="auto"/>
        <w:rPr>
          <w:rFonts w:ascii="Arial" w:hAnsi="Arial" w:cs="Arial"/>
        </w:rPr>
      </w:pPr>
      <w:r w:rsidRPr="005D0373">
        <w:rPr>
          <w:rFonts w:ascii="Arial" w:hAnsi="Arial" w:cs="Arial"/>
        </w:rPr>
        <w:lastRenderedPageBreak/>
        <w:t xml:space="preserve">The provisional outturn in 2023/24 for the Mayoral general budget (excluding Fire and Rescue) was </w:t>
      </w:r>
      <w:r w:rsidRPr="00D36237">
        <w:rPr>
          <w:rFonts w:ascii="Arial" w:hAnsi="Arial" w:cs="Arial"/>
        </w:rPr>
        <w:t>breakeven. The table below sets out the provisional outturn position against budget:</w:t>
      </w:r>
    </w:p>
    <w:p w14:paraId="033616CB" w14:textId="77777777" w:rsidR="00D15D90" w:rsidRPr="00B15622" w:rsidRDefault="00D15D90" w:rsidP="00D15D90">
      <w:pPr>
        <w:widowControl w:val="0"/>
        <w:spacing w:line="360" w:lineRule="auto"/>
        <w:rPr>
          <w:rFonts w:ascii="Arial" w:hAnsi="Arial" w:cs="Arial"/>
          <w:highlight w:val="yellow"/>
        </w:rPr>
      </w:pPr>
    </w:p>
    <w:tbl>
      <w:tblPr>
        <w:tblW w:w="7456" w:type="dxa"/>
        <w:tblInd w:w="137" w:type="dxa"/>
        <w:tblLook w:val="04A0" w:firstRow="1" w:lastRow="0" w:firstColumn="1" w:lastColumn="0" w:noHBand="0" w:noVBand="1"/>
      </w:tblPr>
      <w:tblGrid>
        <w:gridCol w:w="3763"/>
        <w:gridCol w:w="1244"/>
        <w:gridCol w:w="1510"/>
        <w:gridCol w:w="1224"/>
      </w:tblGrid>
      <w:tr w:rsidR="00D15D90" w:rsidRPr="00D36237" w14:paraId="166C92D7" w14:textId="77777777" w:rsidTr="00012E0D">
        <w:trPr>
          <w:trHeight w:val="458"/>
          <w:tblHeader/>
        </w:trPr>
        <w:tc>
          <w:tcPr>
            <w:tcW w:w="3763"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4D151D5F" w14:textId="77777777" w:rsidR="00D15D90" w:rsidRDefault="00D15D90" w:rsidP="00012E0D">
            <w:pPr>
              <w:rPr>
                <w:rFonts w:ascii="Arial" w:hAnsi="Arial" w:cs="Arial"/>
                <w:b/>
                <w:bCs/>
                <w:color w:val="000000"/>
                <w:lang w:eastAsia="en-GB"/>
              </w:rPr>
            </w:pPr>
            <w:r w:rsidRPr="00D36237">
              <w:rPr>
                <w:rFonts w:ascii="Arial" w:hAnsi="Arial" w:cs="Arial"/>
                <w:b/>
                <w:bCs/>
                <w:color w:val="000000"/>
                <w:lang w:eastAsia="en-GB"/>
              </w:rPr>
              <w:t>Mayoral Budget 2023/24</w:t>
            </w:r>
          </w:p>
          <w:p w14:paraId="3E14A51F" w14:textId="77777777" w:rsidR="00D15D90" w:rsidRPr="00D36237" w:rsidRDefault="00D15D90" w:rsidP="00012E0D">
            <w:pPr>
              <w:rPr>
                <w:rFonts w:ascii="Arial" w:hAnsi="Arial" w:cs="Arial"/>
                <w:b/>
                <w:bCs/>
                <w:color w:val="000000"/>
                <w:lang w:eastAsia="en-GB"/>
              </w:rPr>
            </w:pPr>
            <w:r w:rsidRPr="00D36237">
              <w:rPr>
                <w:rFonts w:ascii="Arial" w:hAnsi="Arial" w:cs="Arial"/>
                <w:b/>
                <w:bCs/>
                <w:color w:val="000000"/>
                <w:lang w:eastAsia="en-GB"/>
              </w:rPr>
              <w:t>Provisional Outturn</w:t>
            </w:r>
          </w:p>
        </w:tc>
        <w:tc>
          <w:tcPr>
            <w:tcW w:w="1075"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390F7E6A" w14:textId="77777777" w:rsidR="00D15D90" w:rsidRPr="00D36237" w:rsidRDefault="00D15D90" w:rsidP="00012E0D">
            <w:pPr>
              <w:jc w:val="center"/>
              <w:rPr>
                <w:rFonts w:ascii="Arial" w:hAnsi="Arial" w:cs="Arial"/>
                <w:b/>
                <w:bCs/>
                <w:color w:val="000000"/>
                <w:lang w:eastAsia="en-GB"/>
              </w:rPr>
            </w:pPr>
            <w:r w:rsidRPr="00D36237">
              <w:rPr>
                <w:rFonts w:ascii="Arial" w:hAnsi="Arial" w:cs="Arial"/>
                <w:b/>
                <w:bCs/>
                <w:color w:val="000000"/>
                <w:lang w:eastAsia="en-GB"/>
              </w:rPr>
              <w:t>Original Budget</w:t>
            </w:r>
          </w:p>
        </w:tc>
        <w:tc>
          <w:tcPr>
            <w:tcW w:w="1394"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22716E6B" w14:textId="77777777" w:rsidR="00D15D90" w:rsidRPr="00D36237" w:rsidRDefault="00D15D90" w:rsidP="00012E0D">
            <w:pPr>
              <w:jc w:val="center"/>
              <w:rPr>
                <w:rFonts w:ascii="Arial" w:hAnsi="Arial" w:cs="Arial"/>
                <w:b/>
                <w:bCs/>
                <w:color w:val="000000"/>
                <w:lang w:eastAsia="en-GB"/>
              </w:rPr>
            </w:pPr>
            <w:r w:rsidRPr="00D36237">
              <w:rPr>
                <w:rFonts w:ascii="Arial" w:hAnsi="Arial" w:cs="Arial"/>
                <w:b/>
                <w:bCs/>
                <w:color w:val="000000"/>
                <w:lang w:eastAsia="en-GB"/>
              </w:rPr>
              <w:t>Provisional Outturn</w:t>
            </w:r>
          </w:p>
        </w:tc>
        <w:tc>
          <w:tcPr>
            <w:tcW w:w="1224"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74A5C467" w14:textId="77777777" w:rsidR="00D15D90" w:rsidRPr="00D36237" w:rsidRDefault="00D15D90" w:rsidP="00012E0D">
            <w:pPr>
              <w:jc w:val="center"/>
              <w:rPr>
                <w:rFonts w:ascii="Arial" w:hAnsi="Arial" w:cs="Arial"/>
                <w:b/>
                <w:bCs/>
                <w:color w:val="000000"/>
                <w:lang w:eastAsia="en-GB"/>
              </w:rPr>
            </w:pPr>
            <w:r w:rsidRPr="00D36237">
              <w:rPr>
                <w:rFonts w:ascii="Arial" w:hAnsi="Arial" w:cs="Arial"/>
                <w:b/>
                <w:bCs/>
                <w:color w:val="000000"/>
                <w:lang w:eastAsia="en-GB"/>
              </w:rPr>
              <w:t>Budget Variance</w:t>
            </w:r>
          </w:p>
        </w:tc>
      </w:tr>
      <w:tr w:rsidR="00D15D90" w:rsidRPr="00D36237" w14:paraId="2A507F89" w14:textId="77777777" w:rsidTr="00012E0D">
        <w:trPr>
          <w:trHeight w:val="458"/>
        </w:trPr>
        <w:tc>
          <w:tcPr>
            <w:tcW w:w="3763"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E49F97A" w14:textId="77777777" w:rsidR="00D15D90" w:rsidRPr="00D36237" w:rsidRDefault="00D15D90" w:rsidP="00012E0D">
            <w:pPr>
              <w:rPr>
                <w:rFonts w:ascii="Arial" w:hAnsi="Arial" w:cs="Arial"/>
                <w:b/>
                <w:bCs/>
                <w:color w:val="000000"/>
                <w:lang w:eastAsia="en-GB"/>
              </w:rPr>
            </w:pPr>
          </w:p>
        </w:tc>
        <w:tc>
          <w:tcPr>
            <w:tcW w:w="1075"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6F4A013" w14:textId="77777777" w:rsidR="00D15D90" w:rsidRPr="00D36237" w:rsidRDefault="00D15D90" w:rsidP="00012E0D">
            <w:pPr>
              <w:rPr>
                <w:rFonts w:ascii="Arial" w:hAnsi="Arial" w:cs="Arial"/>
                <w:b/>
                <w:bCs/>
                <w:color w:val="000000"/>
                <w:lang w:eastAsia="en-GB"/>
              </w:rPr>
            </w:pPr>
          </w:p>
        </w:tc>
        <w:tc>
          <w:tcPr>
            <w:tcW w:w="1394"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01ADE22E" w14:textId="77777777" w:rsidR="00D15D90" w:rsidRPr="00D36237" w:rsidRDefault="00D15D90" w:rsidP="00012E0D">
            <w:pPr>
              <w:rPr>
                <w:rFonts w:ascii="Arial" w:hAnsi="Arial" w:cs="Arial"/>
                <w:b/>
                <w:bCs/>
                <w:color w:val="000000"/>
                <w:lang w:eastAsia="en-GB"/>
              </w:rPr>
            </w:pPr>
          </w:p>
        </w:tc>
        <w:tc>
          <w:tcPr>
            <w:tcW w:w="1224"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06CABA0F" w14:textId="77777777" w:rsidR="00D15D90" w:rsidRPr="00D36237" w:rsidRDefault="00D15D90" w:rsidP="00012E0D">
            <w:pPr>
              <w:rPr>
                <w:rFonts w:ascii="Arial" w:hAnsi="Arial" w:cs="Arial"/>
                <w:b/>
                <w:bCs/>
                <w:color w:val="000000"/>
                <w:lang w:eastAsia="en-GB"/>
              </w:rPr>
            </w:pPr>
          </w:p>
        </w:tc>
      </w:tr>
      <w:tr w:rsidR="00D15D90" w:rsidRPr="00D36237" w14:paraId="5CB9935F" w14:textId="77777777" w:rsidTr="00012E0D">
        <w:trPr>
          <w:trHeight w:val="290"/>
        </w:trPr>
        <w:tc>
          <w:tcPr>
            <w:tcW w:w="3763" w:type="dxa"/>
            <w:tcBorders>
              <w:top w:val="single" w:sz="8" w:space="0" w:color="auto"/>
              <w:left w:val="single" w:sz="8" w:space="0" w:color="auto"/>
              <w:bottom w:val="nil"/>
              <w:right w:val="single" w:sz="8" w:space="0" w:color="auto"/>
            </w:tcBorders>
            <w:shd w:val="clear" w:color="auto" w:fill="auto"/>
            <w:noWrap/>
            <w:vAlign w:val="bottom"/>
            <w:hideMark/>
          </w:tcPr>
          <w:p w14:paraId="6D396A12" w14:textId="77777777" w:rsidR="00D15D90" w:rsidRPr="00D36237" w:rsidRDefault="00D15D90" w:rsidP="00012E0D">
            <w:pPr>
              <w:rPr>
                <w:rFonts w:ascii="Arial" w:hAnsi="Arial" w:cs="Arial"/>
                <w:color w:val="000000"/>
                <w:lang w:eastAsia="en-GB"/>
              </w:rPr>
            </w:pPr>
            <w:r w:rsidRPr="00D36237">
              <w:rPr>
                <w:rFonts w:ascii="Arial" w:hAnsi="Arial" w:cs="Arial"/>
                <w:color w:val="000000"/>
                <w:lang w:eastAsia="en-GB"/>
              </w:rPr>
              <w:t> </w:t>
            </w:r>
          </w:p>
        </w:tc>
        <w:tc>
          <w:tcPr>
            <w:tcW w:w="1075" w:type="dxa"/>
            <w:tcBorders>
              <w:top w:val="single" w:sz="8" w:space="0" w:color="auto"/>
              <w:left w:val="single" w:sz="8" w:space="0" w:color="auto"/>
              <w:bottom w:val="nil"/>
              <w:right w:val="single" w:sz="8" w:space="0" w:color="auto"/>
            </w:tcBorders>
            <w:shd w:val="clear" w:color="auto" w:fill="auto"/>
            <w:noWrap/>
            <w:vAlign w:val="bottom"/>
            <w:hideMark/>
          </w:tcPr>
          <w:p w14:paraId="4EA73826" w14:textId="77777777" w:rsidR="00D15D90" w:rsidRPr="00D36237" w:rsidRDefault="00D15D90" w:rsidP="00012E0D">
            <w:pPr>
              <w:jc w:val="center"/>
              <w:rPr>
                <w:rFonts w:ascii="Arial" w:hAnsi="Arial" w:cs="Arial"/>
                <w:b/>
                <w:bCs/>
                <w:color w:val="000000"/>
                <w:lang w:eastAsia="en-GB"/>
              </w:rPr>
            </w:pPr>
            <w:r w:rsidRPr="00D36237">
              <w:rPr>
                <w:rFonts w:ascii="Arial" w:hAnsi="Arial" w:cs="Arial"/>
                <w:b/>
                <w:bCs/>
                <w:color w:val="000000"/>
                <w:lang w:eastAsia="en-GB"/>
              </w:rPr>
              <w:t>£000</w:t>
            </w:r>
            <w:r>
              <w:rPr>
                <w:rFonts w:ascii="Arial" w:hAnsi="Arial" w:cs="Arial"/>
                <w:b/>
                <w:bCs/>
                <w:color w:val="000000"/>
                <w:lang w:eastAsia="en-GB"/>
              </w:rPr>
              <w:t>s</w:t>
            </w:r>
          </w:p>
        </w:tc>
        <w:tc>
          <w:tcPr>
            <w:tcW w:w="1394" w:type="dxa"/>
            <w:tcBorders>
              <w:top w:val="single" w:sz="8" w:space="0" w:color="auto"/>
              <w:left w:val="single" w:sz="8" w:space="0" w:color="auto"/>
              <w:bottom w:val="nil"/>
              <w:right w:val="single" w:sz="8" w:space="0" w:color="auto"/>
            </w:tcBorders>
            <w:shd w:val="clear" w:color="auto" w:fill="auto"/>
            <w:noWrap/>
            <w:vAlign w:val="bottom"/>
            <w:hideMark/>
          </w:tcPr>
          <w:p w14:paraId="0021F8ED" w14:textId="77777777" w:rsidR="00D15D90" w:rsidRPr="00D36237" w:rsidRDefault="00D15D90" w:rsidP="00012E0D">
            <w:pPr>
              <w:jc w:val="center"/>
              <w:rPr>
                <w:rFonts w:ascii="Arial" w:hAnsi="Arial" w:cs="Arial"/>
                <w:b/>
                <w:bCs/>
                <w:color w:val="000000"/>
                <w:lang w:eastAsia="en-GB"/>
              </w:rPr>
            </w:pPr>
            <w:r w:rsidRPr="00D36237">
              <w:rPr>
                <w:rFonts w:ascii="Arial" w:hAnsi="Arial" w:cs="Arial"/>
                <w:b/>
                <w:bCs/>
                <w:color w:val="000000"/>
                <w:lang w:eastAsia="en-GB"/>
              </w:rPr>
              <w:t>£000</w:t>
            </w:r>
            <w:r>
              <w:rPr>
                <w:rFonts w:ascii="Arial" w:hAnsi="Arial" w:cs="Arial"/>
                <w:b/>
                <w:bCs/>
                <w:color w:val="000000"/>
                <w:lang w:eastAsia="en-GB"/>
              </w:rPr>
              <w:t>s</w:t>
            </w:r>
          </w:p>
        </w:tc>
        <w:tc>
          <w:tcPr>
            <w:tcW w:w="1224" w:type="dxa"/>
            <w:tcBorders>
              <w:top w:val="single" w:sz="8" w:space="0" w:color="auto"/>
              <w:left w:val="single" w:sz="8" w:space="0" w:color="auto"/>
              <w:bottom w:val="nil"/>
              <w:right w:val="single" w:sz="8" w:space="0" w:color="auto"/>
            </w:tcBorders>
            <w:shd w:val="clear" w:color="auto" w:fill="auto"/>
            <w:noWrap/>
            <w:vAlign w:val="bottom"/>
            <w:hideMark/>
          </w:tcPr>
          <w:p w14:paraId="32575DE3" w14:textId="77777777" w:rsidR="00D15D90" w:rsidRPr="00D36237" w:rsidRDefault="00D15D90" w:rsidP="00012E0D">
            <w:pPr>
              <w:jc w:val="center"/>
              <w:rPr>
                <w:rFonts w:ascii="Arial" w:hAnsi="Arial" w:cs="Arial"/>
                <w:b/>
                <w:bCs/>
                <w:color w:val="000000"/>
                <w:lang w:eastAsia="en-GB"/>
              </w:rPr>
            </w:pPr>
            <w:r w:rsidRPr="00D36237">
              <w:rPr>
                <w:rFonts w:ascii="Arial" w:hAnsi="Arial" w:cs="Arial"/>
                <w:b/>
                <w:bCs/>
                <w:color w:val="000000"/>
                <w:lang w:eastAsia="en-GB"/>
              </w:rPr>
              <w:t>£000</w:t>
            </w:r>
            <w:r>
              <w:rPr>
                <w:rFonts w:ascii="Arial" w:hAnsi="Arial" w:cs="Arial"/>
                <w:b/>
                <w:bCs/>
                <w:color w:val="000000"/>
                <w:lang w:eastAsia="en-GB"/>
              </w:rPr>
              <w:t>s</w:t>
            </w:r>
          </w:p>
        </w:tc>
      </w:tr>
      <w:tr w:rsidR="00D15D90" w:rsidRPr="00D36237" w14:paraId="4F82E1B1" w14:textId="77777777" w:rsidTr="00012E0D">
        <w:trPr>
          <w:trHeight w:val="290"/>
        </w:trPr>
        <w:tc>
          <w:tcPr>
            <w:tcW w:w="3763" w:type="dxa"/>
            <w:tcBorders>
              <w:top w:val="nil"/>
              <w:left w:val="single" w:sz="8" w:space="0" w:color="auto"/>
              <w:bottom w:val="nil"/>
              <w:right w:val="single" w:sz="8" w:space="0" w:color="auto"/>
            </w:tcBorders>
            <w:shd w:val="clear" w:color="auto" w:fill="auto"/>
            <w:noWrap/>
            <w:vAlign w:val="bottom"/>
            <w:hideMark/>
          </w:tcPr>
          <w:p w14:paraId="56579DCB" w14:textId="77777777" w:rsidR="00D15D90" w:rsidRPr="00D36237" w:rsidRDefault="00D15D90" w:rsidP="00012E0D">
            <w:pPr>
              <w:rPr>
                <w:rFonts w:ascii="Arial" w:hAnsi="Arial" w:cs="Arial"/>
                <w:color w:val="000000"/>
                <w:lang w:eastAsia="en-GB"/>
              </w:rPr>
            </w:pPr>
            <w:r w:rsidRPr="00D36237">
              <w:rPr>
                <w:rFonts w:ascii="Arial" w:hAnsi="Arial" w:cs="Arial"/>
                <w:color w:val="000000"/>
                <w:lang w:eastAsia="en-GB"/>
              </w:rPr>
              <w:t>Mayor’s Office</w:t>
            </w:r>
          </w:p>
        </w:tc>
        <w:tc>
          <w:tcPr>
            <w:tcW w:w="1075" w:type="dxa"/>
            <w:tcBorders>
              <w:top w:val="nil"/>
              <w:left w:val="single" w:sz="8" w:space="0" w:color="auto"/>
              <w:bottom w:val="nil"/>
              <w:right w:val="single" w:sz="8" w:space="0" w:color="auto"/>
            </w:tcBorders>
            <w:shd w:val="clear" w:color="auto" w:fill="auto"/>
            <w:noWrap/>
            <w:vAlign w:val="bottom"/>
            <w:hideMark/>
          </w:tcPr>
          <w:p w14:paraId="7A4D5F5E"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526</w:t>
            </w:r>
          </w:p>
        </w:tc>
        <w:tc>
          <w:tcPr>
            <w:tcW w:w="1394" w:type="dxa"/>
            <w:tcBorders>
              <w:top w:val="nil"/>
              <w:left w:val="single" w:sz="8" w:space="0" w:color="auto"/>
              <w:bottom w:val="nil"/>
              <w:right w:val="single" w:sz="8" w:space="0" w:color="auto"/>
            </w:tcBorders>
            <w:shd w:val="clear" w:color="auto" w:fill="auto"/>
            <w:noWrap/>
            <w:vAlign w:val="bottom"/>
            <w:hideMark/>
          </w:tcPr>
          <w:p w14:paraId="05508533"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668</w:t>
            </w:r>
          </w:p>
        </w:tc>
        <w:tc>
          <w:tcPr>
            <w:tcW w:w="1224" w:type="dxa"/>
            <w:tcBorders>
              <w:top w:val="nil"/>
              <w:left w:val="single" w:sz="8" w:space="0" w:color="auto"/>
              <w:bottom w:val="nil"/>
              <w:right w:val="single" w:sz="8" w:space="0" w:color="auto"/>
            </w:tcBorders>
            <w:shd w:val="clear" w:color="auto" w:fill="auto"/>
            <w:noWrap/>
            <w:vAlign w:val="bottom"/>
            <w:hideMark/>
          </w:tcPr>
          <w:p w14:paraId="7D12A64D"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142</w:t>
            </w:r>
          </w:p>
        </w:tc>
      </w:tr>
      <w:tr w:rsidR="00D15D90" w:rsidRPr="00D36237" w14:paraId="405ED64D" w14:textId="77777777" w:rsidTr="00012E0D">
        <w:trPr>
          <w:trHeight w:val="290"/>
        </w:trPr>
        <w:tc>
          <w:tcPr>
            <w:tcW w:w="3763" w:type="dxa"/>
            <w:tcBorders>
              <w:top w:val="nil"/>
              <w:left w:val="single" w:sz="8" w:space="0" w:color="auto"/>
              <w:bottom w:val="nil"/>
              <w:right w:val="single" w:sz="8" w:space="0" w:color="auto"/>
            </w:tcBorders>
            <w:shd w:val="clear" w:color="auto" w:fill="auto"/>
            <w:noWrap/>
            <w:vAlign w:val="bottom"/>
            <w:hideMark/>
          </w:tcPr>
          <w:p w14:paraId="6B1917BE" w14:textId="77777777" w:rsidR="00D15D90" w:rsidRPr="00D36237" w:rsidRDefault="00D15D90" w:rsidP="00012E0D">
            <w:pPr>
              <w:rPr>
                <w:rFonts w:ascii="Arial" w:hAnsi="Arial" w:cs="Arial"/>
                <w:color w:val="000000"/>
                <w:lang w:eastAsia="en-GB"/>
              </w:rPr>
            </w:pPr>
            <w:r w:rsidRPr="00D36237">
              <w:rPr>
                <w:rFonts w:ascii="Arial" w:hAnsi="Arial" w:cs="Arial"/>
                <w:color w:val="000000"/>
                <w:lang w:eastAsia="en-GB"/>
              </w:rPr>
              <w:t>Corporate Recharge</w:t>
            </w:r>
          </w:p>
        </w:tc>
        <w:tc>
          <w:tcPr>
            <w:tcW w:w="1075" w:type="dxa"/>
            <w:tcBorders>
              <w:top w:val="nil"/>
              <w:left w:val="single" w:sz="8" w:space="0" w:color="auto"/>
              <w:bottom w:val="nil"/>
              <w:right w:val="single" w:sz="8" w:space="0" w:color="auto"/>
            </w:tcBorders>
            <w:shd w:val="clear" w:color="auto" w:fill="auto"/>
            <w:noWrap/>
            <w:vAlign w:val="bottom"/>
            <w:hideMark/>
          </w:tcPr>
          <w:p w14:paraId="3CB0C910"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826</w:t>
            </w:r>
          </w:p>
        </w:tc>
        <w:tc>
          <w:tcPr>
            <w:tcW w:w="1394" w:type="dxa"/>
            <w:tcBorders>
              <w:top w:val="nil"/>
              <w:left w:val="single" w:sz="8" w:space="0" w:color="auto"/>
              <w:bottom w:val="nil"/>
              <w:right w:val="single" w:sz="8" w:space="0" w:color="auto"/>
            </w:tcBorders>
            <w:shd w:val="clear" w:color="auto" w:fill="auto"/>
            <w:noWrap/>
            <w:vAlign w:val="bottom"/>
            <w:hideMark/>
          </w:tcPr>
          <w:p w14:paraId="651E3A29"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826</w:t>
            </w:r>
          </w:p>
        </w:tc>
        <w:tc>
          <w:tcPr>
            <w:tcW w:w="1224" w:type="dxa"/>
            <w:tcBorders>
              <w:top w:val="nil"/>
              <w:left w:val="single" w:sz="8" w:space="0" w:color="auto"/>
              <w:bottom w:val="nil"/>
              <w:right w:val="single" w:sz="8" w:space="0" w:color="auto"/>
            </w:tcBorders>
            <w:shd w:val="clear" w:color="auto" w:fill="auto"/>
            <w:noWrap/>
            <w:vAlign w:val="bottom"/>
            <w:hideMark/>
          </w:tcPr>
          <w:p w14:paraId="53AA1E72"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0</w:t>
            </w:r>
          </w:p>
        </w:tc>
      </w:tr>
      <w:tr w:rsidR="00D15D90" w:rsidRPr="00D36237" w14:paraId="0288C6E0" w14:textId="77777777" w:rsidTr="00012E0D">
        <w:trPr>
          <w:trHeight w:val="290"/>
        </w:trPr>
        <w:tc>
          <w:tcPr>
            <w:tcW w:w="3763" w:type="dxa"/>
            <w:tcBorders>
              <w:top w:val="nil"/>
              <w:left w:val="single" w:sz="8" w:space="0" w:color="auto"/>
              <w:bottom w:val="nil"/>
              <w:right w:val="single" w:sz="8" w:space="0" w:color="auto"/>
            </w:tcBorders>
            <w:shd w:val="clear" w:color="auto" w:fill="auto"/>
            <w:noWrap/>
            <w:vAlign w:val="bottom"/>
            <w:hideMark/>
          </w:tcPr>
          <w:p w14:paraId="11502E7A" w14:textId="77777777" w:rsidR="00D15D90" w:rsidRPr="00D36237" w:rsidRDefault="00D15D90" w:rsidP="00012E0D">
            <w:pPr>
              <w:rPr>
                <w:rFonts w:ascii="Arial" w:hAnsi="Arial" w:cs="Arial"/>
                <w:color w:val="000000"/>
                <w:lang w:eastAsia="en-GB"/>
              </w:rPr>
            </w:pPr>
            <w:r w:rsidRPr="00D36237">
              <w:rPr>
                <w:rFonts w:ascii="Arial" w:hAnsi="Arial" w:cs="Arial"/>
                <w:color w:val="000000"/>
                <w:lang w:eastAsia="en-GB"/>
              </w:rPr>
              <w:t>Mayoral Priorities</w:t>
            </w:r>
          </w:p>
        </w:tc>
        <w:tc>
          <w:tcPr>
            <w:tcW w:w="1075" w:type="dxa"/>
            <w:tcBorders>
              <w:top w:val="nil"/>
              <w:left w:val="single" w:sz="8" w:space="0" w:color="auto"/>
              <w:bottom w:val="nil"/>
              <w:right w:val="single" w:sz="8" w:space="0" w:color="auto"/>
            </w:tcBorders>
            <w:shd w:val="clear" w:color="auto" w:fill="auto"/>
            <w:noWrap/>
            <w:vAlign w:val="bottom"/>
            <w:hideMark/>
          </w:tcPr>
          <w:p w14:paraId="4C13C461"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3,050</w:t>
            </w:r>
          </w:p>
        </w:tc>
        <w:tc>
          <w:tcPr>
            <w:tcW w:w="1394" w:type="dxa"/>
            <w:tcBorders>
              <w:top w:val="nil"/>
              <w:left w:val="single" w:sz="8" w:space="0" w:color="auto"/>
              <w:bottom w:val="nil"/>
              <w:right w:val="single" w:sz="8" w:space="0" w:color="auto"/>
            </w:tcBorders>
            <w:shd w:val="clear" w:color="auto" w:fill="auto"/>
            <w:noWrap/>
            <w:vAlign w:val="bottom"/>
            <w:hideMark/>
          </w:tcPr>
          <w:p w14:paraId="2D6190B6"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3,715</w:t>
            </w:r>
          </w:p>
        </w:tc>
        <w:tc>
          <w:tcPr>
            <w:tcW w:w="1224" w:type="dxa"/>
            <w:tcBorders>
              <w:top w:val="nil"/>
              <w:left w:val="single" w:sz="8" w:space="0" w:color="auto"/>
              <w:bottom w:val="nil"/>
              <w:right w:val="single" w:sz="8" w:space="0" w:color="auto"/>
            </w:tcBorders>
            <w:shd w:val="clear" w:color="auto" w:fill="auto"/>
            <w:noWrap/>
            <w:vAlign w:val="bottom"/>
            <w:hideMark/>
          </w:tcPr>
          <w:p w14:paraId="12F956EF"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665</w:t>
            </w:r>
          </w:p>
        </w:tc>
      </w:tr>
      <w:tr w:rsidR="00D15D90" w:rsidRPr="00D36237" w14:paraId="40CD5004" w14:textId="77777777" w:rsidTr="00012E0D">
        <w:trPr>
          <w:trHeight w:val="290"/>
        </w:trPr>
        <w:tc>
          <w:tcPr>
            <w:tcW w:w="3763" w:type="dxa"/>
            <w:tcBorders>
              <w:top w:val="nil"/>
              <w:left w:val="single" w:sz="8" w:space="0" w:color="auto"/>
              <w:bottom w:val="single" w:sz="8" w:space="0" w:color="auto"/>
              <w:right w:val="single" w:sz="8" w:space="0" w:color="auto"/>
            </w:tcBorders>
            <w:shd w:val="clear" w:color="auto" w:fill="auto"/>
            <w:noWrap/>
            <w:vAlign w:val="bottom"/>
            <w:hideMark/>
          </w:tcPr>
          <w:p w14:paraId="54422DC1" w14:textId="77777777" w:rsidR="00D15D90" w:rsidRPr="00D36237" w:rsidRDefault="00D15D90" w:rsidP="00012E0D">
            <w:pPr>
              <w:rPr>
                <w:rFonts w:ascii="Arial" w:hAnsi="Arial" w:cs="Arial"/>
                <w:color w:val="000000"/>
                <w:lang w:eastAsia="en-GB"/>
              </w:rPr>
            </w:pPr>
            <w:r w:rsidRPr="00D36237">
              <w:rPr>
                <w:rFonts w:ascii="Arial" w:hAnsi="Arial" w:cs="Arial"/>
                <w:color w:val="000000"/>
                <w:lang w:eastAsia="en-GB"/>
              </w:rPr>
              <w:t xml:space="preserve">Mayoral Transport </w:t>
            </w:r>
          </w:p>
        </w:tc>
        <w:tc>
          <w:tcPr>
            <w:tcW w:w="1075" w:type="dxa"/>
            <w:tcBorders>
              <w:top w:val="nil"/>
              <w:left w:val="single" w:sz="8" w:space="0" w:color="auto"/>
              <w:bottom w:val="single" w:sz="8" w:space="0" w:color="auto"/>
              <w:right w:val="single" w:sz="8" w:space="0" w:color="auto"/>
            </w:tcBorders>
            <w:shd w:val="clear" w:color="auto" w:fill="auto"/>
            <w:noWrap/>
            <w:vAlign w:val="bottom"/>
            <w:hideMark/>
          </w:tcPr>
          <w:p w14:paraId="09E22FAB"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135,336</w:t>
            </w:r>
          </w:p>
        </w:tc>
        <w:tc>
          <w:tcPr>
            <w:tcW w:w="1394" w:type="dxa"/>
            <w:tcBorders>
              <w:top w:val="nil"/>
              <w:left w:val="single" w:sz="8" w:space="0" w:color="auto"/>
              <w:bottom w:val="single" w:sz="8" w:space="0" w:color="auto"/>
              <w:right w:val="single" w:sz="8" w:space="0" w:color="auto"/>
            </w:tcBorders>
            <w:shd w:val="clear" w:color="auto" w:fill="auto"/>
            <w:noWrap/>
            <w:vAlign w:val="bottom"/>
            <w:hideMark/>
          </w:tcPr>
          <w:p w14:paraId="454B627A"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123,924</w:t>
            </w:r>
          </w:p>
        </w:tc>
        <w:tc>
          <w:tcPr>
            <w:tcW w:w="1224" w:type="dxa"/>
            <w:tcBorders>
              <w:top w:val="nil"/>
              <w:left w:val="single" w:sz="8" w:space="0" w:color="auto"/>
              <w:bottom w:val="single" w:sz="8" w:space="0" w:color="auto"/>
              <w:right w:val="single" w:sz="8" w:space="0" w:color="auto"/>
            </w:tcBorders>
            <w:shd w:val="clear" w:color="auto" w:fill="auto"/>
            <w:noWrap/>
            <w:vAlign w:val="bottom"/>
            <w:hideMark/>
          </w:tcPr>
          <w:p w14:paraId="780DB45D"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(11,412)</w:t>
            </w:r>
          </w:p>
        </w:tc>
      </w:tr>
      <w:tr w:rsidR="00D15D90" w:rsidRPr="00D36237" w14:paraId="082C56ED" w14:textId="77777777" w:rsidTr="00012E0D">
        <w:trPr>
          <w:trHeight w:val="290"/>
        </w:trPr>
        <w:tc>
          <w:tcPr>
            <w:tcW w:w="376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838997" w14:textId="77777777" w:rsidR="00D15D90" w:rsidRPr="00D36237" w:rsidRDefault="00D15D90" w:rsidP="00012E0D">
            <w:pPr>
              <w:rPr>
                <w:rFonts w:ascii="Arial" w:hAnsi="Arial" w:cs="Arial"/>
                <w:b/>
                <w:bCs/>
                <w:color w:val="000000"/>
                <w:lang w:eastAsia="en-GB"/>
              </w:rPr>
            </w:pPr>
            <w:r w:rsidRPr="00D36237">
              <w:rPr>
                <w:rFonts w:ascii="Arial" w:hAnsi="Arial" w:cs="Arial"/>
                <w:b/>
                <w:bCs/>
                <w:color w:val="000000"/>
                <w:lang w:eastAsia="en-GB"/>
              </w:rPr>
              <w:t>Gross Expenditure</w:t>
            </w:r>
          </w:p>
        </w:tc>
        <w:tc>
          <w:tcPr>
            <w:tcW w:w="10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421B0F" w14:textId="77777777" w:rsidR="00D15D90" w:rsidRPr="00D36237" w:rsidRDefault="00D15D90" w:rsidP="00012E0D">
            <w:pPr>
              <w:jc w:val="right"/>
              <w:rPr>
                <w:rFonts w:ascii="Arial" w:hAnsi="Arial" w:cs="Arial"/>
                <w:b/>
                <w:bCs/>
                <w:color w:val="000000"/>
                <w:lang w:eastAsia="en-GB"/>
              </w:rPr>
            </w:pPr>
            <w:r w:rsidRPr="00D36237">
              <w:rPr>
                <w:rFonts w:ascii="Arial" w:hAnsi="Arial" w:cs="Arial"/>
                <w:b/>
                <w:bCs/>
                <w:color w:val="000000"/>
                <w:lang w:eastAsia="en-GB"/>
              </w:rPr>
              <w:t>139,738</w:t>
            </w:r>
          </w:p>
        </w:tc>
        <w:tc>
          <w:tcPr>
            <w:tcW w:w="13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14C093" w14:textId="77777777" w:rsidR="00D15D90" w:rsidRPr="00D36237" w:rsidRDefault="00D15D90" w:rsidP="00012E0D">
            <w:pPr>
              <w:jc w:val="right"/>
              <w:rPr>
                <w:rFonts w:ascii="Arial" w:hAnsi="Arial" w:cs="Arial"/>
                <w:b/>
                <w:bCs/>
                <w:color w:val="000000"/>
                <w:lang w:eastAsia="en-GB"/>
              </w:rPr>
            </w:pPr>
            <w:r w:rsidRPr="00D36237">
              <w:rPr>
                <w:rFonts w:ascii="Arial" w:hAnsi="Arial" w:cs="Arial"/>
                <w:b/>
                <w:bCs/>
                <w:color w:val="000000"/>
                <w:lang w:eastAsia="en-GB"/>
              </w:rPr>
              <w:t>129,133</w:t>
            </w:r>
          </w:p>
        </w:tc>
        <w:tc>
          <w:tcPr>
            <w:tcW w:w="122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2CB51A" w14:textId="77777777" w:rsidR="00D15D90" w:rsidRPr="00D36237" w:rsidRDefault="00D15D90" w:rsidP="00012E0D">
            <w:pPr>
              <w:jc w:val="right"/>
              <w:rPr>
                <w:rFonts w:ascii="Arial" w:hAnsi="Arial" w:cs="Arial"/>
                <w:b/>
                <w:bCs/>
                <w:color w:val="000000"/>
                <w:lang w:eastAsia="en-GB"/>
              </w:rPr>
            </w:pPr>
            <w:r w:rsidRPr="00D36237">
              <w:rPr>
                <w:rFonts w:ascii="Arial" w:hAnsi="Arial" w:cs="Arial"/>
                <w:b/>
                <w:bCs/>
                <w:color w:val="000000"/>
                <w:lang w:eastAsia="en-GB"/>
              </w:rPr>
              <w:t>(10,605)</w:t>
            </w:r>
          </w:p>
        </w:tc>
      </w:tr>
      <w:tr w:rsidR="00D15D90" w:rsidRPr="00D36237" w14:paraId="6CC6F1A0" w14:textId="77777777" w:rsidTr="00012E0D">
        <w:trPr>
          <w:trHeight w:val="290"/>
        </w:trPr>
        <w:tc>
          <w:tcPr>
            <w:tcW w:w="3763" w:type="dxa"/>
            <w:tcBorders>
              <w:top w:val="single" w:sz="8" w:space="0" w:color="auto"/>
              <w:left w:val="single" w:sz="8" w:space="0" w:color="auto"/>
              <w:bottom w:val="nil"/>
              <w:right w:val="single" w:sz="8" w:space="0" w:color="auto"/>
            </w:tcBorders>
            <w:shd w:val="clear" w:color="auto" w:fill="auto"/>
            <w:noWrap/>
            <w:vAlign w:val="bottom"/>
            <w:hideMark/>
          </w:tcPr>
          <w:p w14:paraId="280F8995" w14:textId="77777777" w:rsidR="00D15D90" w:rsidRPr="00D36237" w:rsidRDefault="00D15D90" w:rsidP="00012E0D">
            <w:pPr>
              <w:rPr>
                <w:rFonts w:ascii="Arial" w:hAnsi="Arial" w:cs="Arial"/>
                <w:b/>
                <w:bCs/>
                <w:color w:val="000000"/>
                <w:lang w:eastAsia="en-GB"/>
              </w:rPr>
            </w:pPr>
            <w:r w:rsidRPr="00D36237">
              <w:rPr>
                <w:rFonts w:ascii="Arial" w:hAnsi="Arial" w:cs="Arial"/>
                <w:b/>
                <w:bCs/>
                <w:color w:val="000000"/>
                <w:lang w:eastAsia="en-GB"/>
              </w:rPr>
              <w:t>Funded by:</w:t>
            </w:r>
          </w:p>
        </w:tc>
        <w:tc>
          <w:tcPr>
            <w:tcW w:w="1075" w:type="dxa"/>
            <w:tcBorders>
              <w:top w:val="single" w:sz="8" w:space="0" w:color="auto"/>
              <w:left w:val="single" w:sz="8" w:space="0" w:color="auto"/>
              <w:bottom w:val="nil"/>
              <w:right w:val="single" w:sz="8" w:space="0" w:color="auto"/>
            </w:tcBorders>
            <w:shd w:val="clear" w:color="auto" w:fill="auto"/>
            <w:noWrap/>
            <w:vAlign w:val="bottom"/>
            <w:hideMark/>
          </w:tcPr>
          <w:p w14:paraId="771DEE89" w14:textId="77777777" w:rsidR="00D15D90" w:rsidRPr="00D36237" w:rsidRDefault="00D15D90" w:rsidP="00012E0D">
            <w:pPr>
              <w:rPr>
                <w:rFonts w:ascii="Arial" w:hAnsi="Arial" w:cs="Arial"/>
                <w:b/>
                <w:bCs/>
                <w:color w:val="000000"/>
                <w:lang w:eastAsia="en-GB"/>
              </w:rPr>
            </w:pPr>
            <w:r w:rsidRPr="00D36237">
              <w:rPr>
                <w:rFonts w:ascii="Arial" w:hAnsi="Arial" w:cs="Arial"/>
                <w:b/>
                <w:bCs/>
                <w:color w:val="000000"/>
                <w:lang w:eastAsia="en-GB"/>
              </w:rPr>
              <w:t> </w:t>
            </w:r>
          </w:p>
        </w:tc>
        <w:tc>
          <w:tcPr>
            <w:tcW w:w="1394" w:type="dxa"/>
            <w:tcBorders>
              <w:top w:val="single" w:sz="8" w:space="0" w:color="auto"/>
              <w:left w:val="single" w:sz="8" w:space="0" w:color="auto"/>
              <w:bottom w:val="nil"/>
              <w:right w:val="single" w:sz="8" w:space="0" w:color="auto"/>
            </w:tcBorders>
            <w:shd w:val="clear" w:color="auto" w:fill="auto"/>
            <w:noWrap/>
            <w:vAlign w:val="bottom"/>
            <w:hideMark/>
          </w:tcPr>
          <w:p w14:paraId="5254F16C" w14:textId="77777777" w:rsidR="00D15D90" w:rsidRPr="00D36237" w:rsidRDefault="00D15D90" w:rsidP="00012E0D">
            <w:pPr>
              <w:rPr>
                <w:rFonts w:ascii="Arial" w:hAnsi="Arial" w:cs="Arial"/>
                <w:lang w:eastAsia="en-GB"/>
              </w:rPr>
            </w:pPr>
          </w:p>
        </w:tc>
        <w:tc>
          <w:tcPr>
            <w:tcW w:w="1224" w:type="dxa"/>
            <w:tcBorders>
              <w:top w:val="single" w:sz="8" w:space="0" w:color="auto"/>
              <w:left w:val="single" w:sz="8" w:space="0" w:color="auto"/>
              <w:bottom w:val="nil"/>
              <w:right w:val="single" w:sz="8" w:space="0" w:color="auto"/>
            </w:tcBorders>
            <w:shd w:val="clear" w:color="auto" w:fill="auto"/>
            <w:noWrap/>
            <w:vAlign w:val="bottom"/>
            <w:hideMark/>
          </w:tcPr>
          <w:p w14:paraId="1FBE90D5" w14:textId="77777777" w:rsidR="00D15D90" w:rsidRPr="00D36237" w:rsidRDefault="00D15D90" w:rsidP="00012E0D">
            <w:pPr>
              <w:rPr>
                <w:rFonts w:ascii="Arial" w:hAnsi="Arial" w:cs="Arial"/>
                <w:b/>
                <w:bCs/>
                <w:color w:val="000000"/>
                <w:lang w:eastAsia="en-GB"/>
              </w:rPr>
            </w:pPr>
          </w:p>
        </w:tc>
      </w:tr>
      <w:tr w:rsidR="00D15D90" w:rsidRPr="00D36237" w14:paraId="16DDE592" w14:textId="77777777" w:rsidTr="00012E0D">
        <w:trPr>
          <w:trHeight w:val="290"/>
        </w:trPr>
        <w:tc>
          <w:tcPr>
            <w:tcW w:w="3763" w:type="dxa"/>
            <w:tcBorders>
              <w:top w:val="nil"/>
              <w:left w:val="single" w:sz="8" w:space="0" w:color="auto"/>
              <w:bottom w:val="nil"/>
              <w:right w:val="single" w:sz="8" w:space="0" w:color="auto"/>
            </w:tcBorders>
            <w:shd w:val="clear" w:color="auto" w:fill="auto"/>
            <w:noWrap/>
            <w:vAlign w:val="bottom"/>
            <w:hideMark/>
          </w:tcPr>
          <w:p w14:paraId="27307472" w14:textId="77777777" w:rsidR="00D15D90" w:rsidRPr="00D36237" w:rsidRDefault="00D15D90" w:rsidP="00012E0D">
            <w:pPr>
              <w:rPr>
                <w:rFonts w:ascii="Arial" w:hAnsi="Arial" w:cs="Arial"/>
                <w:color w:val="000000"/>
                <w:lang w:eastAsia="en-GB"/>
              </w:rPr>
            </w:pPr>
            <w:r w:rsidRPr="00D36237">
              <w:rPr>
                <w:rFonts w:ascii="Arial" w:hAnsi="Arial" w:cs="Arial"/>
                <w:color w:val="000000"/>
                <w:lang w:eastAsia="en-GB"/>
              </w:rPr>
              <w:t>Mayoral Precept</w:t>
            </w:r>
          </w:p>
        </w:tc>
        <w:tc>
          <w:tcPr>
            <w:tcW w:w="1075" w:type="dxa"/>
            <w:tcBorders>
              <w:top w:val="nil"/>
              <w:left w:val="single" w:sz="8" w:space="0" w:color="auto"/>
              <w:bottom w:val="nil"/>
              <w:right w:val="single" w:sz="8" w:space="0" w:color="auto"/>
            </w:tcBorders>
            <w:shd w:val="clear" w:color="auto" w:fill="auto"/>
            <w:noWrap/>
            <w:vAlign w:val="bottom"/>
            <w:hideMark/>
          </w:tcPr>
          <w:p w14:paraId="08F013DB"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(25,193)</w:t>
            </w:r>
          </w:p>
        </w:tc>
        <w:tc>
          <w:tcPr>
            <w:tcW w:w="1394" w:type="dxa"/>
            <w:tcBorders>
              <w:top w:val="nil"/>
              <w:left w:val="single" w:sz="8" w:space="0" w:color="auto"/>
              <w:bottom w:val="nil"/>
              <w:right w:val="single" w:sz="8" w:space="0" w:color="auto"/>
            </w:tcBorders>
            <w:shd w:val="clear" w:color="auto" w:fill="auto"/>
            <w:noWrap/>
            <w:vAlign w:val="bottom"/>
            <w:hideMark/>
          </w:tcPr>
          <w:p w14:paraId="7D36753F"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(25,180)</w:t>
            </w:r>
          </w:p>
        </w:tc>
        <w:tc>
          <w:tcPr>
            <w:tcW w:w="1224" w:type="dxa"/>
            <w:tcBorders>
              <w:top w:val="nil"/>
              <w:left w:val="single" w:sz="8" w:space="0" w:color="auto"/>
              <w:bottom w:val="nil"/>
              <w:right w:val="single" w:sz="8" w:space="0" w:color="auto"/>
            </w:tcBorders>
            <w:shd w:val="clear" w:color="auto" w:fill="auto"/>
            <w:noWrap/>
            <w:vAlign w:val="bottom"/>
            <w:hideMark/>
          </w:tcPr>
          <w:p w14:paraId="2D3CF709"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13</w:t>
            </w:r>
          </w:p>
        </w:tc>
      </w:tr>
      <w:tr w:rsidR="00D15D90" w:rsidRPr="00D36237" w14:paraId="392C2998" w14:textId="77777777" w:rsidTr="00012E0D">
        <w:trPr>
          <w:trHeight w:val="290"/>
        </w:trPr>
        <w:tc>
          <w:tcPr>
            <w:tcW w:w="3763" w:type="dxa"/>
            <w:tcBorders>
              <w:top w:val="nil"/>
              <w:left w:val="single" w:sz="8" w:space="0" w:color="auto"/>
              <w:bottom w:val="nil"/>
              <w:right w:val="single" w:sz="8" w:space="0" w:color="auto"/>
            </w:tcBorders>
            <w:shd w:val="clear" w:color="auto" w:fill="auto"/>
            <w:noWrap/>
            <w:vAlign w:val="bottom"/>
            <w:hideMark/>
          </w:tcPr>
          <w:p w14:paraId="59BCC896" w14:textId="77777777" w:rsidR="00D15D90" w:rsidRPr="00D36237" w:rsidRDefault="00D15D90" w:rsidP="00012E0D">
            <w:pPr>
              <w:rPr>
                <w:rFonts w:ascii="Arial" w:hAnsi="Arial" w:cs="Arial"/>
                <w:color w:val="000000"/>
                <w:lang w:eastAsia="en-GB"/>
              </w:rPr>
            </w:pPr>
            <w:r w:rsidRPr="00D36237">
              <w:rPr>
                <w:rFonts w:ascii="Arial" w:hAnsi="Arial" w:cs="Arial"/>
                <w:color w:val="000000"/>
                <w:lang w:eastAsia="en-GB"/>
              </w:rPr>
              <w:t>Collection Fund Surplus /-Deficit</w:t>
            </w:r>
          </w:p>
        </w:tc>
        <w:tc>
          <w:tcPr>
            <w:tcW w:w="1075" w:type="dxa"/>
            <w:tcBorders>
              <w:top w:val="nil"/>
              <w:left w:val="single" w:sz="8" w:space="0" w:color="auto"/>
              <w:bottom w:val="nil"/>
              <w:right w:val="single" w:sz="8" w:space="0" w:color="auto"/>
            </w:tcBorders>
            <w:shd w:val="clear" w:color="auto" w:fill="auto"/>
            <w:noWrap/>
            <w:vAlign w:val="bottom"/>
            <w:hideMark/>
          </w:tcPr>
          <w:p w14:paraId="3A680553"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(1,059)</w:t>
            </w:r>
          </w:p>
        </w:tc>
        <w:tc>
          <w:tcPr>
            <w:tcW w:w="1394" w:type="dxa"/>
            <w:tcBorders>
              <w:top w:val="nil"/>
              <w:left w:val="single" w:sz="8" w:space="0" w:color="auto"/>
              <w:bottom w:val="nil"/>
              <w:right w:val="single" w:sz="8" w:space="0" w:color="auto"/>
            </w:tcBorders>
            <w:shd w:val="clear" w:color="auto" w:fill="auto"/>
            <w:noWrap/>
            <w:vAlign w:val="bottom"/>
            <w:hideMark/>
          </w:tcPr>
          <w:p w14:paraId="43A10B08"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(896)</w:t>
            </w:r>
          </w:p>
        </w:tc>
        <w:tc>
          <w:tcPr>
            <w:tcW w:w="1224" w:type="dxa"/>
            <w:tcBorders>
              <w:top w:val="nil"/>
              <w:left w:val="single" w:sz="8" w:space="0" w:color="auto"/>
              <w:bottom w:val="nil"/>
              <w:right w:val="single" w:sz="8" w:space="0" w:color="auto"/>
            </w:tcBorders>
            <w:shd w:val="clear" w:color="auto" w:fill="auto"/>
            <w:noWrap/>
            <w:vAlign w:val="bottom"/>
            <w:hideMark/>
          </w:tcPr>
          <w:p w14:paraId="14310F7F"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163</w:t>
            </w:r>
          </w:p>
        </w:tc>
      </w:tr>
      <w:tr w:rsidR="00D15D90" w:rsidRPr="00D36237" w14:paraId="32FDB967" w14:textId="77777777" w:rsidTr="00012E0D">
        <w:trPr>
          <w:trHeight w:val="290"/>
        </w:trPr>
        <w:tc>
          <w:tcPr>
            <w:tcW w:w="3763" w:type="dxa"/>
            <w:tcBorders>
              <w:top w:val="nil"/>
              <w:left w:val="single" w:sz="8" w:space="0" w:color="auto"/>
              <w:bottom w:val="nil"/>
              <w:right w:val="single" w:sz="8" w:space="0" w:color="auto"/>
            </w:tcBorders>
            <w:shd w:val="clear" w:color="auto" w:fill="auto"/>
            <w:noWrap/>
            <w:vAlign w:val="bottom"/>
            <w:hideMark/>
          </w:tcPr>
          <w:p w14:paraId="6E44775F" w14:textId="77777777" w:rsidR="00D15D90" w:rsidRPr="00D36237" w:rsidRDefault="00D15D90" w:rsidP="00012E0D">
            <w:pPr>
              <w:rPr>
                <w:rFonts w:ascii="Arial" w:hAnsi="Arial" w:cs="Arial"/>
                <w:color w:val="000000"/>
                <w:lang w:eastAsia="en-GB"/>
              </w:rPr>
            </w:pPr>
            <w:r w:rsidRPr="00D36237">
              <w:rPr>
                <w:rFonts w:ascii="Arial" w:hAnsi="Arial" w:cs="Arial"/>
                <w:color w:val="000000"/>
                <w:lang w:eastAsia="en-GB"/>
              </w:rPr>
              <w:t>Bus Support Operators grant</w:t>
            </w:r>
          </w:p>
        </w:tc>
        <w:tc>
          <w:tcPr>
            <w:tcW w:w="1075" w:type="dxa"/>
            <w:tcBorders>
              <w:top w:val="nil"/>
              <w:left w:val="single" w:sz="8" w:space="0" w:color="auto"/>
              <w:bottom w:val="nil"/>
              <w:right w:val="single" w:sz="8" w:space="0" w:color="auto"/>
            </w:tcBorders>
            <w:shd w:val="clear" w:color="auto" w:fill="auto"/>
            <w:noWrap/>
            <w:vAlign w:val="bottom"/>
            <w:hideMark/>
          </w:tcPr>
          <w:p w14:paraId="53A45878"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(13,150)</w:t>
            </w:r>
          </w:p>
        </w:tc>
        <w:tc>
          <w:tcPr>
            <w:tcW w:w="1394" w:type="dxa"/>
            <w:tcBorders>
              <w:top w:val="nil"/>
              <w:left w:val="single" w:sz="8" w:space="0" w:color="auto"/>
              <w:bottom w:val="nil"/>
              <w:right w:val="single" w:sz="8" w:space="0" w:color="auto"/>
            </w:tcBorders>
            <w:shd w:val="clear" w:color="auto" w:fill="auto"/>
            <w:noWrap/>
            <w:vAlign w:val="bottom"/>
            <w:hideMark/>
          </w:tcPr>
          <w:p w14:paraId="62E2CF3B"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(13,151)</w:t>
            </w:r>
          </w:p>
        </w:tc>
        <w:tc>
          <w:tcPr>
            <w:tcW w:w="1224" w:type="dxa"/>
            <w:tcBorders>
              <w:top w:val="nil"/>
              <w:left w:val="single" w:sz="8" w:space="0" w:color="auto"/>
              <w:bottom w:val="nil"/>
              <w:right w:val="single" w:sz="8" w:space="0" w:color="auto"/>
            </w:tcBorders>
            <w:shd w:val="clear" w:color="auto" w:fill="auto"/>
            <w:noWrap/>
            <w:vAlign w:val="bottom"/>
            <w:hideMark/>
          </w:tcPr>
          <w:p w14:paraId="3234E9E5"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(1)</w:t>
            </w:r>
          </w:p>
        </w:tc>
      </w:tr>
      <w:tr w:rsidR="00D15D90" w:rsidRPr="00D36237" w14:paraId="7BE87EAA" w14:textId="77777777" w:rsidTr="00012E0D">
        <w:trPr>
          <w:trHeight w:val="290"/>
        </w:trPr>
        <w:tc>
          <w:tcPr>
            <w:tcW w:w="3763" w:type="dxa"/>
            <w:tcBorders>
              <w:top w:val="nil"/>
              <w:left w:val="single" w:sz="8" w:space="0" w:color="auto"/>
              <w:bottom w:val="nil"/>
              <w:right w:val="single" w:sz="8" w:space="0" w:color="auto"/>
            </w:tcBorders>
            <w:shd w:val="clear" w:color="auto" w:fill="auto"/>
            <w:noWrap/>
            <w:vAlign w:val="bottom"/>
            <w:hideMark/>
          </w:tcPr>
          <w:p w14:paraId="4ABE7BA2" w14:textId="77777777" w:rsidR="00D15D90" w:rsidRPr="00D36237" w:rsidRDefault="00D15D90" w:rsidP="00012E0D">
            <w:pPr>
              <w:rPr>
                <w:rFonts w:ascii="Arial" w:hAnsi="Arial" w:cs="Arial"/>
                <w:color w:val="000000"/>
                <w:lang w:eastAsia="en-GB"/>
              </w:rPr>
            </w:pPr>
            <w:r w:rsidRPr="00D36237">
              <w:rPr>
                <w:rFonts w:ascii="Arial" w:hAnsi="Arial" w:cs="Arial"/>
                <w:color w:val="000000"/>
                <w:lang w:eastAsia="en-GB"/>
              </w:rPr>
              <w:t>Mayoral Capacity grant</w:t>
            </w:r>
          </w:p>
        </w:tc>
        <w:tc>
          <w:tcPr>
            <w:tcW w:w="1075" w:type="dxa"/>
            <w:tcBorders>
              <w:top w:val="nil"/>
              <w:left w:val="single" w:sz="8" w:space="0" w:color="auto"/>
              <w:bottom w:val="nil"/>
              <w:right w:val="single" w:sz="8" w:space="0" w:color="auto"/>
            </w:tcBorders>
            <w:shd w:val="clear" w:color="auto" w:fill="auto"/>
            <w:noWrap/>
            <w:vAlign w:val="bottom"/>
            <w:hideMark/>
          </w:tcPr>
          <w:p w14:paraId="0899E02E"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(1,000)</w:t>
            </w:r>
          </w:p>
        </w:tc>
        <w:tc>
          <w:tcPr>
            <w:tcW w:w="1394" w:type="dxa"/>
            <w:tcBorders>
              <w:top w:val="nil"/>
              <w:left w:val="single" w:sz="8" w:space="0" w:color="auto"/>
              <w:bottom w:val="nil"/>
              <w:right w:val="single" w:sz="8" w:space="0" w:color="auto"/>
            </w:tcBorders>
            <w:shd w:val="clear" w:color="auto" w:fill="auto"/>
            <w:noWrap/>
            <w:vAlign w:val="bottom"/>
            <w:hideMark/>
          </w:tcPr>
          <w:p w14:paraId="1239EE86"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(1,000)</w:t>
            </w:r>
          </w:p>
        </w:tc>
        <w:tc>
          <w:tcPr>
            <w:tcW w:w="1224" w:type="dxa"/>
            <w:tcBorders>
              <w:top w:val="nil"/>
              <w:left w:val="single" w:sz="8" w:space="0" w:color="auto"/>
              <w:bottom w:val="nil"/>
              <w:right w:val="single" w:sz="8" w:space="0" w:color="auto"/>
            </w:tcBorders>
            <w:shd w:val="clear" w:color="auto" w:fill="auto"/>
            <w:noWrap/>
            <w:vAlign w:val="bottom"/>
            <w:hideMark/>
          </w:tcPr>
          <w:p w14:paraId="53804BCB"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0</w:t>
            </w:r>
          </w:p>
        </w:tc>
      </w:tr>
      <w:tr w:rsidR="00D15D90" w:rsidRPr="00D36237" w14:paraId="34AE8677" w14:textId="77777777" w:rsidTr="00012E0D">
        <w:trPr>
          <w:trHeight w:val="290"/>
        </w:trPr>
        <w:tc>
          <w:tcPr>
            <w:tcW w:w="3763" w:type="dxa"/>
            <w:tcBorders>
              <w:top w:val="nil"/>
              <w:left w:val="single" w:sz="8" w:space="0" w:color="auto"/>
              <w:bottom w:val="nil"/>
              <w:right w:val="single" w:sz="8" w:space="0" w:color="auto"/>
            </w:tcBorders>
            <w:shd w:val="clear" w:color="auto" w:fill="auto"/>
            <w:noWrap/>
            <w:vAlign w:val="bottom"/>
            <w:hideMark/>
          </w:tcPr>
          <w:p w14:paraId="21502A62" w14:textId="77777777" w:rsidR="00D15D90" w:rsidRPr="00D36237" w:rsidRDefault="00D15D90" w:rsidP="00012E0D">
            <w:pPr>
              <w:rPr>
                <w:rFonts w:ascii="Arial" w:hAnsi="Arial" w:cs="Arial"/>
                <w:color w:val="000000"/>
                <w:lang w:eastAsia="en-GB"/>
              </w:rPr>
            </w:pPr>
            <w:r w:rsidRPr="00D36237">
              <w:rPr>
                <w:rFonts w:ascii="Arial" w:hAnsi="Arial" w:cs="Arial"/>
                <w:color w:val="000000"/>
                <w:lang w:eastAsia="en-GB"/>
              </w:rPr>
              <w:t>Statutory charge</w:t>
            </w:r>
          </w:p>
        </w:tc>
        <w:tc>
          <w:tcPr>
            <w:tcW w:w="1075" w:type="dxa"/>
            <w:tcBorders>
              <w:top w:val="nil"/>
              <w:left w:val="single" w:sz="8" w:space="0" w:color="auto"/>
              <w:bottom w:val="nil"/>
              <w:right w:val="single" w:sz="8" w:space="0" w:color="auto"/>
            </w:tcBorders>
            <w:shd w:val="clear" w:color="auto" w:fill="auto"/>
            <w:noWrap/>
            <w:vAlign w:val="bottom"/>
            <w:hideMark/>
          </w:tcPr>
          <w:p w14:paraId="1B76B75D"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(86,700)</w:t>
            </w:r>
          </w:p>
        </w:tc>
        <w:tc>
          <w:tcPr>
            <w:tcW w:w="1394" w:type="dxa"/>
            <w:tcBorders>
              <w:top w:val="nil"/>
              <w:left w:val="single" w:sz="8" w:space="0" w:color="auto"/>
              <w:bottom w:val="nil"/>
              <w:right w:val="single" w:sz="8" w:space="0" w:color="auto"/>
            </w:tcBorders>
            <w:shd w:val="clear" w:color="auto" w:fill="auto"/>
            <w:noWrap/>
            <w:vAlign w:val="bottom"/>
            <w:hideMark/>
          </w:tcPr>
          <w:p w14:paraId="34652262"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(86,700)</w:t>
            </w:r>
          </w:p>
        </w:tc>
        <w:tc>
          <w:tcPr>
            <w:tcW w:w="1224" w:type="dxa"/>
            <w:tcBorders>
              <w:top w:val="nil"/>
              <w:left w:val="single" w:sz="8" w:space="0" w:color="auto"/>
              <w:bottom w:val="nil"/>
              <w:right w:val="single" w:sz="8" w:space="0" w:color="auto"/>
            </w:tcBorders>
            <w:shd w:val="clear" w:color="auto" w:fill="auto"/>
            <w:noWrap/>
            <w:vAlign w:val="bottom"/>
            <w:hideMark/>
          </w:tcPr>
          <w:p w14:paraId="26E4DAE7"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0</w:t>
            </w:r>
          </w:p>
        </w:tc>
      </w:tr>
      <w:tr w:rsidR="00D15D90" w:rsidRPr="00D36237" w14:paraId="57707CAC" w14:textId="77777777" w:rsidTr="00012E0D">
        <w:trPr>
          <w:trHeight w:val="290"/>
        </w:trPr>
        <w:tc>
          <w:tcPr>
            <w:tcW w:w="3763" w:type="dxa"/>
            <w:tcBorders>
              <w:top w:val="nil"/>
              <w:left w:val="single" w:sz="8" w:space="0" w:color="auto"/>
              <w:bottom w:val="nil"/>
              <w:right w:val="single" w:sz="8" w:space="0" w:color="auto"/>
            </w:tcBorders>
            <w:shd w:val="clear" w:color="auto" w:fill="auto"/>
            <w:noWrap/>
            <w:vAlign w:val="bottom"/>
            <w:hideMark/>
          </w:tcPr>
          <w:p w14:paraId="26696610" w14:textId="77777777" w:rsidR="00D15D90" w:rsidRPr="00D36237" w:rsidRDefault="00D15D90" w:rsidP="00012E0D">
            <w:pPr>
              <w:rPr>
                <w:rFonts w:ascii="Arial" w:hAnsi="Arial" w:cs="Arial"/>
                <w:color w:val="000000"/>
                <w:lang w:eastAsia="en-GB"/>
              </w:rPr>
            </w:pPr>
            <w:r w:rsidRPr="00D36237">
              <w:rPr>
                <w:rFonts w:ascii="Arial" w:hAnsi="Arial" w:cs="Arial"/>
                <w:color w:val="000000"/>
                <w:lang w:eastAsia="en-GB"/>
              </w:rPr>
              <w:t xml:space="preserve">Use of Reserves </w:t>
            </w:r>
          </w:p>
        </w:tc>
        <w:tc>
          <w:tcPr>
            <w:tcW w:w="1075" w:type="dxa"/>
            <w:tcBorders>
              <w:top w:val="nil"/>
              <w:left w:val="single" w:sz="8" w:space="0" w:color="auto"/>
              <w:bottom w:val="nil"/>
              <w:right w:val="single" w:sz="8" w:space="0" w:color="auto"/>
            </w:tcBorders>
            <w:shd w:val="clear" w:color="auto" w:fill="auto"/>
            <w:noWrap/>
            <w:vAlign w:val="bottom"/>
            <w:hideMark/>
          </w:tcPr>
          <w:p w14:paraId="347D3DB1"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(11,786)</w:t>
            </w:r>
          </w:p>
        </w:tc>
        <w:tc>
          <w:tcPr>
            <w:tcW w:w="1394" w:type="dxa"/>
            <w:tcBorders>
              <w:top w:val="nil"/>
              <w:left w:val="single" w:sz="8" w:space="0" w:color="auto"/>
              <w:bottom w:val="nil"/>
              <w:right w:val="single" w:sz="8" w:space="0" w:color="auto"/>
            </w:tcBorders>
            <w:shd w:val="clear" w:color="auto" w:fill="auto"/>
            <w:noWrap/>
            <w:vAlign w:val="bottom"/>
            <w:hideMark/>
          </w:tcPr>
          <w:p w14:paraId="43B48CE3"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(2,205)</w:t>
            </w:r>
          </w:p>
        </w:tc>
        <w:tc>
          <w:tcPr>
            <w:tcW w:w="1224" w:type="dxa"/>
            <w:tcBorders>
              <w:top w:val="nil"/>
              <w:left w:val="single" w:sz="8" w:space="0" w:color="auto"/>
              <w:bottom w:val="nil"/>
              <w:right w:val="single" w:sz="8" w:space="0" w:color="auto"/>
            </w:tcBorders>
            <w:shd w:val="clear" w:color="auto" w:fill="auto"/>
            <w:noWrap/>
            <w:vAlign w:val="bottom"/>
            <w:hideMark/>
          </w:tcPr>
          <w:p w14:paraId="008DB54A"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9,581</w:t>
            </w:r>
          </w:p>
        </w:tc>
      </w:tr>
      <w:tr w:rsidR="00D15D90" w:rsidRPr="00D36237" w14:paraId="15C01E69" w14:textId="77777777" w:rsidTr="00012E0D">
        <w:trPr>
          <w:trHeight w:val="290"/>
        </w:trPr>
        <w:tc>
          <w:tcPr>
            <w:tcW w:w="3763" w:type="dxa"/>
            <w:tcBorders>
              <w:top w:val="nil"/>
              <w:left w:val="single" w:sz="8" w:space="0" w:color="auto"/>
              <w:bottom w:val="single" w:sz="8" w:space="0" w:color="auto"/>
              <w:right w:val="single" w:sz="8" w:space="0" w:color="auto"/>
            </w:tcBorders>
            <w:shd w:val="clear" w:color="auto" w:fill="auto"/>
            <w:noWrap/>
            <w:vAlign w:val="bottom"/>
            <w:hideMark/>
          </w:tcPr>
          <w:p w14:paraId="116BB372" w14:textId="77777777" w:rsidR="00D15D90" w:rsidRPr="00D36237" w:rsidRDefault="00D15D90" w:rsidP="00012E0D">
            <w:pPr>
              <w:rPr>
                <w:rFonts w:ascii="Arial" w:hAnsi="Arial" w:cs="Arial"/>
                <w:color w:val="000000"/>
                <w:lang w:eastAsia="en-GB"/>
              </w:rPr>
            </w:pPr>
            <w:r w:rsidRPr="00D36237">
              <w:rPr>
                <w:rFonts w:ascii="Arial" w:hAnsi="Arial" w:cs="Arial"/>
                <w:color w:val="000000"/>
                <w:lang w:eastAsia="en-GB"/>
              </w:rPr>
              <w:t xml:space="preserve">External Income </w:t>
            </w:r>
          </w:p>
        </w:tc>
        <w:tc>
          <w:tcPr>
            <w:tcW w:w="1075" w:type="dxa"/>
            <w:tcBorders>
              <w:top w:val="nil"/>
              <w:left w:val="single" w:sz="8" w:space="0" w:color="auto"/>
              <w:bottom w:val="single" w:sz="8" w:space="0" w:color="auto"/>
              <w:right w:val="single" w:sz="8" w:space="0" w:color="auto"/>
            </w:tcBorders>
            <w:shd w:val="clear" w:color="auto" w:fill="auto"/>
            <w:noWrap/>
            <w:vAlign w:val="bottom"/>
            <w:hideMark/>
          </w:tcPr>
          <w:p w14:paraId="6BCFDD00"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(850)</w:t>
            </w:r>
          </w:p>
        </w:tc>
        <w:tc>
          <w:tcPr>
            <w:tcW w:w="1394" w:type="dxa"/>
            <w:tcBorders>
              <w:top w:val="nil"/>
              <w:left w:val="single" w:sz="8" w:space="0" w:color="auto"/>
              <w:bottom w:val="single" w:sz="8" w:space="0" w:color="auto"/>
              <w:right w:val="single" w:sz="8" w:space="0" w:color="auto"/>
            </w:tcBorders>
            <w:shd w:val="clear" w:color="auto" w:fill="auto"/>
            <w:noWrap/>
            <w:vAlign w:val="bottom"/>
            <w:hideMark/>
          </w:tcPr>
          <w:p w14:paraId="205E38DF"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0</w:t>
            </w:r>
          </w:p>
        </w:tc>
        <w:tc>
          <w:tcPr>
            <w:tcW w:w="1224" w:type="dxa"/>
            <w:tcBorders>
              <w:top w:val="nil"/>
              <w:left w:val="single" w:sz="8" w:space="0" w:color="auto"/>
              <w:bottom w:val="single" w:sz="8" w:space="0" w:color="auto"/>
              <w:right w:val="single" w:sz="8" w:space="0" w:color="auto"/>
            </w:tcBorders>
            <w:shd w:val="clear" w:color="auto" w:fill="auto"/>
            <w:noWrap/>
            <w:vAlign w:val="bottom"/>
            <w:hideMark/>
          </w:tcPr>
          <w:p w14:paraId="59B87DD4"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850</w:t>
            </w:r>
          </w:p>
        </w:tc>
      </w:tr>
      <w:tr w:rsidR="00D15D90" w:rsidRPr="00D36237" w14:paraId="18019976" w14:textId="77777777" w:rsidTr="00012E0D">
        <w:trPr>
          <w:trHeight w:val="290"/>
        </w:trPr>
        <w:tc>
          <w:tcPr>
            <w:tcW w:w="376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5B674F" w14:textId="77777777" w:rsidR="00D15D90" w:rsidRPr="00D36237" w:rsidRDefault="00D15D90" w:rsidP="00012E0D">
            <w:pPr>
              <w:rPr>
                <w:rFonts w:ascii="Arial" w:hAnsi="Arial" w:cs="Arial"/>
                <w:b/>
                <w:bCs/>
                <w:lang w:eastAsia="en-GB"/>
              </w:rPr>
            </w:pPr>
            <w:r w:rsidRPr="00D36237">
              <w:rPr>
                <w:rFonts w:ascii="Arial" w:hAnsi="Arial" w:cs="Arial"/>
                <w:b/>
                <w:bCs/>
                <w:lang w:eastAsia="en-GB"/>
              </w:rPr>
              <w:t>Total Funding</w:t>
            </w:r>
          </w:p>
        </w:tc>
        <w:tc>
          <w:tcPr>
            <w:tcW w:w="10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96E7E9" w14:textId="77777777" w:rsidR="00D15D90" w:rsidRPr="00D36237" w:rsidRDefault="00D15D90" w:rsidP="00012E0D">
            <w:pPr>
              <w:jc w:val="right"/>
              <w:rPr>
                <w:rFonts w:ascii="Arial" w:hAnsi="Arial" w:cs="Arial"/>
                <w:b/>
                <w:bCs/>
                <w:color w:val="000000"/>
                <w:lang w:eastAsia="en-GB"/>
              </w:rPr>
            </w:pPr>
            <w:r w:rsidRPr="00D36237">
              <w:rPr>
                <w:rFonts w:ascii="Arial" w:hAnsi="Arial" w:cs="Arial"/>
                <w:b/>
                <w:bCs/>
                <w:color w:val="000000"/>
                <w:lang w:eastAsia="en-GB"/>
              </w:rPr>
              <w:t>(139,738)</w:t>
            </w:r>
          </w:p>
        </w:tc>
        <w:tc>
          <w:tcPr>
            <w:tcW w:w="13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4BC7E8" w14:textId="77777777" w:rsidR="00D15D90" w:rsidRPr="00D36237" w:rsidRDefault="00D15D90" w:rsidP="00012E0D">
            <w:pPr>
              <w:jc w:val="right"/>
              <w:rPr>
                <w:rFonts w:ascii="Arial" w:hAnsi="Arial" w:cs="Arial"/>
                <w:b/>
                <w:bCs/>
                <w:color w:val="000000"/>
                <w:lang w:eastAsia="en-GB"/>
              </w:rPr>
            </w:pPr>
            <w:r w:rsidRPr="00D36237">
              <w:rPr>
                <w:rFonts w:ascii="Arial" w:hAnsi="Arial" w:cs="Arial"/>
                <w:b/>
                <w:bCs/>
                <w:color w:val="000000"/>
                <w:lang w:eastAsia="en-GB"/>
              </w:rPr>
              <w:t>(129,133)</w:t>
            </w:r>
          </w:p>
        </w:tc>
        <w:tc>
          <w:tcPr>
            <w:tcW w:w="122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410FA2" w14:textId="77777777" w:rsidR="00D15D90" w:rsidRPr="00D36237" w:rsidRDefault="00D15D90" w:rsidP="00012E0D">
            <w:pPr>
              <w:jc w:val="right"/>
              <w:rPr>
                <w:rFonts w:ascii="Arial" w:hAnsi="Arial" w:cs="Arial"/>
                <w:b/>
                <w:bCs/>
                <w:color w:val="000000"/>
                <w:lang w:eastAsia="en-GB"/>
              </w:rPr>
            </w:pPr>
            <w:r w:rsidRPr="00D36237">
              <w:rPr>
                <w:rFonts w:ascii="Arial" w:hAnsi="Arial" w:cs="Arial"/>
                <w:b/>
                <w:bCs/>
                <w:color w:val="000000"/>
                <w:lang w:eastAsia="en-GB"/>
              </w:rPr>
              <w:t>10,605</w:t>
            </w:r>
          </w:p>
        </w:tc>
      </w:tr>
      <w:tr w:rsidR="00D15D90" w:rsidRPr="00D36237" w14:paraId="5957CBAA" w14:textId="77777777" w:rsidTr="00012E0D">
        <w:trPr>
          <w:trHeight w:val="290"/>
        </w:trPr>
        <w:tc>
          <w:tcPr>
            <w:tcW w:w="376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691505" w14:textId="77777777" w:rsidR="00D15D90" w:rsidRPr="00D36237" w:rsidRDefault="00D15D90" w:rsidP="00012E0D">
            <w:pPr>
              <w:rPr>
                <w:rFonts w:ascii="Arial" w:hAnsi="Arial" w:cs="Arial"/>
                <w:color w:val="000000"/>
                <w:lang w:eastAsia="en-GB"/>
              </w:rPr>
            </w:pPr>
            <w:r w:rsidRPr="00D36237">
              <w:rPr>
                <w:rFonts w:ascii="Arial" w:hAnsi="Arial" w:cs="Arial"/>
                <w:color w:val="000000"/>
                <w:lang w:eastAsia="en-GB"/>
              </w:rPr>
              <w:t> </w:t>
            </w:r>
          </w:p>
        </w:tc>
        <w:tc>
          <w:tcPr>
            <w:tcW w:w="10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58096E" w14:textId="77777777" w:rsidR="00D15D90" w:rsidRPr="00D36237" w:rsidRDefault="00D15D90" w:rsidP="00012E0D">
            <w:pPr>
              <w:rPr>
                <w:rFonts w:ascii="Arial" w:hAnsi="Arial" w:cs="Arial"/>
                <w:color w:val="000000"/>
                <w:lang w:eastAsia="en-GB"/>
              </w:rPr>
            </w:pPr>
            <w:r w:rsidRPr="00D36237">
              <w:rPr>
                <w:rFonts w:ascii="Arial" w:hAnsi="Arial" w:cs="Arial"/>
                <w:color w:val="000000"/>
                <w:lang w:eastAsia="en-GB"/>
              </w:rPr>
              <w:t> </w:t>
            </w:r>
          </w:p>
        </w:tc>
        <w:tc>
          <w:tcPr>
            <w:tcW w:w="13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6E85AC" w14:textId="77777777" w:rsidR="00D15D90" w:rsidRPr="00D36237" w:rsidRDefault="00D15D90" w:rsidP="00012E0D">
            <w:pPr>
              <w:rPr>
                <w:rFonts w:ascii="Arial" w:hAnsi="Arial" w:cs="Arial"/>
                <w:color w:val="000000"/>
                <w:lang w:eastAsia="en-GB"/>
              </w:rPr>
            </w:pPr>
            <w:r w:rsidRPr="00D36237">
              <w:rPr>
                <w:rFonts w:ascii="Arial" w:hAnsi="Arial" w:cs="Arial"/>
                <w:color w:val="000000"/>
                <w:lang w:eastAsia="en-GB"/>
              </w:rPr>
              <w:t> </w:t>
            </w:r>
          </w:p>
        </w:tc>
        <w:tc>
          <w:tcPr>
            <w:tcW w:w="122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0AE09D" w14:textId="77777777" w:rsidR="00D15D90" w:rsidRPr="00D36237" w:rsidRDefault="00D15D90" w:rsidP="00012E0D">
            <w:pPr>
              <w:rPr>
                <w:rFonts w:ascii="Arial" w:hAnsi="Arial" w:cs="Arial"/>
                <w:color w:val="000000"/>
                <w:lang w:eastAsia="en-GB"/>
              </w:rPr>
            </w:pPr>
            <w:r w:rsidRPr="00D36237">
              <w:rPr>
                <w:rFonts w:ascii="Arial" w:hAnsi="Arial" w:cs="Arial"/>
                <w:color w:val="000000"/>
                <w:lang w:eastAsia="en-GB"/>
              </w:rPr>
              <w:t> </w:t>
            </w:r>
          </w:p>
        </w:tc>
      </w:tr>
      <w:tr w:rsidR="00D15D90" w:rsidRPr="00D36237" w14:paraId="3703A6FC" w14:textId="77777777" w:rsidTr="00012E0D">
        <w:trPr>
          <w:trHeight w:val="290"/>
        </w:trPr>
        <w:tc>
          <w:tcPr>
            <w:tcW w:w="376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2D106D" w14:textId="77777777" w:rsidR="00D15D90" w:rsidRPr="00D36237" w:rsidRDefault="00D15D90" w:rsidP="00012E0D">
            <w:pPr>
              <w:rPr>
                <w:rFonts w:ascii="Arial" w:hAnsi="Arial" w:cs="Arial"/>
                <w:b/>
                <w:bCs/>
                <w:lang w:eastAsia="en-GB"/>
              </w:rPr>
            </w:pPr>
            <w:r w:rsidRPr="00D36237">
              <w:rPr>
                <w:rFonts w:ascii="Arial" w:hAnsi="Arial" w:cs="Arial"/>
                <w:b/>
                <w:bCs/>
                <w:lang w:eastAsia="en-GB"/>
              </w:rPr>
              <w:t>Net expenditure</w:t>
            </w:r>
          </w:p>
        </w:tc>
        <w:tc>
          <w:tcPr>
            <w:tcW w:w="10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DBED02" w14:textId="77777777" w:rsidR="00D15D90" w:rsidRPr="00D36237" w:rsidRDefault="00D15D90" w:rsidP="00012E0D">
            <w:pPr>
              <w:jc w:val="right"/>
              <w:rPr>
                <w:rFonts w:ascii="Arial" w:hAnsi="Arial" w:cs="Arial"/>
                <w:b/>
                <w:bCs/>
                <w:color w:val="000000"/>
                <w:lang w:eastAsia="en-GB"/>
              </w:rPr>
            </w:pPr>
            <w:r w:rsidRPr="00D36237">
              <w:rPr>
                <w:rFonts w:ascii="Arial" w:hAnsi="Arial" w:cs="Arial"/>
                <w:b/>
                <w:bCs/>
                <w:color w:val="000000"/>
                <w:lang w:eastAsia="en-GB"/>
              </w:rPr>
              <w:t>0</w:t>
            </w:r>
          </w:p>
        </w:tc>
        <w:tc>
          <w:tcPr>
            <w:tcW w:w="13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201D2C" w14:textId="77777777" w:rsidR="00D15D90" w:rsidRPr="00D36237" w:rsidRDefault="00D15D90" w:rsidP="00012E0D">
            <w:pPr>
              <w:jc w:val="right"/>
              <w:rPr>
                <w:rFonts w:ascii="Arial" w:hAnsi="Arial" w:cs="Arial"/>
                <w:b/>
                <w:bCs/>
                <w:color w:val="000000"/>
                <w:lang w:eastAsia="en-GB"/>
              </w:rPr>
            </w:pPr>
            <w:r w:rsidRPr="00D36237">
              <w:rPr>
                <w:rFonts w:ascii="Arial" w:hAnsi="Arial" w:cs="Arial"/>
                <w:b/>
                <w:bCs/>
                <w:color w:val="000000"/>
                <w:lang w:eastAsia="en-GB"/>
              </w:rPr>
              <w:t>0</w:t>
            </w:r>
          </w:p>
        </w:tc>
        <w:tc>
          <w:tcPr>
            <w:tcW w:w="122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0C0AB6" w14:textId="77777777" w:rsidR="00D15D90" w:rsidRPr="00D36237" w:rsidRDefault="00D15D90" w:rsidP="00012E0D">
            <w:pPr>
              <w:jc w:val="right"/>
              <w:rPr>
                <w:rFonts w:ascii="Arial" w:hAnsi="Arial" w:cs="Arial"/>
                <w:b/>
                <w:bCs/>
                <w:color w:val="000000"/>
                <w:lang w:eastAsia="en-GB"/>
              </w:rPr>
            </w:pPr>
            <w:r w:rsidRPr="00D36237">
              <w:rPr>
                <w:rFonts w:ascii="Arial" w:hAnsi="Arial" w:cs="Arial"/>
                <w:b/>
                <w:bCs/>
                <w:color w:val="000000"/>
                <w:lang w:eastAsia="en-GB"/>
              </w:rPr>
              <w:t>0</w:t>
            </w:r>
          </w:p>
        </w:tc>
      </w:tr>
    </w:tbl>
    <w:p w14:paraId="2229D43C" w14:textId="77777777" w:rsidR="00D15D90" w:rsidRPr="00B15622" w:rsidRDefault="00D15D90" w:rsidP="00D15D90">
      <w:pPr>
        <w:widowControl w:val="0"/>
        <w:spacing w:line="360" w:lineRule="auto"/>
        <w:rPr>
          <w:rFonts w:ascii="Arial" w:hAnsi="Arial" w:cs="Arial"/>
          <w:highlight w:val="yellow"/>
        </w:rPr>
      </w:pPr>
    </w:p>
    <w:p w14:paraId="39BFCE99" w14:textId="77777777" w:rsidR="00D15D90" w:rsidRPr="00F7788F" w:rsidRDefault="00D15D90" w:rsidP="00D15D90">
      <w:pPr>
        <w:widowControl w:val="0"/>
        <w:spacing w:line="360" w:lineRule="auto"/>
        <w:rPr>
          <w:rFonts w:ascii="Arial" w:hAnsi="Arial" w:cs="Arial"/>
        </w:rPr>
      </w:pPr>
      <w:r w:rsidRPr="00F7788F">
        <w:rPr>
          <w:rFonts w:ascii="Arial" w:hAnsi="Arial" w:cs="Arial"/>
        </w:rPr>
        <w:t>The most significant variances relate to:</w:t>
      </w:r>
    </w:p>
    <w:p w14:paraId="0E65A465" w14:textId="77777777" w:rsidR="00D15D90" w:rsidRPr="00F7788F" w:rsidRDefault="00D15D90" w:rsidP="00D15D90">
      <w:pPr>
        <w:pStyle w:val="ListParagraph"/>
        <w:widowControl w:val="0"/>
        <w:numPr>
          <w:ilvl w:val="0"/>
          <w:numId w:val="73"/>
        </w:numPr>
        <w:spacing w:after="240" w:line="360" w:lineRule="auto"/>
        <w:rPr>
          <w:rFonts w:ascii="Arial" w:hAnsi="Arial" w:cs="Arial"/>
          <w:sz w:val="24"/>
          <w:szCs w:val="24"/>
        </w:rPr>
      </w:pPr>
      <w:r w:rsidRPr="00F7788F">
        <w:rPr>
          <w:rFonts w:ascii="Arial" w:hAnsi="Arial" w:cs="Arial"/>
          <w:sz w:val="24"/>
          <w:szCs w:val="24"/>
        </w:rPr>
        <w:t xml:space="preserve">Additional investment in Mayoral priorities of £0.7m due to the cost of the expansion of emergency accommodation provision, A Bed Every Night (ABEN) which has helped prevent more people sleeping on the streets.  As a result, during the winter months Greater Manchester has recorded a significantly lower increase in rough sleeping compared to other parts of England. </w:t>
      </w:r>
    </w:p>
    <w:p w14:paraId="6C605DE0" w14:textId="77777777" w:rsidR="00D15D90" w:rsidRDefault="00D15D90" w:rsidP="00D15D90">
      <w:pPr>
        <w:pStyle w:val="ListParagraph"/>
        <w:widowControl w:val="0"/>
        <w:numPr>
          <w:ilvl w:val="0"/>
          <w:numId w:val="73"/>
        </w:numPr>
        <w:spacing w:after="240" w:line="360" w:lineRule="auto"/>
        <w:rPr>
          <w:rFonts w:ascii="Arial" w:hAnsi="Arial" w:cs="Arial"/>
          <w:sz w:val="24"/>
          <w:szCs w:val="24"/>
        </w:rPr>
      </w:pPr>
      <w:r w:rsidRPr="00F7788F">
        <w:rPr>
          <w:rFonts w:ascii="Arial" w:hAnsi="Arial" w:cs="Arial"/>
          <w:sz w:val="24"/>
          <w:szCs w:val="24"/>
        </w:rPr>
        <w:t xml:space="preserve">Underspend on Mayoral transport budget of £11.4m the majority of which relates to Bus Reform implementation costs which will be held in reserves until required.  </w:t>
      </w:r>
    </w:p>
    <w:p w14:paraId="47FE5A81" w14:textId="77777777" w:rsidR="00D15D90" w:rsidRPr="00F7788F" w:rsidRDefault="00D15D90" w:rsidP="00D15D90">
      <w:pPr>
        <w:widowControl w:val="0"/>
        <w:spacing w:line="360" w:lineRule="auto"/>
        <w:ind w:left="709" w:hanging="709"/>
        <w:rPr>
          <w:rFonts w:ascii="Arial" w:hAnsi="Arial" w:cs="Arial"/>
        </w:rPr>
      </w:pPr>
      <w:r w:rsidRPr="00F7788F">
        <w:rPr>
          <w:rFonts w:ascii="Arial" w:hAnsi="Arial" w:cs="Arial"/>
        </w:rPr>
        <w:t xml:space="preserve">The underspend is offset by: </w:t>
      </w:r>
    </w:p>
    <w:p w14:paraId="03E2D1B8" w14:textId="77777777" w:rsidR="00D15D90" w:rsidRPr="00F7788F" w:rsidRDefault="00D15D90" w:rsidP="00D15D90">
      <w:pPr>
        <w:pStyle w:val="ListParagraph"/>
        <w:widowControl w:val="0"/>
        <w:numPr>
          <w:ilvl w:val="0"/>
          <w:numId w:val="73"/>
        </w:numPr>
        <w:spacing w:after="0" w:line="360" w:lineRule="auto"/>
        <w:rPr>
          <w:rFonts w:ascii="Arial" w:hAnsi="Arial" w:cs="Arial"/>
          <w:sz w:val="24"/>
          <w:szCs w:val="24"/>
        </w:rPr>
      </w:pPr>
      <w:r w:rsidRPr="00F7788F">
        <w:rPr>
          <w:rFonts w:ascii="Arial" w:hAnsi="Arial" w:cs="Arial"/>
          <w:sz w:val="24"/>
          <w:szCs w:val="24"/>
        </w:rPr>
        <w:t xml:space="preserve">A shortfall in income to support the Our Pass pilot from colleges of £0.9m.  </w:t>
      </w:r>
    </w:p>
    <w:p w14:paraId="2F9444EE" w14:textId="77777777" w:rsidR="00D15D90" w:rsidRPr="00F7788F" w:rsidRDefault="00D15D90" w:rsidP="00D15D90">
      <w:pPr>
        <w:pStyle w:val="ListParagraph"/>
        <w:widowControl w:val="0"/>
        <w:numPr>
          <w:ilvl w:val="0"/>
          <w:numId w:val="73"/>
        </w:numPr>
        <w:spacing w:after="0" w:line="360" w:lineRule="auto"/>
        <w:rPr>
          <w:rFonts w:ascii="Arial" w:hAnsi="Arial" w:cs="Arial"/>
          <w:sz w:val="24"/>
          <w:szCs w:val="24"/>
        </w:rPr>
      </w:pPr>
      <w:r w:rsidRPr="00F7788F">
        <w:rPr>
          <w:rFonts w:ascii="Arial" w:hAnsi="Arial" w:cs="Arial"/>
          <w:sz w:val="24"/>
          <w:szCs w:val="24"/>
        </w:rPr>
        <w:t>Reduction in use of reserves due to lower than forecast bus franchising due to a review of cost allocation between capital and revenue.</w:t>
      </w:r>
    </w:p>
    <w:p w14:paraId="66252411" w14:textId="77777777" w:rsidR="00D15D90" w:rsidRPr="00B15622" w:rsidRDefault="00D15D90" w:rsidP="00D15D90">
      <w:pPr>
        <w:spacing w:line="360" w:lineRule="auto"/>
        <w:rPr>
          <w:highlight w:val="yellow"/>
        </w:rPr>
      </w:pPr>
      <w:bookmarkStart w:id="20" w:name="_Toc109922586"/>
      <w:bookmarkStart w:id="21" w:name="_Hlk109049380"/>
      <w:bookmarkStart w:id="22" w:name="_Hlk108780610"/>
      <w:bookmarkEnd w:id="14"/>
    </w:p>
    <w:p w14:paraId="39E59690" w14:textId="77777777" w:rsidR="00D15D90" w:rsidRPr="00CD0137" w:rsidRDefault="00D15D90" w:rsidP="00D15D90">
      <w:pPr>
        <w:pStyle w:val="Heading3"/>
        <w:spacing w:before="0" w:after="0" w:line="360" w:lineRule="auto"/>
        <w:rPr>
          <w:sz w:val="24"/>
          <w:szCs w:val="24"/>
        </w:rPr>
      </w:pPr>
      <w:bookmarkStart w:id="23" w:name="_Hlk167353566"/>
      <w:r w:rsidRPr="00CD0137">
        <w:rPr>
          <w:sz w:val="24"/>
          <w:szCs w:val="24"/>
        </w:rPr>
        <w:lastRenderedPageBreak/>
        <w:t>Greater Manchester Fire and Rescue Service</w:t>
      </w:r>
      <w:bookmarkEnd w:id="20"/>
    </w:p>
    <w:p w14:paraId="37CDEBDA" w14:textId="77777777" w:rsidR="00D15D90" w:rsidRPr="009756AD" w:rsidRDefault="00D15D90" w:rsidP="00D15D90">
      <w:pPr>
        <w:spacing w:line="360" w:lineRule="auto"/>
        <w:rPr>
          <w:rFonts w:ascii="Arial" w:hAnsi="Arial" w:cs="Arial"/>
          <w:highlight w:val="cyan"/>
        </w:rPr>
      </w:pPr>
    </w:p>
    <w:bookmarkEnd w:id="23"/>
    <w:p w14:paraId="71DDE65B" w14:textId="77777777" w:rsidR="00D15D90" w:rsidRPr="009133DF" w:rsidRDefault="00D15D90" w:rsidP="00CD0137">
      <w:pPr>
        <w:pStyle w:val="Normal0"/>
        <w:spacing w:line="360" w:lineRule="auto"/>
        <w:rPr>
          <w:rFonts w:ascii="Arial" w:hAnsi="Arial" w:cs="Arial"/>
          <w:sz w:val="24"/>
          <w:szCs w:val="24"/>
        </w:rPr>
      </w:pPr>
      <w:r w:rsidRPr="009133DF">
        <w:rPr>
          <w:rFonts w:ascii="Arial" w:hAnsi="Arial" w:cs="Arial"/>
          <w:sz w:val="24"/>
          <w:szCs w:val="24"/>
        </w:rPr>
        <w:t xml:space="preserve">GMFRS covers around </w:t>
      </w:r>
      <w:r w:rsidRPr="00EB2EF1">
        <w:rPr>
          <w:rFonts w:ascii="Arial" w:hAnsi="Arial" w:cs="Arial"/>
          <w:sz w:val="24"/>
          <w:szCs w:val="24"/>
        </w:rPr>
        <w:t>500m</w:t>
      </w:r>
      <w:r w:rsidRPr="00EB2EF1">
        <w:rPr>
          <w:rFonts w:ascii="Arial" w:hAnsi="Arial" w:cs="Arial"/>
          <w:sz w:val="24"/>
          <w:szCs w:val="24"/>
          <w:vertAlign w:val="superscript"/>
        </w:rPr>
        <w:t>2</w:t>
      </w:r>
      <w:r w:rsidRPr="009133DF">
        <w:rPr>
          <w:rFonts w:ascii="Arial" w:hAnsi="Arial" w:cs="Arial"/>
          <w:sz w:val="24"/>
          <w:szCs w:val="24"/>
        </w:rPr>
        <w:t xml:space="preserve"> and operates 41 fire stations, making it one of the largest Fire and Rescue Services outside London. With approximately 1,711 full-time equivalent staff, the </w:t>
      </w:r>
      <w:r>
        <w:rPr>
          <w:rFonts w:ascii="Arial" w:hAnsi="Arial" w:cs="Arial"/>
          <w:sz w:val="24"/>
          <w:szCs w:val="24"/>
        </w:rPr>
        <w:t>S</w:t>
      </w:r>
      <w:r w:rsidRPr="009133DF">
        <w:rPr>
          <w:rFonts w:ascii="Arial" w:hAnsi="Arial" w:cs="Arial"/>
          <w:sz w:val="24"/>
          <w:szCs w:val="24"/>
        </w:rPr>
        <w:t>ervice works closely with the local community to enforce fire safety legislation and make Greater Manchester a safer place to live, work, and visit.</w:t>
      </w:r>
    </w:p>
    <w:p w14:paraId="68DB1AEE" w14:textId="77777777" w:rsidR="00D15D90" w:rsidRDefault="00D15D90" w:rsidP="00D15D90">
      <w:pPr>
        <w:pStyle w:val="Normal0"/>
        <w:spacing w:line="360" w:lineRule="auto"/>
        <w:rPr>
          <w:rFonts w:ascii="Arial" w:hAnsi="Arial" w:cs="Arial"/>
          <w:sz w:val="24"/>
          <w:szCs w:val="24"/>
        </w:rPr>
      </w:pPr>
    </w:p>
    <w:p w14:paraId="38A50FA0" w14:textId="77777777" w:rsidR="00D15D90" w:rsidRPr="00EB2EF1" w:rsidRDefault="00D15D90" w:rsidP="00D15D90">
      <w:pPr>
        <w:spacing w:line="360" w:lineRule="auto"/>
        <w:rPr>
          <w:rFonts w:ascii="Arial" w:eastAsiaTheme="minorHAnsi" w:hAnsi="Arial" w:cs="Arial"/>
          <w:lang w:val="en-US"/>
        </w:rPr>
      </w:pPr>
      <w:r w:rsidRPr="00EB2EF1">
        <w:rPr>
          <w:rFonts w:ascii="Arial" w:eastAsiaTheme="minorHAnsi" w:hAnsi="Arial" w:cs="Arial"/>
          <w:lang w:val="en-US"/>
        </w:rPr>
        <w:t>The third Annual Delivery Plan (2023/24) outlines GMFRS's improvement program, which includes multiple improvement projects aligned with the Mayor's Fire Plan (2021-2025) to deliver better service. The programme prioritises investing in the Service and supporting activities to respond to findings in our His Majesty's Inspectorate of Constabulary and Fire &amp; Rescue Services (HMICFRS) inspection. The latest inspection of GMFRS by HMICFRS graded the Service as ‘Good’ in 10 of the 11 areas and ‘Adequate’ in one, demonstrating significant improvements. The Service has made remarkable progress, with four of the 11 areas moving from a ‘Requires Improvement’ grading to a ‘Good’ grading and one from ‘Requires Improvement’ to ‘Adequate’. HMICFRS identified two areas for improvement, one of which we have already addressed and closed. The activities to address these areas are being delivered alongside our improvement program.</w:t>
      </w:r>
      <w:r>
        <w:rPr>
          <w:rFonts w:ascii="Arial" w:eastAsiaTheme="minorHAnsi" w:hAnsi="Arial" w:cs="Arial"/>
          <w:lang w:val="en-US"/>
        </w:rPr>
        <w:t xml:space="preserve">  </w:t>
      </w:r>
      <w:r w:rsidRPr="00D53B20">
        <w:rPr>
          <w:rFonts w:ascii="Arial" w:eastAsia="Calibri" w:hAnsi="Arial" w:cs="Arial"/>
          <w:kern w:val="24"/>
          <w:lang w:eastAsia="en-GB"/>
        </w:rPr>
        <w:t>Additionally, HMICFRS recognised four areas of Positive Practice and two areas of Innovative Practice, which together, is the most any fire and rescue service has received in this round of inspections</w:t>
      </w:r>
      <w:r w:rsidRPr="00EB2EF1">
        <w:rPr>
          <w:rFonts w:ascii="Arial" w:eastAsiaTheme="minorHAnsi" w:hAnsi="Arial" w:cs="Arial"/>
          <w:lang w:val="en-US"/>
        </w:rPr>
        <w:t>. It is worth noting that GMFRS is currently the most improved fire and rescue service in England, setting a high standard for other services to follow.</w:t>
      </w:r>
    </w:p>
    <w:p w14:paraId="2F554DEF" w14:textId="77777777" w:rsidR="00D15D90" w:rsidRPr="00EB2EF1" w:rsidRDefault="00D15D90" w:rsidP="00D15D90">
      <w:pPr>
        <w:spacing w:line="360" w:lineRule="auto"/>
        <w:rPr>
          <w:rFonts w:ascii="Arial" w:eastAsiaTheme="minorHAnsi" w:hAnsi="Arial" w:cs="Arial"/>
          <w:lang w:val="en-US"/>
        </w:rPr>
      </w:pPr>
    </w:p>
    <w:p w14:paraId="769B975F" w14:textId="77777777" w:rsidR="00D15D90" w:rsidRPr="00EB2EF1" w:rsidRDefault="00D15D90" w:rsidP="00D15D90">
      <w:pPr>
        <w:spacing w:line="360" w:lineRule="auto"/>
        <w:rPr>
          <w:rFonts w:ascii="Arial" w:hAnsi="Arial" w:cs="Arial"/>
        </w:rPr>
      </w:pPr>
      <w:r w:rsidRPr="00EB2EF1">
        <w:rPr>
          <w:rFonts w:ascii="Arial" w:eastAsiaTheme="minorHAnsi" w:hAnsi="Arial" w:cs="Arial"/>
          <w:lang w:val="en-US"/>
        </w:rPr>
        <w:t>Over the last year there has been a focus on developing a culture of excellence,</w:t>
      </w:r>
      <w:r w:rsidRPr="00EB2EF1">
        <w:rPr>
          <w:rFonts w:ascii="Arial" w:hAnsi="Arial" w:cs="Arial"/>
        </w:rPr>
        <w:t xml:space="preserve"> equality and inclusivity and significant progress has been made against six strategic priorities:</w:t>
      </w:r>
    </w:p>
    <w:p w14:paraId="4A0B17A4" w14:textId="77777777" w:rsidR="00D15D90" w:rsidRPr="007C4C02" w:rsidRDefault="00D15D90" w:rsidP="00D15D90">
      <w:pPr>
        <w:spacing w:line="360" w:lineRule="auto"/>
        <w:rPr>
          <w:rFonts w:ascii="Arial" w:hAnsi="Arial" w:cs="Arial"/>
          <w:lang w:val="en-US"/>
        </w:rPr>
      </w:pPr>
    </w:p>
    <w:p w14:paraId="2696B96F" w14:textId="77777777" w:rsidR="00D15D90" w:rsidRPr="007C4C02" w:rsidRDefault="00D15D90" w:rsidP="00D15D90">
      <w:pPr>
        <w:spacing w:line="360" w:lineRule="auto"/>
        <w:rPr>
          <w:rFonts w:ascii="Arial" w:hAnsi="Arial" w:cs="Arial"/>
          <w:b/>
          <w:bCs/>
        </w:rPr>
      </w:pPr>
      <w:r w:rsidRPr="007C4C02">
        <w:rPr>
          <w:rFonts w:ascii="Arial" w:hAnsi="Arial" w:cs="Arial"/>
          <w:b/>
        </w:rPr>
        <w:t xml:space="preserve">Priority 1: </w:t>
      </w:r>
      <w:r w:rsidRPr="007C4C02">
        <w:rPr>
          <w:rFonts w:ascii="Arial" w:hAnsi="Arial" w:cs="Arial"/>
          <w:b/>
          <w:bCs/>
        </w:rPr>
        <w:t>Provide a fast, safe, and effective response:</w:t>
      </w:r>
    </w:p>
    <w:p w14:paraId="7F549C68" w14:textId="77777777" w:rsidR="00D15D90" w:rsidRPr="00B35ADF" w:rsidRDefault="00D15D90" w:rsidP="00D15D90">
      <w:pPr>
        <w:pStyle w:val="ListParagraph"/>
        <w:numPr>
          <w:ilvl w:val="0"/>
          <w:numId w:val="83"/>
        </w:numPr>
        <w:spacing w:after="0" w:line="360" w:lineRule="auto"/>
        <w:ind w:left="709"/>
        <w:rPr>
          <w:rFonts w:ascii="Arial" w:hAnsi="Arial" w:cs="Arial"/>
          <w:sz w:val="24"/>
          <w:szCs w:val="24"/>
        </w:rPr>
      </w:pPr>
      <w:r w:rsidRPr="00B35ADF">
        <w:rPr>
          <w:rFonts w:ascii="Arial" w:hAnsi="Arial" w:cs="Arial"/>
          <w:sz w:val="24"/>
          <w:szCs w:val="24"/>
        </w:rPr>
        <w:t>Completed the four monitored recommendations of the Manchester Arena Inquiry and supported North West Fire Control (NWFC) in our response. Delivered “lessons learned” presentations to the National Fire Chiefs Council (NFCC) Operations Conference and other fire and rescue services nationally.</w:t>
      </w:r>
    </w:p>
    <w:p w14:paraId="6C012DC0" w14:textId="77777777" w:rsidR="00D15D90" w:rsidRPr="00B35ADF" w:rsidRDefault="00D15D90" w:rsidP="00D15D90">
      <w:pPr>
        <w:pStyle w:val="ListParagraph"/>
        <w:numPr>
          <w:ilvl w:val="0"/>
          <w:numId w:val="83"/>
        </w:numPr>
        <w:spacing w:after="0" w:line="360" w:lineRule="auto"/>
        <w:ind w:left="709"/>
        <w:rPr>
          <w:rFonts w:ascii="Arial" w:hAnsi="Arial" w:cs="Arial"/>
          <w:sz w:val="24"/>
          <w:szCs w:val="24"/>
        </w:rPr>
      </w:pPr>
      <w:r w:rsidRPr="00B35ADF">
        <w:rPr>
          <w:rFonts w:ascii="Arial" w:hAnsi="Arial" w:cs="Arial"/>
          <w:sz w:val="24"/>
          <w:szCs w:val="24"/>
        </w:rPr>
        <w:t xml:space="preserve">Implemented a revised operational model to manage contaminants faced by firefighters during their duties.  We are supporting the national workstream on </w:t>
      </w:r>
      <w:r w:rsidRPr="00B35ADF">
        <w:rPr>
          <w:rFonts w:ascii="Arial" w:hAnsi="Arial" w:cs="Arial"/>
          <w:sz w:val="24"/>
          <w:szCs w:val="24"/>
        </w:rPr>
        <w:lastRenderedPageBreak/>
        <w:t>contaminants, represent the region and lead nationally on an area of the work, consulting with the NFCC and partner FRS’s.</w:t>
      </w:r>
    </w:p>
    <w:p w14:paraId="04451537" w14:textId="77777777" w:rsidR="00D15D90" w:rsidRPr="00B35ADF" w:rsidRDefault="00D15D90" w:rsidP="00D15D90">
      <w:pPr>
        <w:pStyle w:val="ListParagraph"/>
        <w:numPr>
          <w:ilvl w:val="0"/>
          <w:numId w:val="83"/>
        </w:numPr>
        <w:spacing w:after="0" w:line="360" w:lineRule="auto"/>
        <w:ind w:left="709"/>
        <w:rPr>
          <w:rFonts w:ascii="Arial" w:hAnsi="Arial" w:cs="Arial"/>
          <w:sz w:val="24"/>
          <w:szCs w:val="24"/>
        </w:rPr>
      </w:pPr>
      <w:r w:rsidRPr="00B35ADF">
        <w:rPr>
          <w:rFonts w:ascii="Arial" w:hAnsi="Arial" w:cs="Arial"/>
          <w:sz w:val="24"/>
          <w:szCs w:val="24"/>
        </w:rPr>
        <w:t xml:space="preserve">Undertook a strategic review of our services call handling arrangements, remaining as partners with NWFC until 2033, leading on the procurement of a new NWFC mobilising system alongside our four partners. </w:t>
      </w:r>
    </w:p>
    <w:p w14:paraId="694B9933" w14:textId="77777777" w:rsidR="00D15D90" w:rsidRPr="00B35ADF" w:rsidRDefault="00D15D90" w:rsidP="00D15D90">
      <w:pPr>
        <w:pStyle w:val="ListParagraph"/>
        <w:numPr>
          <w:ilvl w:val="0"/>
          <w:numId w:val="83"/>
        </w:numPr>
        <w:spacing w:after="0" w:line="360" w:lineRule="auto"/>
        <w:ind w:left="709"/>
        <w:rPr>
          <w:rFonts w:ascii="Arial" w:hAnsi="Arial" w:cs="Arial"/>
          <w:sz w:val="24"/>
          <w:szCs w:val="24"/>
        </w:rPr>
      </w:pPr>
      <w:r w:rsidRPr="00B35ADF">
        <w:rPr>
          <w:rFonts w:ascii="Arial" w:hAnsi="Arial" w:cs="Arial"/>
          <w:sz w:val="24"/>
          <w:szCs w:val="24"/>
        </w:rPr>
        <w:t xml:space="preserve">Continued work on implementing a new workforce fitness framework, with annual fitness testing and upgraded gyms and equipment available to the operational workforce. </w:t>
      </w:r>
    </w:p>
    <w:p w14:paraId="1441188A" w14:textId="77777777" w:rsidR="00D15D90" w:rsidRPr="00B35ADF" w:rsidRDefault="00D15D90" w:rsidP="00D15D90">
      <w:pPr>
        <w:pStyle w:val="ListParagraph"/>
        <w:numPr>
          <w:ilvl w:val="0"/>
          <w:numId w:val="83"/>
        </w:numPr>
        <w:spacing w:after="0" w:line="360" w:lineRule="auto"/>
        <w:ind w:left="709"/>
        <w:rPr>
          <w:rFonts w:ascii="Arial" w:hAnsi="Arial" w:cs="Arial"/>
          <w:sz w:val="24"/>
          <w:szCs w:val="24"/>
        </w:rPr>
      </w:pPr>
      <w:r w:rsidRPr="00B35ADF">
        <w:rPr>
          <w:rFonts w:ascii="Arial" w:hAnsi="Arial" w:cs="Arial"/>
          <w:sz w:val="24"/>
          <w:szCs w:val="24"/>
        </w:rPr>
        <w:t xml:space="preserve">Conducted a thorough public consultation on our fire cover and special appliance arrangements and are implementing plans including increasing our operational fleet from 50 to 52 fire appliances to help respond to increased risks in and around the city centre due to growth. </w:t>
      </w:r>
    </w:p>
    <w:p w14:paraId="205725E6" w14:textId="77777777" w:rsidR="00D15D90" w:rsidRPr="00B35ADF" w:rsidRDefault="00D15D90" w:rsidP="00D15D90">
      <w:pPr>
        <w:pStyle w:val="ListParagraph"/>
        <w:numPr>
          <w:ilvl w:val="0"/>
          <w:numId w:val="83"/>
        </w:numPr>
        <w:spacing w:after="0" w:line="360" w:lineRule="auto"/>
        <w:ind w:left="709"/>
        <w:rPr>
          <w:rFonts w:ascii="Arial" w:hAnsi="Arial" w:cs="Arial"/>
          <w:sz w:val="24"/>
          <w:szCs w:val="24"/>
        </w:rPr>
      </w:pPr>
      <w:r w:rsidRPr="00B35ADF">
        <w:rPr>
          <w:rFonts w:ascii="Arial" w:hAnsi="Arial" w:cs="Arial"/>
          <w:sz w:val="24"/>
          <w:szCs w:val="24"/>
        </w:rPr>
        <w:t xml:space="preserve">Commenced the implementation, improvement of our special appliance capabilities, introducing a new operating model for our technical rescue unit to improve its response to complex emergencies like road traffic collisions, trench rescues, and collapsed buildings. Additionally, trained staff at the enhanced rescue stations, which will continue throughout 2024. </w:t>
      </w:r>
    </w:p>
    <w:p w14:paraId="4A55B222" w14:textId="77777777" w:rsidR="00D15D90" w:rsidRPr="00B35ADF" w:rsidRDefault="00D15D90" w:rsidP="00D15D90">
      <w:pPr>
        <w:pStyle w:val="ListParagraph"/>
        <w:numPr>
          <w:ilvl w:val="0"/>
          <w:numId w:val="83"/>
        </w:numPr>
        <w:spacing w:after="0" w:line="360" w:lineRule="auto"/>
        <w:ind w:left="709"/>
        <w:rPr>
          <w:rFonts w:ascii="Arial" w:hAnsi="Arial" w:cs="Arial"/>
          <w:sz w:val="24"/>
          <w:szCs w:val="24"/>
        </w:rPr>
      </w:pPr>
      <w:r w:rsidRPr="00B35ADF">
        <w:rPr>
          <w:rFonts w:ascii="Arial" w:hAnsi="Arial" w:cs="Arial"/>
          <w:sz w:val="24"/>
          <w:szCs w:val="24"/>
        </w:rPr>
        <w:t xml:space="preserve">Added four specialist wildfire vehicles to our fleet to improve wildfire capabilities in the event of a moorland fire. </w:t>
      </w:r>
    </w:p>
    <w:p w14:paraId="549FAA6D" w14:textId="77777777" w:rsidR="00D15D90" w:rsidRPr="00B35ADF" w:rsidRDefault="00D15D90" w:rsidP="00D15D90">
      <w:pPr>
        <w:pStyle w:val="ListParagraph"/>
        <w:numPr>
          <w:ilvl w:val="0"/>
          <w:numId w:val="83"/>
        </w:numPr>
        <w:spacing w:after="0" w:line="360" w:lineRule="auto"/>
        <w:ind w:left="709"/>
        <w:rPr>
          <w:rFonts w:ascii="Arial" w:hAnsi="Arial" w:cs="Arial"/>
          <w:sz w:val="24"/>
          <w:szCs w:val="24"/>
        </w:rPr>
      </w:pPr>
      <w:r w:rsidRPr="00B35ADF">
        <w:rPr>
          <w:rFonts w:ascii="Arial" w:hAnsi="Arial" w:cs="Arial"/>
          <w:sz w:val="24"/>
          <w:szCs w:val="24"/>
        </w:rPr>
        <w:t xml:space="preserve">Achieved an average response time to “life risk emergencies” of 7 minutes 32 seconds and an average response time to primary fires of 7 minutes 14 seconds, the 4th fastest in England. </w:t>
      </w:r>
    </w:p>
    <w:p w14:paraId="0C59FCE7" w14:textId="77777777" w:rsidR="00D15D90" w:rsidRPr="00B35ADF" w:rsidRDefault="00D15D90" w:rsidP="00D15D90">
      <w:pPr>
        <w:pStyle w:val="ListParagraph"/>
        <w:numPr>
          <w:ilvl w:val="0"/>
          <w:numId w:val="83"/>
        </w:numPr>
        <w:spacing w:after="0" w:line="360" w:lineRule="auto"/>
        <w:ind w:left="709"/>
        <w:rPr>
          <w:rFonts w:ascii="Arial" w:hAnsi="Arial" w:cs="Arial"/>
          <w:sz w:val="24"/>
          <w:szCs w:val="24"/>
        </w:rPr>
      </w:pPr>
      <w:r w:rsidRPr="00B35ADF">
        <w:rPr>
          <w:rFonts w:ascii="Arial" w:hAnsi="Arial" w:cs="Arial"/>
          <w:sz w:val="24"/>
          <w:szCs w:val="24"/>
        </w:rPr>
        <w:t>Started implementing an updated Gartan crewing system for our frontline staff, providing increased functionality and eliminating paper-based systems, making information accessible conveniently through mobile technology, improving our overall response.</w:t>
      </w:r>
    </w:p>
    <w:p w14:paraId="7347F392" w14:textId="77777777" w:rsidR="00D15D90" w:rsidRPr="00E8477B" w:rsidRDefault="00D15D90" w:rsidP="00D15D90">
      <w:pPr>
        <w:spacing w:line="360" w:lineRule="auto"/>
        <w:rPr>
          <w:rFonts w:ascii="Arial" w:hAnsi="Arial" w:cs="Arial"/>
          <w:b/>
        </w:rPr>
      </w:pPr>
    </w:p>
    <w:p w14:paraId="2A581716" w14:textId="77777777" w:rsidR="00D15D90" w:rsidRPr="00E8477B" w:rsidRDefault="00D15D90" w:rsidP="00D15D90">
      <w:pPr>
        <w:spacing w:line="360" w:lineRule="auto"/>
        <w:rPr>
          <w:rFonts w:ascii="Arial" w:hAnsi="Arial" w:cs="Arial"/>
          <w:b/>
        </w:rPr>
      </w:pPr>
      <w:r w:rsidRPr="00E8477B">
        <w:rPr>
          <w:rFonts w:ascii="Arial" w:hAnsi="Arial" w:cs="Arial"/>
          <w:b/>
        </w:rPr>
        <w:t xml:space="preserve">Priority 2: </w:t>
      </w:r>
      <w:r w:rsidRPr="00E8477B">
        <w:rPr>
          <w:rFonts w:ascii="Arial" w:hAnsi="Arial" w:cs="Arial"/>
          <w:b/>
          <w:bCs/>
        </w:rPr>
        <w:t>Help people reduce the risk of fires and other emergencies:</w:t>
      </w:r>
    </w:p>
    <w:p w14:paraId="107A61F7" w14:textId="77777777" w:rsidR="00D15D90" w:rsidRPr="00B35ADF" w:rsidRDefault="00D15D90" w:rsidP="00D15D90">
      <w:pPr>
        <w:pStyle w:val="ListParagraph"/>
        <w:numPr>
          <w:ilvl w:val="0"/>
          <w:numId w:val="76"/>
        </w:numPr>
        <w:spacing w:after="0" w:line="360" w:lineRule="auto"/>
        <w:ind w:left="567" w:hanging="284"/>
        <w:rPr>
          <w:rFonts w:ascii="Arial" w:hAnsi="Arial" w:cs="Arial"/>
          <w:sz w:val="24"/>
          <w:szCs w:val="24"/>
        </w:rPr>
      </w:pPr>
      <w:r w:rsidRPr="00B35ADF">
        <w:rPr>
          <w:rFonts w:ascii="Arial" w:hAnsi="Arial" w:cs="Arial"/>
          <w:sz w:val="24"/>
          <w:szCs w:val="24"/>
        </w:rPr>
        <w:t>Introduced virtual reality headsets to provide immersive learning experiences in prevention education initiatives, conveying thematic messages, videos, and interactive content to a range of age groups.</w:t>
      </w:r>
    </w:p>
    <w:p w14:paraId="420CF255" w14:textId="77777777" w:rsidR="00D15D90" w:rsidRPr="00B35ADF" w:rsidRDefault="00D15D90" w:rsidP="00D15D90">
      <w:pPr>
        <w:pStyle w:val="ListParagraph"/>
        <w:numPr>
          <w:ilvl w:val="0"/>
          <w:numId w:val="76"/>
        </w:numPr>
        <w:spacing w:after="0" w:line="360" w:lineRule="auto"/>
        <w:ind w:left="567" w:hanging="284"/>
        <w:rPr>
          <w:rFonts w:ascii="Arial" w:hAnsi="Arial" w:cs="Arial"/>
          <w:sz w:val="24"/>
          <w:szCs w:val="24"/>
        </w:rPr>
      </w:pPr>
      <w:r w:rsidRPr="00B35ADF">
        <w:rPr>
          <w:rFonts w:ascii="Arial" w:hAnsi="Arial" w:cs="Arial"/>
          <w:sz w:val="24"/>
          <w:szCs w:val="24"/>
        </w:rPr>
        <w:t xml:space="preserve">Developed a new Community Fire Cadet program for youth aged 14-16 years, providing an opportunity to acquire basic firefighting skills and personal and social </w:t>
      </w:r>
      <w:r w:rsidRPr="00B35ADF">
        <w:rPr>
          <w:rFonts w:ascii="Arial" w:hAnsi="Arial" w:cs="Arial"/>
          <w:sz w:val="24"/>
          <w:szCs w:val="24"/>
        </w:rPr>
        <w:lastRenderedPageBreak/>
        <w:t xml:space="preserve">skills for those at risk of fire, road or water-related incidents, struggling in mainstream education or involved in anti-social behaviour. </w:t>
      </w:r>
    </w:p>
    <w:p w14:paraId="05B98A2A" w14:textId="77777777" w:rsidR="00D15D90" w:rsidRPr="00B35ADF" w:rsidRDefault="00D15D90" w:rsidP="00D15D90">
      <w:pPr>
        <w:pStyle w:val="ListParagraph"/>
        <w:numPr>
          <w:ilvl w:val="0"/>
          <w:numId w:val="76"/>
        </w:numPr>
        <w:spacing w:after="0" w:line="360" w:lineRule="auto"/>
        <w:ind w:left="567" w:hanging="284"/>
        <w:rPr>
          <w:rFonts w:ascii="Arial" w:hAnsi="Arial" w:cs="Arial"/>
          <w:sz w:val="24"/>
          <w:szCs w:val="24"/>
        </w:rPr>
      </w:pPr>
      <w:r w:rsidRPr="00B35ADF">
        <w:rPr>
          <w:rFonts w:ascii="Arial" w:hAnsi="Arial" w:cs="Arial"/>
          <w:sz w:val="24"/>
          <w:szCs w:val="24"/>
        </w:rPr>
        <w:t xml:space="preserve">Initiated a Prevention and Protection digital project to create an integrated digital recording system that captures information about buildings, places and prevention activities in one place, improving data recording and efficiency. </w:t>
      </w:r>
    </w:p>
    <w:p w14:paraId="39F61439" w14:textId="77777777" w:rsidR="00D15D90" w:rsidRPr="00B35ADF" w:rsidRDefault="00D15D90" w:rsidP="00D15D90">
      <w:pPr>
        <w:pStyle w:val="ListParagraph"/>
        <w:numPr>
          <w:ilvl w:val="0"/>
          <w:numId w:val="76"/>
        </w:numPr>
        <w:spacing w:after="0" w:line="360" w:lineRule="auto"/>
        <w:ind w:left="567" w:hanging="284"/>
        <w:rPr>
          <w:rFonts w:ascii="Arial" w:hAnsi="Arial" w:cs="Arial"/>
          <w:sz w:val="24"/>
          <w:szCs w:val="24"/>
        </w:rPr>
      </w:pPr>
      <w:r w:rsidRPr="00B35ADF">
        <w:rPr>
          <w:rFonts w:ascii="Arial" w:hAnsi="Arial" w:cs="Arial"/>
          <w:sz w:val="24"/>
          <w:szCs w:val="24"/>
        </w:rPr>
        <w:t>Adopted the NFCC Early Intervention Framework and embedded a Level 1 qualification in 'Developing Resilience' via the Atlas Project to provide best practice programmes for young people and communities.</w:t>
      </w:r>
    </w:p>
    <w:p w14:paraId="30729391" w14:textId="77777777" w:rsidR="00D15D90" w:rsidRPr="00B35ADF" w:rsidRDefault="00D15D90" w:rsidP="00D15D90">
      <w:pPr>
        <w:pStyle w:val="ListParagraph"/>
        <w:numPr>
          <w:ilvl w:val="0"/>
          <w:numId w:val="76"/>
        </w:numPr>
        <w:spacing w:after="0" w:line="360" w:lineRule="auto"/>
        <w:ind w:left="567" w:hanging="284"/>
        <w:rPr>
          <w:rFonts w:ascii="Arial" w:hAnsi="Arial" w:cs="Arial"/>
          <w:sz w:val="24"/>
          <w:szCs w:val="24"/>
        </w:rPr>
      </w:pPr>
      <w:r w:rsidRPr="00B35ADF">
        <w:rPr>
          <w:rFonts w:ascii="Arial" w:hAnsi="Arial" w:cs="Arial"/>
          <w:sz w:val="24"/>
          <w:szCs w:val="24"/>
        </w:rPr>
        <w:t>Promoted and embedded StayWise as the primary education tool for GMFRS staff, providing training to support the delivery of education packages via the StayWise portal to ensure vital safety messaging is incorporated into everyday learning.</w:t>
      </w:r>
    </w:p>
    <w:p w14:paraId="3693F8BE" w14:textId="77777777" w:rsidR="00D15D90" w:rsidRPr="00B35ADF" w:rsidRDefault="00D15D90" w:rsidP="00D15D90">
      <w:pPr>
        <w:pStyle w:val="ListParagraph"/>
        <w:numPr>
          <w:ilvl w:val="0"/>
          <w:numId w:val="76"/>
        </w:numPr>
        <w:spacing w:after="0" w:line="360" w:lineRule="auto"/>
        <w:ind w:left="567" w:hanging="284"/>
        <w:rPr>
          <w:rFonts w:ascii="Arial" w:hAnsi="Arial" w:cs="Arial"/>
          <w:sz w:val="24"/>
          <w:szCs w:val="24"/>
        </w:rPr>
      </w:pPr>
      <w:r w:rsidRPr="00B35ADF">
        <w:rPr>
          <w:rFonts w:ascii="Arial" w:hAnsi="Arial" w:cs="Arial"/>
          <w:sz w:val="24"/>
          <w:szCs w:val="24"/>
        </w:rPr>
        <w:t xml:space="preserve">Conducted targeted prevention messaging for residents living in high-rise buildings, engaging with housing providers and managing agents of the properties to improve building and resident safety. </w:t>
      </w:r>
    </w:p>
    <w:p w14:paraId="65BA6D68" w14:textId="77777777" w:rsidR="00D15D90" w:rsidRPr="00B35ADF" w:rsidRDefault="00D15D90" w:rsidP="00D15D90">
      <w:pPr>
        <w:pStyle w:val="ListParagraph"/>
        <w:numPr>
          <w:ilvl w:val="0"/>
          <w:numId w:val="76"/>
        </w:numPr>
        <w:spacing w:after="0" w:line="360" w:lineRule="auto"/>
        <w:ind w:left="567" w:hanging="284"/>
        <w:rPr>
          <w:rFonts w:ascii="Arial" w:hAnsi="Arial" w:cs="Arial"/>
          <w:sz w:val="24"/>
          <w:szCs w:val="24"/>
        </w:rPr>
      </w:pPr>
      <w:r w:rsidRPr="00B35ADF">
        <w:rPr>
          <w:rFonts w:ascii="Arial" w:hAnsi="Arial" w:cs="Arial"/>
          <w:sz w:val="24"/>
          <w:szCs w:val="24"/>
        </w:rPr>
        <w:t>Collaborated with partners to recognise that additional support and prevention education is necessary for individuals and small groups. Adopting a targeted approach to provide bespoke interventions, the 'Safer Communities and Interventions Team' was established within the Prevention department, with a focus on delivering targeted interventions to reduce risk in communities from areas such as deliberate fire setting and violence-related themes.</w:t>
      </w:r>
    </w:p>
    <w:p w14:paraId="3C042D8F" w14:textId="77777777" w:rsidR="00D15D90" w:rsidRPr="00750156" w:rsidRDefault="00D15D90" w:rsidP="00D15D90">
      <w:pPr>
        <w:spacing w:line="360" w:lineRule="auto"/>
        <w:rPr>
          <w:rFonts w:ascii="Arial" w:hAnsi="Arial" w:cs="Arial"/>
          <w:b/>
        </w:rPr>
      </w:pPr>
    </w:p>
    <w:p w14:paraId="0754ADAE" w14:textId="77777777" w:rsidR="00D15D90" w:rsidRPr="00750156" w:rsidRDefault="00D15D90" w:rsidP="00D15D90">
      <w:pPr>
        <w:spacing w:line="360" w:lineRule="auto"/>
        <w:rPr>
          <w:rFonts w:ascii="Arial" w:hAnsi="Arial" w:cs="Arial"/>
          <w:b/>
        </w:rPr>
      </w:pPr>
      <w:r w:rsidRPr="00750156">
        <w:rPr>
          <w:rFonts w:ascii="Arial" w:hAnsi="Arial" w:cs="Arial"/>
          <w:b/>
        </w:rPr>
        <w:t xml:space="preserve">Priority 3: </w:t>
      </w:r>
      <w:r w:rsidRPr="00750156">
        <w:rPr>
          <w:rFonts w:ascii="Arial" w:hAnsi="Arial" w:cs="Arial"/>
          <w:b/>
          <w:bCs/>
        </w:rPr>
        <w:t>Help protect the built environment:</w:t>
      </w:r>
    </w:p>
    <w:p w14:paraId="5697A0CF" w14:textId="77777777" w:rsidR="00D15D90" w:rsidRPr="00B35ADF" w:rsidRDefault="00D15D90" w:rsidP="00D15D90">
      <w:pPr>
        <w:pStyle w:val="ListParagraph"/>
        <w:numPr>
          <w:ilvl w:val="0"/>
          <w:numId w:val="77"/>
        </w:numPr>
        <w:spacing w:after="0" w:line="360" w:lineRule="auto"/>
        <w:ind w:left="709" w:hanging="284"/>
        <w:rPr>
          <w:rFonts w:ascii="Arial" w:hAnsi="Arial" w:cs="Arial"/>
          <w:sz w:val="24"/>
          <w:szCs w:val="24"/>
        </w:rPr>
      </w:pPr>
      <w:r w:rsidRPr="00B35ADF">
        <w:rPr>
          <w:rFonts w:ascii="Arial" w:hAnsi="Arial" w:cs="Arial"/>
          <w:sz w:val="24"/>
          <w:szCs w:val="24"/>
        </w:rPr>
        <w:t xml:space="preserve">Our protection team received national recognition at the NFCC Prevention and Protection Awards ceremony, winning the ‘Outstanding Contribution Award’ and ‘Team Award’ for their exceptional contributions to building and fire safety. </w:t>
      </w:r>
    </w:p>
    <w:p w14:paraId="120112AC" w14:textId="77777777" w:rsidR="00D15D90" w:rsidRPr="00B35ADF" w:rsidRDefault="00D15D90" w:rsidP="00D15D90">
      <w:pPr>
        <w:pStyle w:val="ListParagraph"/>
        <w:numPr>
          <w:ilvl w:val="0"/>
          <w:numId w:val="77"/>
        </w:numPr>
        <w:spacing w:after="0" w:line="360" w:lineRule="auto"/>
        <w:ind w:left="709" w:hanging="284"/>
        <w:rPr>
          <w:rFonts w:ascii="Arial" w:hAnsi="Arial" w:cs="Arial"/>
          <w:sz w:val="24"/>
          <w:szCs w:val="24"/>
        </w:rPr>
      </w:pPr>
      <w:r w:rsidRPr="00B35ADF">
        <w:rPr>
          <w:rFonts w:ascii="Arial" w:hAnsi="Arial" w:cs="Arial"/>
          <w:sz w:val="24"/>
          <w:szCs w:val="24"/>
        </w:rPr>
        <w:t xml:space="preserve">We worked with councils, housing associations, and managing agents to ensure compliance with the Fire Safety England Regulations and most of the Grenfell Tower Inquiry Phase 1 report recommendations, covering hundreds of properties in Greater Manchester. We conducted remote sessions, updated all fire safety correspondence and produced new leaflets for managing agents. Ongoing compliance activity will continue in 2024/25 with the release of further information from the Building Safety Regulator, and we conduct regular training exercises to prepare our firefighters for high-rise incidents. </w:t>
      </w:r>
    </w:p>
    <w:p w14:paraId="4E36126C" w14:textId="77777777" w:rsidR="00D15D90" w:rsidRPr="00B35ADF" w:rsidRDefault="00D15D90" w:rsidP="00D15D90">
      <w:pPr>
        <w:pStyle w:val="ListParagraph"/>
        <w:numPr>
          <w:ilvl w:val="0"/>
          <w:numId w:val="77"/>
        </w:numPr>
        <w:spacing w:after="0" w:line="360" w:lineRule="auto"/>
        <w:ind w:left="709" w:hanging="284"/>
        <w:rPr>
          <w:rFonts w:ascii="Arial" w:hAnsi="Arial" w:cs="Arial"/>
          <w:sz w:val="24"/>
          <w:szCs w:val="24"/>
        </w:rPr>
      </w:pPr>
      <w:r w:rsidRPr="00B35ADF">
        <w:rPr>
          <w:rFonts w:ascii="Arial" w:hAnsi="Arial" w:cs="Arial"/>
          <w:sz w:val="24"/>
          <w:szCs w:val="24"/>
        </w:rPr>
        <w:lastRenderedPageBreak/>
        <w:t>We expanded our fire safety training capability to develop Fire Safety Regulators and upskill frontline operational colleagues. We were the first Fire and Rescue Service in the UK to have our bespoke level 2 award in Fire Safety Checks accredited and fully rolled-out. Additionally, our level 4 diploma is awaiting accreditation, which will enable us to provide in-house training and ensure best value for money for Greater Manchester residents.</w:t>
      </w:r>
    </w:p>
    <w:p w14:paraId="0B6D8D15" w14:textId="77777777" w:rsidR="00D15D90" w:rsidRPr="000F282F" w:rsidRDefault="00D15D90" w:rsidP="00D15D90">
      <w:pPr>
        <w:pStyle w:val="NoSpacing"/>
        <w:spacing w:line="360" w:lineRule="auto"/>
        <w:rPr>
          <w:rFonts w:ascii="Arial" w:hAnsi="Arial" w:cs="Arial"/>
          <w:b/>
          <w:color w:val="FF0000"/>
          <w:sz w:val="24"/>
          <w:szCs w:val="24"/>
        </w:rPr>
      </w:pPr>
    </w:p>
    <w:p w14:paraId="04CA1BED" w14:textId="77777777" w:rsidR="00D15D90" w:rsidRPr="00133652" w:rsidRDefault="00D15D90" w:rsidP="00D15D90">
      <w:pPr>
        <w:pStyle w:val="NoSpacing"/>
        <w:spacing w:line="360" w:lineRule="auto"/>
        <w:rPr>
          <w:rFonts w:ascii="Arial" w:hAnsi="Arial" w:cs="Arial"/>
          <w:b/>
          <w:sz w:val="24"/>
          <w:szCs w:val="24"/>
        </w:rPr>
      </w:pPr>
      <w:r w:rsidRPr="00133652">
        <w:rPr>
          <w:rFonts w:ascii="Arial" w:hAnsi="Arial" w:cs="Arial"/>
          <w:b/>
          <w:sz w:val="24"/>
          <w:szCs w:val="24"/>
        </w:rPr>
        <w:t xml:space="preserve">Priority 5: </w:t>
      </w:r>
      <w:r w:rsidRPr="00133652">
        <w:rPr>
          <w:rFonts w:ascii="Arial" w:hAnsi="Arial" w:cs="Arial"/>
          <w:b/>
          <w:bCs/>
          <w:sz w:val="24"/>
          <w:szCs w:val="24"/>
        </w:rPr>
        <w:t>Develop a culture of excellence, equality, and inclusivity:</w:t>
      </w:r>
    </w:p>
    <w:p w14:paraId="589DF68A" w14:textId="77777777" w:rsidR="00D15D90" w:rsidRPr="00B35ADF" w:rsidRDefault="00D15D90" w:rsidP="00D15D90">
      <w:pPr>
        <w:pStyle w:val="ListParagraph"/>
        <w:numPr>
          <w:ilvl w:val="0"/>
          <w:numId w:val="78"/>
        </w:numPr>
        <w:spacing w:after="0" w:line="360" w:lineRule="auto"/>
        <w:ind w:left="709" w:hanging="284"/>
        <w:rPr>
          <w:rFonts w:ascii="Arial" w:hAnsi="Arial" w:cs="Arial"/>
          <w:sz w:val="24"/>
          <w:szCs w:val="24"/>
        </w:rPr>
      </w:pPr>
      <w:r w:rsidRPr="00B35ADF">
        <w:rPr>
          <w:rFonts w:ascii="Arial" w:hAnsi="Arial" w:cs="Arial"/>
          <w:sz w:val="24"/>
          <w:szCs w:val="24"/>
        </w:rPr>
        <w:t xml:space="preserve">On July 2023, the British Firefighter Challenge was successfully hosted by GMFRS at Manchester. Over 40 GMFRS staff participated in the event alongside the support of more than 70 volunteers, including food, live music, and showcasing firefighter equipment. We were immensely proud of Helena Brown, one of our Whitefield Station firefighters, who was crowned British Female Champion. </w:t>
      </w:r>
    </w:p>
    <w:p w14:paraId="3F07E2C0" w14:textId="77777777" w:rsidR="00D15D90" w:rsidRPr="00B35ADF" w:rsidRDefault="00D15D90" w:rsidP="00D15D90">
      <w:pPr>
        <w:pStyle w:val="ListParagraph"/>
        <w:numPr>
          <w:ilvl w:val="0"/>
          <w:numId w:val="78"/>
        </w:numPr>
        <w:spacing w:after="0" w:line="360" w:lineRule="auto"/>
        <w:ind w:left="709" w:hanging="284"/>
        <w:rPr>
          <w:rFonts w:ascii="Arial" w:hAnsi="Arial" w:cs="Arial"/>
          <w:sz w:val="24"/>
          <w:szCs w:val="24"/>
        </w:rPr>
      </w:pPr>
      <w:r w:rsidRPr="00B35ADF">
        <w:rPr>
          <w:rFonts w:ascii="Arial" w:hAnsi="Arial" w:cs="Arial"/>
          <w:sz w:val="24"/>
          <w:szCs w:val="24"/>
        </w:rPr>
        <w:t xml:space="preserve">After rolling out the Leadership Development Framework, GMFRS has boosted leadership and coaching training consistently, which aims to equip their current and future leaders with essential skills, knowledge, and competencies. "Diverse Leaders," a GMFRS program targeted at underrepresented groups, that will help candidates prepare for future selection and promotion processes. </w:t>
      </w:r>
    </w:p>
    <w:p w14:paraId="2C92B8B1" w14:textId="77777777" w:rsidR="00D15D90" w:rsidRPr="00B35ADF" w:rsidRDefault="00D15D90" w:rsidP="00D15D90">
      <w:pPr>
        <w:pStyle w:val="ListParagraph"/>
        <w:numPr>
          <w:ilvl w:val="0"/>
          <w:numId w:val="78"/>
        </w:numPr>
        <w:spacing w:after="0" w:line="360" w:lineRule="auto"/>
        <w:ind w:left="709" w:hanging="284"/>
        <w:rPr>
          <w:rFonts w:ascii="Arial" w:hAnsi="Arial" w:cs="Arial"/>
          <w:sz w:val="24"/>
          <w:szCs w:val="24"/>
        </w:rPr>
      </w:pPr>
      <w:r w:rsidRPr="00B35ADF">
        <w:rPr>
          <w:rFonts w:ascii="Arial" w:hAnsi="Arial" w:cs="Arial"/>
          <w:sz w:val="24"/>
          <w:szCs w:val="24"/>
        </w:rPr>
        <w:t xml:space="preserve">GMFRS boasts successful attraction and recruitment strategies in building a workforce that is fully representative of our communities. This is made possible by developing and launching our Promotion Pathway and providing a robust Volunteering Strategy. </w:t>
      </w:r>
    </w:p>
    <w:p w14:paraId="13C42915" w14:textId="77777777" w:rsidR="00D15D90" w:rsidRPr="00B35ADF" w:rsidRDefault="00D15D90" w:rsidP="00D15D90">
      <w:pPr>
        <w:pStyle w:val="ListParagraph"/>
        <w:numPr>
          <w:ilvl w:val="0"/>
          <w:numId w:val="78"/>
        </w:numPr>
        <w:spacing w:after="0" w:line="360" w:lineRule="auto"/>
        <w:ind w:left="709" w:hanging="284"/>
        <w:rPr>
          <w:rFonts w:ascii="Arial" w:hAnsi="Arial" w:cs="Arial"/>
          <w:sz w:val="24"/>
          <w:szCs w:val="24"/>
        </w:rPr>
      </w:pPr>
      <w:r w:rsidRPr="00B35ADF">
        <w:rPr>
          <w:rFonts w:ascii="Arial" w:hAnsi="Arial" w:cs="Arial"/>
          <w:sz w:val="24"/>
          <w:szCs w:val="24"/>
        </w:rPr>
        <w:t xml:space="preserve">The successful Recognition and Rewards Framework of GMFRS remains intact. Six Long Service Good Conduct awards, representing 4,770 years of service for GMFRS colleagues, were held, and an awards panel, as well as a calendar of events, were established to recognise and celebrate staff achievements. </w:t>
      </w:r>
    </w:p>
    <w:p w14:paraId="6768C8BE" w14:textId="77777777" w:rsidR="00D15D90" w:rsidRPr="00B35ADF" w:rsidRDefault="00D15D90" w:rsidP="00D15D90">
      <w:pPr>
        <w:pStyle w:val="ListParagraph"/>
        <w:numPr>
          <w:ilvl w:val="0"/>
          <w:numId w:val="78"/>
        </w:numPr>
        <w:spacing w:after="0" w:line="360" w:lineRule="auto"/>
        <w:ind w:left="709" w:hanging="284"/>
        <w:rPr>
          <w:rFonts w:ascii="Arial" w:hAnsi="Arial" w:cs="Arial"/>
          <w:sz w:val="24"/>
          <w:szCs w:val="24"/>
        </w:rPr>
      </w:pPr>
      <w:r w:rsidRPr="00B35ADF">
        <w:rPr>
          <w:rFonts w:ascii="Arial" w:hAnsi="Arial" w:cs="Arial"/>
          <w:sz w:val="24"/>
          <w:szCs w:val="24"/>
        </w:rPr>
        <w:t xml:space="preserve">In April 2024, the Women in the Fire Service event at Bury Training and Safety Centre was hosted by GMFRS, aiming to celebrate women's contributions across the Northwest. Leaders, mentors, and specialists joined forces to share experiences, network, and engage in interactive workshops and speeches. </w:t>
      </w:r>
    </w:p>
    <w:p w14:paraId="39EA111E" w14:textId="77777777" w:rsidR="00D15D90" w:rsidRPr="00B35ADF" w:rsidRDefault="00D15D90" w:rsidP="00D15D90">
      <w:pPr>
        <w:pStyle w:val="ListParagraph"/>
        <w:numPr>
          <w:ilvl w:val="0"/>
          <w:numId w:val="78"/>
        </w:numPr>
        <w:spacing w:after="0" w:line="360" w:lineRule="auto"/>
        <w:ind w:left="709" w:hanging="284"/>
        <w:rPr>
          <w:rFonts w:ascii="Arial" w:hAnsi="Arial" w:cs="Arial"/>
          <w:sz w:val="24"/>
          <w:szCs w:val="24"/>
        </w:rPr>
      </w:pPr>
      <w:r w:rsidRPr="00B35ADF">
        <w:rPr>
          <w:rFonts w:ascii="Arial" w:hAnsi="Arial" w:cs="Arial"/>
          <w:sz w:val="24"/>
          <w:szCs w:val="24"/>
        </w:rPr>
        <w:t xml:space="preserve">The Organisational Learning Framework project is underway, which will track learning outcomes and action plans that include learning outcomes of different GMFRS areas. </w:t>
      </w:r>
    </w:p>
    <w:p w14:paraId="639F7B8C" w14:textId="77777777" w:rsidR="00D15D90" w:rsidRPr="00B35ADF" w:rsidRDefault="00D15D90" w:rsidP="00D15D90">
      <w:pPr>
        <w:pStyle w:val="ListParagraph"/>
        <w:numPr>
          <w:ilvl w:val="0"/>
          <w:numId w:val="78"/>
        </w:numPr>
        <w:spacing w:after="0" w:line="360" w:lineRule="auto"/>
        <w:ind w:left="709" w:hanging="284"/>
        <w:rPr>
          <w:rFonts w:ascii="Arial" w:hAnsi="Arial" w:cs="Arial"/>
          <w:sz w:val="24"/>
          <w:szCs w:val="24"/>
        </w:rPr>
      </w:pPr>
      <w:r w:rsidRPr="00B35ADF">
        <w:rPr>
          <w:rFonts w:ascii="Arial" w:hAnsi="Arial" w:cs="Arial"/>
          <w:sz w:val="24"/>
          <w:szCs w:val="24"/>
        </w:rPr>
        <w:lastRenderedPageBreak/>
        <w:t xml:space="preserve">A new system was implemented that allowed GMFRS to capture public feedback while attending incidents. This seeks to improve response rates even further to hear directly from the public for continuous improvement of our services. </w:t>
      </w:r>
    </w:p>
    <w:p w14:paraId="785386EB" w14:textId="77777777" w:rsidR="00D15D90" w:rsidRPr="00B35ADF" w:rsidRDefault="00D15D90" w:rsidP="00D15D90">
      <w:pPr>
        <w:pStyle w:val="ListParagraph"/>
        <w:numPr>
          <w:ilvl w:val="0"/>
          <w:numId w:val="78"/>
        </w:numPr>
        <w:spacing w:after="0" w:line="360" w:lineRule="auto"/>
        <w:ind w:left="709" w:hanging="284"/>
        <w:rPr>
          <w:rFonts w:ascii="Arial" w:hAnsi="Arial" w:cs="Arial"/>
          <w:sz w:val="24"/>
          <w:szCs w:val="24"/>
        </w:rPr>
      </w:pPr>
      <w:r w:rsidRPr="00B35ADF">
        <w:rPr>
          <w:rFonts w:ascii="Arial" w:hAnsi="Arial" w:cs="Arial"/>
          <w:sz w:val="24"/>
          <w:szCs w:val="24"/>
        </w:rPr>
        <w:t>GMFRS aims to enhance our communication strategies to ensure a platform for every voice in the workforce is heard while updating employees and residents of their latest developments. Additionally, improvements to the Bullying and Harassment and Disciplinary Policies have been made to address negative behaviours that do not align with our values.</w:t>
      </w:r>
    </w:p>
    <w:p w14:paraId="376BD624" w14:textId="77777777" w:rsidR="00D15D90" w:rsidRPr="006665A2" w:rsidRDefault="00D15D90" w:rsidP="00D15D90">
      <w:pPr>
        <w:spacing w:line="360" w:lineRule="auto"/>
        <w:rPr>
          <w:rFonts w:ascii="Arial" w:hAnsi="Arial" w:cs="Arial"/>
          <w:b/>
        </w:rPr>
      </w:pPr>
    </w:p>
    <w:p w14:paraId="3F02E4CA" w14:textId="77777777" w:rsidR="00D15D90" w:rsidRPr="006665A2" w:rsidRDefault="00D15D90" w:rsidP="00D15D90">
      <w:pPr>
        <w:spacing w:line="360" w:lineRule="auto"/>
        <w:rPr>
          <w:rFonts w:ascii="Arial" w:hAnsi="Arial" w:cs="Arial"/>
          <w:b/>
        </w:rPr>
      </w:pPr>
      <w:r w:rsidRPr="006665A2">
        <w:rPr>
          <w:rFonts w:ascii="Arial" w:hAnsi="Arial" w:cs="Arial"/>
          <w:b/>
        </w:rPr>
        <w:t xml:space="preserve">Priority 6: </w:t>
      </w:r>
      <w:r w:rsidRPr="006665A2">
        <w:rPr>
          <w:rFonts w:ascii="Arial" w:hAnsi="Arial" w:cs="Arial"/>
          <w:b/>
          <w:bCs/>
        </w:rPr>
        <w:t>Integrate our services in every locality with those of partner agencies:</w:t>
      </w:r>
    </w:p>
    <w:p w14:paraId="6D0FFEAF" w14:textId="77777777" w:rsidR="00D15D90" w:rsidRPr="00B35ADF" w:rsidRDefault="00D15D90" w:rsidP="00D15D90">
      <w:pPr>
        <w:pStyle w:val="ListParagraph"/>
        <w:numPr>
          <w:ilvl w:val="0"/>
          <w:numId w:val="79"/>
        </w:numPr>
        <w:spacing w:after="0" w:line="360" w:lineRule="auto"/>
        <w:ind w:left="709" w:hanging="284"/>
        <w:rPr>
          <w:rFonts w:ascii="Arial" w:hAnsi="Arial" w:cs="Arial"/>
          <w:sz w:val="24"/>
          <w:szCs w:val="24"/>
        </w:rPr>
      </w:pPr>
      <w:r w:rsidRPr="00B35ADF">
        <w:rPr>
          <w:rFonts w:ascii="Arial" w:hAnsi="Arial" w:cs="Arial"/>
          <w:sz w:val="24"/>
          <w:szCs w:val="24"/>
        </w:rPr>
        <w:t xml:space="preserve">Undertaken collaboration work with local partners has been undertaken to support serious violence reduction across Greater Manchester. As a service, we have developed a framework of programmes, interventions, and activities to support this work and have rolled out a learning package for our workforce. </w:t>
      </w:r>
    </w:p>
    <w:p w14:paraId="19AA6F98" w14:textId="77777777" w:rsidR="00D15D90" w:rsidRPr="00B35ADF" w:rsidRDefault="00D15D90" w:rsidP="00D15D90">
      <w:pPr>
        <w:pStyle w:val="ListParagraph"/>
        <w:numPr>
          <w:ilvl w:val="0"/>
          <w:numId w:val="79"/>
        </w:numPr>
        <w:spacing w:after="0" w:line="360" w:lineRule="auto"/>
        <w:ind w:left="709" w:hanging="284"/>
        <w:rPr>
          <w:rFonts w:ascii="Arial" w:hAnsi="Arial" w:cs="Arial"/>
          <w:sz w:val="24"/>
          <w:szCs w:val="24"/>
        </w:rPr>
      </w:pPr>
      <w:r w:rsidRPr="00B35ADF">
        <w:rPr>
          <w:rFonts w:ascii="Arial" w:hAnsi="Arial" w:cs="Arial"/>
          <w:sz w:val="24"/>
          <w:szCs w:val="24"/>
        </w:rPr>
        <w:t xml:space="preserve">In the last 12 months, we have established a central digital platform where all three emergency services across Greater Manchester can access and contribute to a register to detail all collaboration activity that has taken place. The register is managed by the Local Resilience Forum ensuring joint contribution and learning. </w:t>
      </w:r>
    </w:p>
    <w:p w14:paraId="3A87E2FA" w14:textId="77777777" w:rsidR="00D15D90" w:rsidRPr="00B35ADF" w:rsidRDefault="00D15D90" w:rsidP="00D15D90">
      <w:pPr>
        <w:pStyle w:val="ListParagraph"/>
        <w:numPr>
          <w:ilvl w:val="0"/>
          <w:numId w:val="79"/>
        </w:numPr>
        <w:spacing w:after="0" w:line="360" w:lineRule="auto"/>
        <w:ind w:left="709" w:hanging="284"/>
        <w:rPr>
          <w:rFonts w:ascii="Arial" w:hAnsi="Arial" w:cs="Arial"/>
          <w:sz w:val="24"/>
          <w:szCs w:val="24"/>
        </w:rPr>
      </w:pPr>
      <w:r w:rsidRPr="00B35ADF">
        <w:rPr>
          <w:rFonts w:ascii="Arial" w:hAnsi="Arial" w:cs="Arial"/>
          <w:sz w:val="24"/>
          <w:szCs w:val="24"/>
        </w:rPr>
        <w:t>We have continued to embed the Framework for Integrated and Place Based Working, which outlines our commitment to work with our partners and communities to deliver services in a more integrated way, providing consistency and accountability and maximum value to our residents.</w:t>
      </w:r>
    </w:p>
    <w:p w14:paraId="0A1B529C" w14:textId="77777777" w:rsidR="00D15D90" w:rsidRPr="00B35ADF" w:rsidRDefault="00D15D90" w:rsidP="00D15D90">
      <w:pPr>
        <w:pStyle w:val="ListParagraph"/>
        <w:numPr>
          <w:ilvl w:val="0"/>
          <w:numId w:val="79"/>
        </w:numPr>
        <w:spacing w:after="0" w:line="360" w:lineRule="auto"/>
        <w:ind w:left="709" w:hanging="284"/>
        <w:rPr>
          <w:rFonts w:ascii="Arial" w:hAnsi="Arial" w:cs="Arial"/>
          <w:sz w:val="24"/>
          <w:szCs w:val="24"/>
        </w:rPr>
      </w:pPr>
      <w:r w:rsidRPr="00B35ADF">
        <w:rPr>
          <w:rFonts w:ascii="Arial" w:hAnsi="Arial" w:cs="Arial"/>
          <w:sz w:val="24"/>
          <w:szCs w:val="24"/>
        </w:rPr>
        <w:t xml:space="preserve">As part of our Integrated Place Based Working arrangements, we have implemented a service wide digital approach to ensure activities that support the strategic priorities set out in the Fire Plan are recorded consistently with appropriate levels of detail to be shared with our partners. </w:t>
      </w:r>
    </w:p>
    <w:p w14:paraId="553CF094" w14:textId="77777777" w:rsidR="00D15D90" w:rsidRPr="00B35ADF" w:rsidRDefault="00D15D90" w:rsidP="00D15D90">
      <w:pPr>
        <w:pStyle w:val="ListParagraph"/>
        <w:numPr>
          <w:ilvl w:val="0"/>
          <w:numId w:val="79"/>
        </w:numPr>
        <w:spacing w:after="0" w:line="360" w:lineRule="auto"/>
        <w:ind w:left="709" w:hanging="284"/>
        <w:rPr>
          <w:rFonts w:ascii="Arial" w:hAnsi="Arial" w:cs="Arial"/>
          <w:sz w:val="24"/>
          <w:szCs w:val="24"/>
        </w:rPr>
      </w:pPr>
      <w:r w:rsidRPr="00B35ADF">
        <w:rPr>
          <w:rFonts w:ascii="Arial" w:hAnsi="Arial" w:cs="Arial"/>
          <w:sz w:val="24"/>
          <w:szCs w:val="24"/>
        </w:rPr>
        <w:t xml:space="preserve">We have established a ‘What Works’ forum to enable us to work together with our partners to reduce fire and emergency incidents throughout Greater Manchester. The forum has been able to facilitate the capture and sharing of best practice amongst the Local Authorities and other partners to allow a more streamlined and efficient engagement approach. </w:t>
      </w:r>
    </w:p>
    <w:p w14:paraId="1DE649AA" w14:textId="77777777" w:rsidR="00D15D90" w:rsidRPr="00B35ADF" w:rsidRDefault="00D15D90" w:rsidP="00D15D90">
      <w:pPr>
        <w:pStyle w:val="ListParagraph"/>
        <w:numPr>
          <w:ilvl w:val="0"/>
          <w:numId w:val="79"/>
        </w:numPr>
        <w:spacing w:after="0" w:line="360" w:lineRule="auto"/>
        <w:ind w:left="709" w:hanging="284"/>
        <w:rPr>
          <w:rFonts w:ascii="Arial" w:hAnsi="Arial" w:cs="Arial"/>
          <w:sz w:val="24"/>
          <w:szCs w:val="24"/>
        </w:rPr>
      </w:pPr>
      <w:r w:rsidRPr="00B35ADF">
        <w:rPr>
          <w:rFonts w:ascii="Arial" w:hAnsi="Arial" w:cs="Arial"/>
          <w:sz w:val="24"/>
          <w:szCs w:val="24"/>
        </w:rPr>
        <w:t xml:space="preserve">We have improved our engagement with local communities across social media platforms: X, Instagram, and Facebook to ensure they are informed about GMFRS activities, events, safety campaigns, and good news stories. </w:t>
      </w:r>
    </w:p>
    <w:p w14:paraId="26A4C7D1" w14:textId="77777777" w:rsidR="00D15D90" w:rsidRPr="00B35ADF" w:rsidRDefault="00D15D90" w:rsidP="00D15D90">
      <w:pPr>
        <w:spacing w:line="360" w:lineRule="auto"/>
        <w:ind w:left="709"/>
        <w:rPr>
          <w:rFonts w:ascii="Arial" w:hAnsi="Arial" w:cs="Arial"/>
          <w:color w:val="FF0000"/>
          <w:lang w:val="en-US"/>
        </w:rPr>
      </w:pPr>
    </w:p>
    <w:p w14:paraId="1A92543A" w14:textId="77777777" w:rsidR="00D15D90" w:rsidRPr="00B35ADF" w:rsidRDefault="00D15D90" w:rsidP="00D15D90">
      <w:pPr>
        <w:spacing w:line="360" w:lineRule="auto"/>
        <w:rPr>
          <w:rFonts w:ascii="Arial" w:hAnsi="Arial" w:cs="Arial"/>
        </w:rPr>
      </w:pPr>
      <w:r w:rsidRPr="00B35ADF">
        <w:rPr>
          <w:rFonts w:ascii="Arial" w:hAnsi="Arial" w:cs="Arial"/>
        </w:rPr>
        <w:t>In addition to our improvement portfolio, GMFRS captures and utilises core activities and statistical information to facilitate targeted campaigns in problem areas, monitored through governance arrangements and key performance indicators to promote continual improvement in service delivery.  In terms of our performance:</w:t>
      </w:r>
    </w:p>
    <w:p w14:paraId="7AB5EA7E" w14:textId="77777777" w:rsidR="00D15D90" w:rsidRPr="00051384" w:rsidRDefault="00D15D90" w:rsidP="00D15D90">
      <w:pPr>
        <w:spacing w:line="360" w:lineRule="auto"/>
        <w:rPr>
          <w:rFonts w:ascii="Arial" w:hAnsi="Arial" w:cs="Arial"/>
        </w:rPr>
      </w:pPr>
    </w:p>
    <w:p w14:paraId="2FF1D12C" w14:textId="77777777" w:rsidR="00D15D90" w:rsidRPr="008D4889" w:rsidRDefault="00D15D90" w:rsidP="00D15D90">
      <w:pPr>
        <w:spacing w:line="360" w:lineRule="auto"/>
        <w:rPr>
          <w:rFonts w:ascii="Arial" w:hAnsi="Arial" w:cs="Arial"/>
        </w:rPr>
      </w:pPr>
      <w:r w:rsidRPr="00051384">
        <w:rPr>
          <w:rFonts w:ascii="Arial" w:hAnsi="Arial" w:cs="Arial"/>
        </w:rPr>
        <w:t xml:space="preserve">GMFRS attended 32,128 incidents (fires, false alarms and special service calls) during 2023/24, which is a decrease of 1% (305) when compared with 2022/23. The decrease is mainly associated with a reduction </w:t>
      </w:r>
      <w:r w:rsidRPr="00C93AD0">
        <w:rPr>
          <w:rFonts w:ascii="Arial" w:hAnsi="Arial" w:cs="Arial"/>
        </w:rPr>
        <w:t xml:space="preserve">in fire incident types. The 1st appliance average response time to 'life risk' emergency incidents was 7 minutes 32 seconds in 2023/24 which is 14 seconds slower than the previous year. Sadly, sixteen people died as a result of fires in 2023/24 compared with fifteen fire related deaths in 2022/23. Of these, ten involved males, of which six were accidental in nature and four were deliberate. The Home Office reported in September 2023 ‘men had a greater likelihood of dying in a fire than </w:t>
      </w:r>
      <w:r w:rsidRPr="008D4889">
        <w:rPr>
          <w:rFonts w:ascii="Arial" w:hAnsi="Arial" w:cs="Arial"/>
        </w:rPr>
        <w:t xml:space="preserve">women’.  </w:t>
      </w:r>
    </w:p>
    <w:p w14:paraId="6AF23FF3" w14:textId="77777777" w:rsidR="00D15D90" w:rsidRPr="008D4889" w:rsidRDefault="00D15D90" w:rsidP="00D15D90">
      <w:pPr>
        <w:pStyle w:val="NormalWeb"/>
        <w:shd w:val="clear" w:color="auto" w:fill="FFFFFF"/>
        <w:spacing w:before="0" w:beforeAutospacing="0" w:after="0" w:afterAutospacing="0" w:line="360" w:lineRule="auto"/>
        <w:rPr>
          <w:rFonts w:ascii="Arial" w:hAnsi="Arial" w:cs="Arial"/>
          <w:lang w:eastAsia="en-US"/>
        </w:rPr>
      </w:pPr>
    </w:p>
    <w:p w14:paraId="6A8C4B9B" w14:textId="77777777" w:rsidR="00D15D90" w:rsidRPr="008D4889" w:rsidRDefault="00D15D90" w:rsidP="00D15D90">
      <w:pPr>
        <w:pStyle w:val="NormalWeb"/>
        <w:shd w:val="clear" w:color="auto" w:fill="FFFFFF"/>
        <w:spacing w:before="0" w:beforeAutospacing="0" w:after="0" w:afterAutospacing="0" w:line="360" w:lineRule="auto"/>
        <w:rPr>
          <w:rFonts w:ascii="Arial" w:hAnsi="Arial" w:cs="Arial"/>
        </w:rPr>
      </w:pPr>
      <w:r w:rsidRPr="008D4889">
        <w:rPr>
          <w:rFonts w:ascii="Arial" w:hAnsi="Arial" w:cs="Arial"/>
        </w:rPr>
        <w:t xml:space="preserve">There have been 135 injuries as a result of fires in 2023/24, which is a reduction of 33 when compared to 2022/23. </w:t>
      </w:r>
      <w:r w:rsidRPr="008D4889">
        <w:rPr>
          <w:rStyle w:val="normaltextrun"/>
          <w:rFonts w:ascii="Arial" w:hAnsi="Arial" w:cs="Arial"/>
          <w:shd w:val="clear" w:color="auto" w:fill="FFFFFF"/>
        </w:rPr>
        <w:t>The majority of injuries continue to be sustained in accidental dwelling fires, which continues to be a key area of focus for our prevention activities.</w:t>
      </w:r>
      <w:r w:rsidRPr="008D4889">
        <w:rPr>
          <w:rStyle w:val="eop"/>
          <w:rFonts w:ascii="Arial" w:hAnsi="Arial" w:cs="Arial"/>
          <w:shd w:val="clear" w:color="auto" w:fill="FFFFFF"/>
        </w:rPr>
        <w:t> </w:t>
      </w:r>
      <w:r w:rsidRPr="008D4889">
        <w:rPr>
          <w:rFonts w:ascii="Arial" w:hAnsi="Arial" w:cs="Arial"/>
        </w:rPr>
        <w:t xml:space="preserve">1,425 accidental dwelling fires were attended in 2023/24, which is 2% (26) more than 2022/23.  </w:t>
      </w:r>
    </w:p>
    <w:p w14:paraId="233D5CBE" w14:textId="77777777" w:rsidR="00D15D90" w:rsidRPr="008D4889" w:rsidRDefault="00D15D90" w:rsidP="00D15D90">
      <w:pPr>
        <w:pStyle w:val="NormalWeb"/>
        <w:shd w:val="clear" w:color="auto" w:fill="FFFFFF"/>
        <w:spacing w:before="0" w:beforeAutospacing="0" w:after="0" w:afterAutospacing="0" w:line="360" w:lineRule="auto"/>
        <w:rPr>
          <w:rFonts w:ascii="Arial" w:hAnsi="Arial" w:cs="Arial"/>
        </w:rPr>
      </w:pPr>
    </w:p>
    <w:p w14:paraId="041B99ED" w14:textId="77777777" w:rsidR="00D15D90" w:rsidRDefault="00D15D90" w:rsidP="00D15D90">
      <w:pPr>
        <w:spacing w:line="360" w:lineRule="auto"/>
        <w:rPr>
          <w:rFonts w:ascii="Arial" w:hAnsi="Arial" w:cs="Arial"/>
        </w:rPr>
      </w:pPr>
      <w:r w:rsidRPr="008D4889">
        <w:rPr>
          <w:rFonts w:ascii="Arial" w:hAnsi="Arial" w:cs="Arial"/>
        </w:rPr>
        <w:t>In 2023/24, 30,506</w:t>
      </w:r>
      <w:r w:rsidRPr="008D4889">
        <w:rPr>
          <w:rFonts w:ascii="Arial" w:eastAsiaTheme="minorHAnsi" w:hAnsi="Arial" w:cs="Arial"/>
          <w:lang w:val="en-US"/>
        </w:rPr>
        <w:t xml:space="preserve"> Home Fire Safety Assessments </w:t>
      </w:r>
      <w:r w:rsidRPr="00A0414C">
        <w:rPr>
          <w:rFonts w:ascii="Arial" w:hAnsi="Arial" w:cs="Arial"/>
        </w:rPr>
        <w:t xml:space="preserve">(HFSA) </w:t>
      </w:r>
      <w:r w:rsidRPr="00A0414C">
        <w:rPr>
          <w:rFonts w:ascii="Arial" w:eastAsiaTheme="minorHAnsi" w:hAnsi="Arial" w:cs="Arial"/>
          <w:lang w:val="en-US"/>
        </w:rPr>
        <w:t xml:space="preserve">were delivered to homes across Greater Manchester compared to </w:t>
      </w:r>
      <w:r>
        <w:rPr>
          <w:rFonts w:ascii="Arial" w:eastAsiaTheme="minorHAnsi" w:hAnsi="Arial" w:cs="Arial"/>
          <w:lang w:val="en-US"/>
        </w:rPr>
        <w:t>23,889</w:t>
      </w:r>
      <w:r w:rsidRPr="00A0414C">
        <w:rPr>
          <w:rFonts w:ascii="Arial" w:eastAsiaTheme="minorHAnsi" w:hAnsi="Arial" w:cs="Arial"/>
          <w:lang w:val="en-US"/>
        </w:rPr>
        <w:t xml:space="preserve"> in 2022/23. Since t</w:t>
      </w:r>
      <w:r w:rsidRPr="00A0414C">
        <w:rPr>
          <w:rFonts w:ascii="Arial" w:hAnsi="Arial" w:cs="Arial"/>
        </w:rPr>
        <w:t xml:space="preserve">he launch of the new HFSA in early 2022, GMFRS have continued to embed the process and increase the number of HFSAs delivered, which is supported by the ‘High Risk Household List’ launched in July 2022 and is an important element of the blended approach to targeting </w:t>
      </w:r>
      <w:r w:rsidRPr="00A83883">
        <w:rPr>
          <w:rFonts w:ascii="Arial" w:hAnsi="Arial" w:cs="Arial"/>
        </w:rPr>
        <w:t xml:space="preserve">households at risk.  </w:t>
      </w:r>
    </w:p>
    <w:p w14:paraId="31ECD5B7" w14:textId="77777777" w:rsidR="00D15D90" w:rsidRPr="00A83883" w:rsidRDefault="00D15D90" w:rsidP="00D15D90">
      <w:pPr>
        <w:spacing w:line="360" w:lineRule="auto"/>
        <w:rPr>
          <w:rFonts w:ascii="Arial" w:hAnsi="Arial" w:cs="Arial"/>
        </w:rPr>
      </w:pPr>
    </w:p>
    <w:p w14:paraId="65CFA54B" w14:textId="77777777" w:rsidR="00D15D90" w:rsidRDefault="00D15D90" w:rsidP="00D15D90">
      <w:pPr>
        <w:spacing w:line="360" w:lineRule="auto"/>
        <w:rPr>
          <w:rFonts w:ascii="Arial" w:hAnsi="Arial" w:cs="Arial"/>
        </w:rPr>
      </w:pPr>
      <w:r w:rsidRPr="00A83883">
        <w:rPr>
          <w:rFonts w:ascii="Arial" w:hAnsi="Arial" w:cs="Arial"/>
        </w:rPr>
        <w:t xml:space="preserve">We delivered 5,330 fire safety interventions during 2023/24, which is above our annual target of 5,000 and 10% (502) more than the previous year.  This increase in interventions demonstrates </w:t>
      </w:r>
      <w:r w:rsidRPr="005C6B55">
        <w:rPr>
          <w:rFonts w:ascii="Arial" w:hAnsi="Arial" w:cs="Arial"/>
        </w:rPr>
        <w:t xml:space="preserve">the changing nature of Protection work including new requirements through changes in legislation and this is reflected in the range of interventions delivered. </w:t>
      </w:r>
    </w:p>
    <w:p w14:paraId="6A0529F3" w14:textId="77777777" w:rsidR="00D15D90" w:rsidRDefault="00D15D90" w:rsidP="00D15D90">
      <w:pPr>
        <w:spacing w:line="360" w:lineRule="auto"/>
        <w:rPr>
          <w:rFonts w:ascii="Arial" w:hAnsi="Arial" w:cs="Arial"/>
        </w:rPr>
      </w:pPr>
    </w:p>
    <w:p w14:paraId="63274B35" w14:textId="77777777" w:rsidR="00D15D90" w:rsidRDefault="00D15D90" w:rsidP="00D15D90">
      <w:pPr>
        <w:spacing w:line="360" w:lineRule="auto"/>
        <w:rPr>
          <w:rFonts w:ascii="Arial" w:hAnsi="Arial" w:cs="Arial"/>
        </w:rPr>
      </w:pPr>
      <w:r w:rsidRPr="005C6B55">
        <w:rPr>
          <w:rFonts w:ascii="Arial" w:hAnsi="Arial" w:cs="Arial"/>
        </w:rPr>
        <w:t>In the last year there have been 1</w:t>
      </w:r>
      <w:r>
        <w:rPr>
          <w:rFonts w:ascii="Arial" w:hAnsi="Arial" w:cs="Arial"/>
        </w:rPr>
        <w:t>,</w:t>
      </w:r>
      <w:r w:rsidRPr="005C6B55">
        <w:rPr>
          <w:rFonts w:ascii="Arial" w:hAnsi="Arial" w:cs="Arial"/>
        </w:rPr>
        <w:t xml:space="preserve">349 pro-active Risk Based Inspection Programme jobs and 557 interventions delivered to support our Primary Authority Partners generating in the region of £70,000 - an area of work we continue to expand and improve. </w:t>
      </w:r>
    </w:p>
    <w:p w14:paraId="757D1AB9" w14:textId="77777777" w:rsidR="00D15D90" w:rsidRPr="00B15622" w:rsidRDefault="00D15D90" w:rsidP="00D15D90">
      <w:pPr>
        <w:spacing w:line="360" w:lineRule="auto"/>
        <w:rPr>
          <w:rFonts w:ascii="Arial" w:hAnsi="Arial" w:cs="Arial"/>
          <w:highlight w:val="yellow"/>
        </w:rPr>
      </w:pPr>
    </w:p>
    <w:p w14:paraId="5B772FAE" w14:textId="3921A644" w:rsidR="00D15D90" w:rsidRPr="00F7788F" w:rsidRDefault="00D15D90" w:rsidP="00A63D82">
      <w:pPr>
        <w:rPr>
          <w:rFonts w:ascii="Arial" w:hAnsi="Arial" w:cs="Arial"/>
          <w:u w:val="single"/>
        </w:rPr>
      </w:pPr>
      <w:bookmarkStart w:id="24" w:name="_Hlk167353730"/>
      <w:r w:rsidRPr="00F7788F">
        <w:rPr>
          <w:rFonts w:ascii="Arial" w:hAnsi="Arial" w:cs="Arial"/>
          <w:u w:val="single"/>
        </w:rPr>
        <w:t>GMFRS Outturn</w:t>
      </w:r>
    </w:p>
    <w:p w14:paraId="066D0573" w14:textId="77777777" w:rsidR="00D15D90" w:rsidRPr="00BB3C42" w:rsidRDefault="00D15D90" w:rsidP="00D15D90">
      <w:pPr>
        <w:spacing w:line="360" w:lineRule="auto"/>
        <w:rPr>
          <w:rFonts w:ascii="Arial" w:hAnsi="Arial" w:cs="Arial"/>
          <w:highlight w:val="cyan"/>
        </w:rPr>
      </w:pPr>
    </w:p>
    <w:p w14:paraId="28F3F836" w14:textId="627FF3F1" w:rsidR="00D15D90" w:rsidRPr="00A63D82" w:rsidRDefault="00D15D90" w:rsidP="00A63D82">
      <w:pPr>
        <w:spacing w:line="360" w:lineRule="auto"/>
        <w:ind w:left="66"/>
        <w:rPr>
          <w:rFonts w:ascii="Arial" w:hAnsi="Arial" w:cs="Arial"/>
        </w:rPr>
      </w:pPr>
      <w:r w:rsidRPr="0035778B">
        <w:rPr>
          <w:rFonts w:ascii="Arial" w:hAnsi="Arial" w:cs="Arial"/>
        </w:rPr>
        <w:t>The 2023/24 budget for GM Fire and Rescue Service (GMFRS) set in February 2023 was approved at £130.156m and, at quarter 1, was revised to £130.308m to reflect the changes in collection fund figures provided by Districts following the budget setting period. The draft outturn position is an underspend of £487k prior to a transfer of revenue funding to capital. The table below provides a summary of the position:</w:t>
      </w:r>
    </w:p>
    <w:p w14:paraId="3285F274" w14:textId="5AF442BD" w:rsidR="00A63D82" w:rsidRDefault="00A63D82">
      <w:pPr>
        <w:rPr>
          <w:rFonts w:ascii="Arial" w:hAnsi="Arial" w:cs="Arial"/>
          <w:highlight w:val="cyan"/>
        </w:rPr>
      </w:pPr>
      <w:r>
        <w:rPr>
          <w:rFonts w:ascii="Arial" w:hAnsi="Arial" w:cs="Arial"/>
          <w:highlight w:val="cyan"/>
        </w:rPr>
        <w:br w:type="page"/>
      </w:r>
    </w:p>
    <w:p w14:paraId="67B123CD" w14:textId="77777777" w:rsidR="00D15D90" w:rsidRPr="00BB3C42" w:rsidRDefault="00D15D90" w:rsidP="00D15D90">
      <w:pPr>
        <w:spacing w:line="360" w:lineRule="auto"/>
        <w:jc w:val="both"/>
        <w:rPr>
          <w:rFonts w:ascii="Arial" w:hAnsi="Arial" w:cs="Arial"/>
          <w:highlight w:val="cyan"/>
        </w:rPr>
      </w:pPr>
    </w:p>
    <w:tbl>
      <w:tblPr>
        <w:tblW w:w="8111" w:type="dxa"/>
        <w:tblInd w:w="421" w:type="dxa"/>
        <w:tblLook w:val="04A0" w:firstRow="1" w:lastRow="0" w:firstColumn="1" w:lastColumn="0" w:noHBand="0" w:noVBand="1"/>
      </w:tblPr>
      <w:tblGrid>
        <w:gridCol w:w="3754"/>
        <w:gridCol w:w="1337"/>
        <w:gridCol w:w="1510"/>
        <w:gridCol w:w="1510"/>
      </w:tblGrid>
      <w:tr w:rsidR="00D15D90" w:rsidRPr="00F7788F" w14:paraId="6248660B" w14:textId="77777777" w:rsidTr="00A63D82">
        <w:trPr>
          <w:cantSplit/>
          <w:trHeight w:val="520"/>
        </w:trPr>
        <w:tc>
          <w:tcPr>
            <w:tcW w:w="3754" w:type="dxa"/>
            <w:tcBorders>
              <w:top w:val="single" w:sz="8" w:space="0" w:color="auto"/>
              <w:left w:val="single" w:sz="8" w:space="0" w:color="auto"/>
              <w:right w:val="single" w:sz="8" w:space="0" w:color="auto"/>
            </w:tcBorders>
            <w:shd w:val="clear" w:color="auto" w:fill="auto"/>
            <w:hideMark/>
          </w:tcPr>
          <w:p w14:paraId="57B326E1" w14:textId="77777777" w:rsidR="00D15D90" w:rsidRPr="00F7788F" w:rsidRDefault="00D15D90" w:rsidP="00012E0D">
            <w:pPr>
              <w:rPr>
                <w:rFonts w:ascii="Arial" w:hAnsi="Arial" w:cs="Arial"/>
                <w:b/>
                <w:bCs/>
                <w:color w:val="000000"/>
                <w:lang w:eastAsia="en-GB"/>
              </w:rPr>
            </w:pPr>
            <w:r w:rsidRPr="00F7788F">
              <w:rPr>
                <w:rFonts w:ascii="Arial" w:hAnsi="Arial" w:cs="Arial"/>
                <w:b/>
                <w:bCs/>
                <w:color w:val="000000"/>
                <w:lang w:eastAsia="en-GB"/>
              </w:rPr>
              <w:t>GM Fire &amp; Rescue Service 2023/24 Provisional Outturn</w:t>
            </w:r>
          </w:p>
        </w:tc>
        <w:tc>
          <w:tcPr>
            <w:tcW w:w="1337" w:type="dxa"/>
            <w:tcBorders>
              <w:top w:val="single" w:sz="8" w:space="0" w:color="auto"/>
              <w:left w:val="single" w:sz="8" w:space="0" w:color="auto"/>
              <w:right w:val="single" w:sz="8" w:space="0" w:color="auto"/>
            </w:tcBorders>
            <w:shd w:val="clear" w:color="auto" w:fill="auto"/>
            <w:hideMark/>
          </w:tcPr>
          <w:p w14:paraId="0EE75E4F" w14:textId="77777777" w:rsidR="00D15D90" w:rsidRPr="00F7788F" w:rsidRDefault="00D15D90" w:rsidP="00012E0D">
            <w:pPr>
              <w:jc w:val="center"/>
              <w:rPr>
                <w:rFonts w:ascii="Arial" w:hAnsi="Arial" w:cs="Arial"/>
                <w:b/>
                <w:bCs/>
                <w:color w:val="000000"/>
                <w:lang w:eastAsia="en-GB"/>
              </w:rPr>
            </w:pPr>
            <w:r w:rsidRPr="00F7788F">
              <w:rPr>
                <w:rFonts w:ascii="Arial" w:hAnsi="Arial" w:cs="Arial"/>
                <w:b/>
                <w:bCs/>
                <w:color w:val="000000"/>
                <w:lang w:eastAsia="en-GB"/>
              </w:rPr>
              <w:t>Approved Budget</w:t>
            </w:r>
          </w:p>
        </w:tc>
        <w:tc>
          <w:tcPr>
            <w:tcW w:w="1510" w:type="dxa"/>
            <w:tcBorders>
              <w:top w:val="single" w:sz="8" w:space="0" w:color="auto"/>
              <w:left w:val="single" w:sz="8" w:space="0" w:color="auto"/>
              <w:right w:val="single" w:sz="8" w:space="0" w:color="auto"/>
            </w:tcBorders>
            <w:shd w:val="clear" w:color="auto" w:fill="auto"/>
            <w:hideMark/>
          </w:tcPr>
          <w:p w14:paraId="5D19A4A2" w14:textId="77777777" w:rsidR="00D15D90" w:rsidRPr="00F7788F" w:rsidRDefault="00D15D90" w:rsidP="00012E0D">
            <w:pPr>
              <w:jc w:val="center"/>
              <w:rPr>
                <w:rFonts w:ascii="Arial" w:hAnsi="Arial" w:cs="Arial"/>
                <w:b/>
                <w:bCs/>
                <w:color w:val="000000"/>
                <w:lang w:eastAsia="en-GB"/>
              </w:rPr>
            </w:pPr>
            <w:r w:rsidRPr="00F7788F">
              <w:rPr>
                <w:rFonts w:ascii="Arial" w:hAnsi="Arial" w:cs="Arial"/>
                <w:b/>
                <w:bCs/>
                <w:color w:val="000000"/>
                <w:lang w:eastAsia="en-GB"/>
              </w:rPr>
              <w:t>Provisional Outturn</w:t>
            </w:r>
          </w:p>
        </w:tc>
        <w:tc>
          <w:tcPr>
            <w:tcW w:w="1510" w:type="dxa"/>
            <w:tcBorders>
              <w:top w:val="single" w:sz="8" w:space="0" w:color="auto"/>
              <w:left w:val="single" w:sz="8" w:space="0" w:color="auto"/>
              <w:right w:val="single" w:sz="8" w:space="0" w:color="auto"/>
            </w:tcBorders>
            <w:shd w:val="clear" w:color="auto" w:fill="auto"/>
            <w:hideMark/>
          </w:tcPr>
          <w:p w14:paraId="3BCDD3F0" w14:textId="77777777" w:rsidR="00D15D90" w:rsidRPr="00F7788F" w:rsidRDefault="00D15D90" w:rsidP="00012E0D">
            <w:pPr>
              <w:jc w:val="center"/>
              <w:rPr>
                <w:rFonts w:ascii="Arial" w:hAnsi="Arial" w:cs="Arial"/>
                <w:b/>
                <w:bCs/>
                <w:color w:val="000000"/>
                <w:lang w:eastAsia="en-GB"/>
              </w:rPr>
            </w:pPr>
            <w:r w:rsidRPr="00F7788F">
              <w:rPr>
                <w:rFonts w:ascii="Arial" w:hAnsi="Arial" w:cs="Arial"/>
                <w:b/>
                <w:bCs/>
                <w:color w:val="000000"/>
                <w:lang w:eastAsia="en-GB"/>
              </w:rPr>
              <w:t>Provisional Variance</w:t>
            </w:r>
          </w:p>
        </w:tc>
      </w:tr>
      <w:tr w:rsidR="00D15D90" w:rsidRPr="00F7788F" w14:paraId="0E7B7DF1" w14:textId="77777777" w:rsidTr="00A63D82">
        <w:trPr>
          <w:cantSplit/>
          <w:trHeight w:val="310"/>
        </w:trPr>
        <w:tc>
          <w:tcPr>
            <w:tcW w:w="3754" w:type="dxa"/>
            <w:tcBorders>
              <w:left w:val="single" w:sz="8" w:space="0" w:color="auto"/>
              <w:bottom w:val="single" w:sz="8" w:space="0" w:color="auto"/>
              <w:right w:val="single" w:sz="8" w:space="0" w:color="auto"/>
            </w:tcBorders>
            <w:shd w:val="clear" w:color="auto" w:fill="auto"/>
            <w:noWrap/>
            <w:vAlign w:val="center"/>
            <w:hideMark/>
          </w:tcPr>
          <w:p w14:paraId="0E7F9542"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 </w:t>
            </w:r>
          </w:p>
        </w:tc>
        <w:tc>
          <w:tcPr>
            <w:tcW w:w="1337" w:type="dxa"/>
            <w:tcBorders>
              <w:left w:val="single" w:sz="8" w:space="0" w:color="auto"/>
              <w:bottom w:val="single" w:sz="8" w:space="0" w:color="auto"/>
              <w:right w:val="single" w:sz="8" w:space="0" w:color="auto"/>
            </w:tcBorders>
            <w:shd w:val="clear" w:color="auto" w:fill="auto"/>
            <w:noWrap/>
            <w:vAlign w:val="center"/>
            <w:hideMark/>
          </w:tcPr>
          <w:p w14:paraId="4F8DAF9C" w14:textId="77777777" w:rsidR="00D15D90" w:rsidRPr="00F7788F" w:rsidRDefault="00D15D90" w:rsidP="00012E0D">
            <w:pPr>
              <w:jc w:val="center"/>
              <w:rPr>
                <w:rFonts w:ascii="Arial" w:hAnsi="Arial" w:cs="Arial"/>
                <w:b/>
                <w:bCs/>
                <w:color w:val="000000"/>
                <w:lang w:eastAsia="en-GB"/>
              </w:rPr>
            </w:pPr>
            <w:r w:rsidRPr="00F7788F">
              <w:rPr>
                <w:rFonts w:ascii="Arial" w:hAnsi="Arial" w:cs="Arial"/>
                <w:b/>
                <w:bCs/>
                <w:color w:val="000000"/>
                <w:lang w:eastAsia="en-GB"/>
              </w:rPr>
              <w:t>£000</w:t>
            </w:r>
            <w:r>
              <w:rPr>
                <w:rFonts w:ascii="Arial" w:hAnsi="Arial" w:cs="Arial"/>
                <w:b/>
                <w:bCs/>
                <w:color w:val="000000"/>
                <w:lang w:eastAsia="en-GB"/>
              </w:rPr>
              <w:t>s</w:t>
            </w:r>
          </w:p>
        </w:tc>
        <w:tc>
          <w:tcPr>
            <w:tcW w:w="1510" w:type="dxa"/>
            <w:tcBorders>
              <w:left w:val="single" w:sz="8" w:space="0" w:color="auto"/>
              <w:bottom w:val="single" w:sz="8" w:space="0" w:color="auto"/>
              <w:right w:val="single" w:sz="8" w:space="0" w:color="auto"/>
            </w:tcBorders>
            <w:shd w:val="clear" w:color="auto" w:fill="auto"/>
            <w:noWrap/>
            <w:vAlign w:val="center"/>
            <w:hideMark/>
          </w:tcPr>
          <w:p w14:paraId="0996DB14" w14:textId="77777777" w:rsidR="00D15D90" w:rsidRPr="00F7788F" w:rsidRDefault="00D15D90" w:rsidP="00012E0D">
            <w:pPr>
              <w:jc w:val="center"/>
              <w:rPr>
                <w:rFonts w:ascii="Arial" w:hAnsi="Arial" w:cs="Arial"/>
                <w:b/>
                <w:bCs/>
                <w:color w:val="000000"/>
                <w:lang w:eastAsia="en-GB"/>
              </w:rPr>
            </w:pPr>
            <w:r w:rsidRPr="00F7788F">
              <w:rPr>
                <w:rFonts w:ascii="Arial" w:hAnsi="Arial" w:cs="Arial"/>
                <w:b/>
                <w:bCs/>
                <w:color w:val="000000"/>
                <w:lang w:eastAsia="en-GB"/>
              </w:rPr>
              <w:t>£000</w:t>
            </w:r>
            <w:r>
              <w:rPr>
                <w:rFonts w:ascii="Arial" w:hAnsi="Arial" w:cs="Arial"/>
                <w:b/>
                <w:bCs/>
                <w:color w:val="000000"/>
                <w:lang w:eastAsia="en-GB"/>
              </w:rPr>
              <w:t>s</w:t>
            </w:r>
          </w:p>
        </w:tc>
        <w:tc>
          <w:tcPr>
            <w:tcW w:w="1510" w:type="dxa"/>
            <w:tcBorders>
              <w:left w:val="single" w:sz="8" w:space="0" w:color="auto"/>
              <w:bottom w:val="single" w:sz="8" w:space="0" w:color="auto"/>
              <w:right w:val="single" w:sz="8" w:space="0" w:color="auto"/>
            </w:tcBorders>
            <w:shd w:val="clear" w:color="auto" w:fill="auto"/>
            <w:noWrap/>
            <w:vAlign w:val="center"/>
            <w:hideMark/>
          </w:tcPr>
          <w:p w14:paraId="7B5F34DA" w14:textId="77777777" w:rsidR="00D15D90" w:rsidRPr="00F7788F" w:rsidRDefault="00D15D90" w:rsidP="00012E0D">
            <w:pPr>
              <w:jc w:val="center"/>
              <w:rPr>
                <w:rFonts w:ascii="Arial" w:hAnsi="Arial" w:cs="Arial"/>
                <w:b/>
                <w:bCs/>
                <w:color w:val="000000"/>
                <w:lang w:eastAsia="en-GB"/>
              </w:rPr>
            </w:pPr>
            <w:r w:rsidRPr="00F7788F">
              <w:rPr>
                <w:rFonts w:ascii="Arial" w:hAnsi="Arial" w:cs="Arial"/>
                <w:b/>
                <w:bCs/>
                <w:color w:val="000000"/>
                <w:lang w:eastAsia="en-GB"/>
              </w:rPr>
              <w:t>£000</w:t>
            </w:r>
            <w:r>
              <w:rPr>
                <w:rFonts w:ascii="Arial" w:hAnsi="Arial" w:cs="Arial"/>
                <w:b/>
                <w:bCs/>
                <w:color w:val="000000"/>
                <w:lang w:eastAsia="en-GB"/>
              </w:rPr>
              <w:t>s</w:t>
            </w:r>
          </w:p>
        </w:tc>
      </w:tr>
      <w:tr w:rsidR="00D15D90" w:rsidRPr="00F7788F" w14:paraId="089167FA" w14:textId="77777777" w:rsidTr="00A63D82">
        <w:trPr>
          <w:cantSplit/>
          <w:trHeight w:val="310"/>
        </w:trPr>
        <w:tc>
          <w:tcPr>
            <w:tcW w:w="3754" w:type="dxa"/>
            <w:tcBorders>
              <w:top w:val="single" w:sz="8" w:space="0" w:color="auto"/>
              <w:left w:val="single" w:sz="4" w:space="0" w:color="auto"/>
              <w:bottom w:val="nil"/>
              <w:right w:val="single" w:sz="8" w:space="0" w:color="auto"/>
            </w:tcBorders>
            <w:shd w:val="clear" w:color="auto" w:fill="auto"/>
            <w:noWrap/>
            <w:vAlign w:val="center"/>
            <w:hideMark/>
          </w:tcPr>
          <w:p w14:paraId="329B4C03" w14:textId="77777777" w:rsidR="00D15D90" w:rsidRPr="00F7788F" w:rsidRDefault="00D15D90" w:rsidP="00012E0D">
            <w:pPr>
              <w:rPr>
                <w:rFonts w:ascii="Arial" w:hAnsi="Arial" w:cs="Arial"/>
                <w:b/>
                <w:bCs/>
                <w:color w:val="000000"/>
                <w:lang w:eastAsia="en-GB"/>
              </w:rPr>
            </w:pPr>
            <w:r w:rsidRPr="00F7788F">
              <w:rPr>
                <w:rFonts w:ascii="Arial" w:hAnsi="Arial" w:cs="Arial"/>
                <w:b/>
                <w:bCs/>
                <w:color w:val="000000"/>
                <w:lang w:eastAsia="en-GB"/>
              </w:rPr>
              <w:t>Expenditure:</w:t>
            </w:r>
          </w:p>
        </w:tc>
        <w:tc>
          <w:tcPr>
            <w:tcW w:w="1337" w:type="dxa"/>
            <w:tcBorders>
              <w:top w:val="single" w:sz="8" w:space="0" w:color="auto"/>
              <w:left w:val="single" w:sz="8" w:space="0" w:color="auto"/>
              <w:bottom w:val="nil"/>
              <w:right w:val="single" w:sz="8" w:space="0" w:color="auto"/>
            </w:tcBorders>
            <w:shd w:val="clear" w:color="auto" w:fill="auto"/>
            <w:noWrap/>
            <w:vAlign w:val="center"/>
            <w:hideMark/>
          </w:tcPr>
          <w:p w14:paraId="0ABFD12E" w14:textId="77777777" w:rsidR="00D15D90" w:rsidRPr="00F7788F" w:rsidRDefault="00D15D90" w:rsidP="00012E0D">
            <w:pPr>
              <w:jc w:val="center"/>
              <w:rPr>
                <w:rFonts w:ascii="Arial" w:hAnsi="Arial" w:cs="Arial"/>
                <w:b/>
                <w:bCs/>
                <w:color w:val="000000"/>
                <w:lang w:eastAsia="en-GB"/>
              </w:rPr>
            </w:pPr>
            <w:r w:rsidRPr="00F7788F">
              <w:rPr>
                <w:rFonts w:ascii="Arial" w:hAnsi="Arial" w:cs="Arial"/>
                <w:b/>
                <w:bCs/>
                <w:color w:val="000000"/>
                <w:lang w:eastAsia="en-GB"/>
              </w:rPr>
              <w:t> </w:t>
            </w:r>
          </w:p>
        </w:tc>
        <w:tc>
          <w:tcPr>
            <w:tcW w:w="1510" w:type="dxa"/>
            <w:tcBorders>
              <w:top w:val="single" w:sz="8" w:space="0" w:color="auto"/>
              <w:left w:val="single" w:sz="8" w:space="0" w:color="auto"/>
              <w:bottom w:val="nil"/>
              <w:right w:val="single" w:sz="8" w:space="0" w:color="auto"/>
            </w:tcBorders>
            <w:shd w:val="clear" w:color="auto" w:fill="auto"/>
            <w:noWrap/>
            <w:vAlign w:val="center"/>
            <w:hideMark/>
          </w:tcPr>
          <w:p w14:paraId="7BC88D20" w14:textId="77777777" w:rsidR="00D15D90" w:rsidRPr="00F7788F" w:rsidRDefault="00D15D90" w:rsidP="00012E0D">
            <w:pPr>
              <w:jc w:val="center"/>
              <w:rPr>
                <w:rFonts w:ascii="Arial" w:hAnsi="Arial" w:cs="Arial"/>
                <w:b/>
                <w:bCs/>
                <w:color w:val="000000"/>
                <w:lang w:eastAsia="en-GB"/>
              </w:rPr>
            </w:pPr>
            <w:r w:rsidRPr="00F7788F">
              <w:rPr>
                <w:rFonts w:ascii="Arial" w:hAnsi="Arial" w:cs="Arial"/>
                <w:b/>
                <w:bCs/>
                <w:color w:val="000000"/>
                <w:lang w:eastAsia="en-GB"/>
              </w:rPr>
              <w:t> </w:t>
            </w:r>
          </w:p>
        </w:tc>
        <w:tc>
          <w:tcPr>
            <w:tcW w:w="1510" w:type="dxa"/>
            <w:tcBorders>
              <w:top w:val="single" w:sz="8" w:space="0" w:color="auto"/>
              <w:left w:val="single" w:sz="8" w:space="0" w:color="auto"/>
              <w:bottom w:val="nil"/>
              <w:right w:val="single" w:sz="8" w:space="0" w:color="auto"/>
            </w:tcBorders>
            <w:shd w:val="clear" w:color="auto" w:fill="auto"/>
            <w:noWrap/>
            <w:vAlign w:val="center"/>
            <w:hideMark/>
          </w:tcPr>
          <w:p w14:paraId="57DB0666" w14:textId="77777777" w:rsidR="00D15D90" w:rsidRPr="00F7788F" w:rsidRDefault="00D15D90" w:rsidP="00012E0D">
            <w:pPr>
              <w:jc w:val="center"/>
              <w:rPr>
                <w:rFonts w:ascii="Arial" w:hAnsi="Arial" w:cs="Arial"/>
                <w:b/>
                <w:bCs/>
                <w:color w:val="000000"/>
                <w:lang w:eastAsia="en-GB"/>
              </w:rPr>
            </w:pPr>
            <w:r w:rsidRPr="00F7788F">
              <w:rPr>
                <w:rFonts w:ascii="Arial" w:hAnsi="Arial" w:cs="Arial"/>
                <w:b/>
                <w:bCs/>
                <w:color w:val="000000"/>
                <w:lang w:eastAsia="en-GB"/>
              </w:rPr>
              <w:t> </w:t>
            </w:r>
          </w:p>
        </w:tc>
      </w:tr>
      <w:tr w:rsidR="00D15D90" w:rsidRPr="00F7788F" w14:paraId="3EFA8431"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4D4E8B08"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Employees</w:t>
            </w:r>
          </w:p>
        </w:tc>
        <w:tc>
          <w:tcPr>
            <w:tcW w:w="1337" w:type="dxa"/>
            <w:tcBorders>
              <w:top w:val="nil"/>
              <w:left w:val="single" w:sz="8" w:space="0" w:color="auto"/>
              <w:bottom w:val="nil"/>
              <w:right w:val="single" w:sz="8" w:space="0" w:color="auto"/>
            </w:tcBorders>
            <w:shd w:val="clear" w:color="auto" w:fill="auto"/>
            <w:noWrap/>
            <w:hideMark/>
          </w:tcPr>
          <w:p w14:paraId="593887FF" w14:textId="77777777" w:rsidR="00D15D90" w:rsidRPr="00F7788F" w:rsidRDefault="00D15D90" w:rsidP="00012E0D">
            <w:pPr>
              <w:jc w:val="right"/>
              <w:rPr>
                <w:rFonts w:ascii="Arial" w:hAnsi="Arial" w:cs="Arial"/>
                <w:color w:val="000000"/>
                <w:lang w:eastAsia="en-GB"/>
              </w:rPr>
            </w:pPr>
            <w:r w:rsidRPr="00F7788F">
              <w:rPr>
                <w:rFonts w:ascii="Arial" w:hAnsi="Arial" w:cs="Arial"/>
              </w:rPr>
              <w:t>98,779</w:t>
            </w:r>
          </w:p>
        </w:tc>
        <w:tc>
          <w:tcPr>
            <w:tcW w:w="1510" w:type="dxa"/>
            <w:tcBorders>
              <w:top w:val="nil"/>
              <w:left w:val="single" w:sz="8" w:space="0" w:color="auto"/>
              <w:bottom w:val="nil"/>
              <w:right w:val="single" w:sz="8" w:space="0" w:color="auto"/>
            </w:tcBorders>
            <w:shd w:val="clear" w:color="auto" w:fill="auto"/>
            <w:noWrap/>
            <w:hideMark/>
          </w:tcPr>
          <w:p w14:paraId="68C63686" w14:textId="77777777" w:rsidR="00D15D90" w:rsidRPr="00F7788F" w:rsidRDefault="00D15D90" w:rsidP="00012E0D">
            <w:pPr>
              <w:jc w:val="right"/>
              <w:rPr>
                <w:rFonts w:ascii="Arial" w:hAnsi="Arial" w:cs="Arial"/>
                <w:color w:val="000000"/>
                <w:lang w:eastAsia="en-GB"/>
              </w:rPr>
            </w:pPr>
            <w:r w:rsidRPr="00F7788F">
              <w:rPr>
                <w:rFonts w:ascii="Arial" w:hAnsi="Arial" w:cs="Arial"/>
              </w:rPr>
              <w:t>98,327</w:t>
            </w:r>
          </w:p>
        </w:tc>
        <w:tc>
          <w:tcPr>
            <w:tcW w:w="1510" w:type="dxa"/>
            <w:tcBorders>
              <w:top w:val="nil"/>
              <w:left w:val="single" w:sz="8" w:space="0" w:color="auto"/>
              <w:bottom w:val="nil"/>
              <w:right w:val="single" w:sz="8" w:space="0" w:color="auto"/>
            </w:tcBorders>
            <w:shd w:val="clear" w:color="auto" w:fill="auto"/>
            <w:noWrap/>
            <w:hideMark/>
          </w:tcPr>
          <w:p w14:paraId="17269A4F" w14:textId="77777777" w:rsidR="00D15D90" w:rsidRPr="00F7788F" w:rsidRDefault="00D15D90" w:rsidP="00012E0D">
            <w:pPr>
              <w:jc w:val="right"/>
              <w:rPr>
                <w:rFonts w:ascii="Arial" w:hAnsi="Arial" w:cs="Arial"/>
                <w:color w:val="000000"/>
                <w:lang w:eastAsia="en-GB"/>
              </w:rPr>
            </w:pPr>
            <w:r>
              <w:rPr>
                <w:rFonts w:ascii="Arial" w:hAnsi="Arial" w:cs="Arial"/>
              </w:rPr>
              <w:t>(</w:t>
            </w:r>
            <w:r w:rsidRPr="00F7788F">
              <w:rPr>
                <w:rFonts w:ascii="Arial" w:hAnsi="Arial" w:cs="Arial"/>
              </w:rPr>
              <w:t>453</w:t>
            </w:r>
            <w:r>
              <w:rPr>
                <w:rFonts w:ascii="Arial" w:hAnsi="Arial" w:cs="Arial"/>
              </w:rPr>
              <w:t>)</w:t>
            </w:r>
          </w:p>
        </w:tc>
      </w:tr>
      <w:tr w:rsidR="00D15D90" w:rsidRPr="00F7788F" w14:paraId="34C5EDA8"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2BAE2E2F"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Indirect Employees</w:t>
            </w:r>
          </w:p>
        </w:tc>
        <w:tc>
          <w:tcPr>
            <w:tcW w:w="1337" w:type="dxa"/>
            <w:tcBorders>
              <w:top w:val="nil"/>
              <w:left w:val="single" w:sz="8" w:space="0" w:color="auto"/>
              <w:bottom w:val="nil"/>
              <w:right w:val="single" w:sz="8" w:space="0" w:color="auto"/>
            </w:tcBorders>
            <w:shd w:val="clear" w:color="auto" w:fill="auto"/>
            <w:noWrap/>
            <w:hideMark/>
          </w:tcPr>
          <w:p w14:paraId="542E8782" w14:textId="77777777" w:rsidR="00D15D90" w:rsidRPr="00F7788F" w:rsidRDefault="00D15D90" w:rsidP="00012E0D">
            <w:pPr>
              <w:jc w:val="right"/>
              <w:rPr>
                <w:rFonts w:ascii="Arial" w:hAnsi="Arial" w:cs="Arial"/>
                <w:color w:val="000000"/>
                <w:lang w:eastAsia="en-GB"/>
              </w:rPr>
            </w:pPr>
            <w:r w:rsidRPr="00F7788F">
              <w:rPr>
                <w:rFonts w:ascii="Arial" w:hAnsi="Arial" w:cs="Arial"/>
              </w:rPr>
              <w:t>1,887</w:t>
            </w:r>
          </w:p>
        </w:tc>
        <w:tc>
          <w:tcPr>
            <w:tcW w:w="1510" w:type="dxa"/>
            <w:tcBorders>
              <w:top w:val="nil"/>
              <w:left w:val="single" w:sz="8" w:space="0" w:color="auto"/>
              <w:bottom w:val="nil"/>
              <w:right w:val="single" w:sz="8" w:space="0" w:color="auto"/>
            </w:tcBorders>
            <w:shd w:val="clear" w:color="auto" w:fill="auto"/>
            <w:noWrap/>
            <w:hideMark/>
          </w:tcPr>
          <w:p w14:paraId="1811562E" w14:textId="77777777" w:rsidR="00D15D90" w:rsidRPr="00F7788F" w:rsidRDefault="00D15D90" w:rsidP="00012E0D">
            <w:pPr>
              <w:jc w:val="right"/>
              <w:rPr>
                <w:rFonts w:ascii="Arial" w:hAnsi="Arial" w:cs="Arial"/>
                <w:color w:val="000000"/>
                <w:lang w:eastAsia="en-GB"/>
              </w:rPr>
            </w:pPr>
            <w:r w:rsidRPr="00F7788F">
              <w:rPr>
                <w:rFonts w:ascii="Arial" w:hAnsi="Arial" w:cs="Arial"/>
              </w:rPr>
              <w:t>2,036</w:t>
            </w:r>
          </w:p>
        </w:tc>
        <w:tc>
          <w:tcPr>
            <w:tcW w:w="1510" w:type="dxa"/>
            <w:tcBorders>
              <w:top w:val="nil"/>
              <w:left w:val="single" w:sz="8" w:space="0" w:color="auto"/>
              <w:bottom w:val="nil"/>
              <w:right w:val="single" w:sz="8" w:space="0" w:color="auto"/>
            </w:tcBorders>
            <w:shd w:val="clear" w:color="auto" w:fill="auto"/>
            <w:noWrap/>
            <w:hideMark/>
          </w:tcPr>
          <w:p w14:paraId="6C23CEEB" w14:textId="77777777" w:rsidR="00D15D90" w:rsidRPr="00F7788F" w:rsidRDefault="00D15D90" w:rsidP="00012E0D">
            <w:pPr>
              <w:jc w:val="right"/>
              <w:rPr>
                <w:rFonts w:ascii="Arial" w:hAnsi="Arial" w:cs="Arial"/>
                <w:color w:val="000000"/>
                <w:lang w:eastAsia="en-GB"/>
              </w:rPr>
            </w:pPr>
            <w:r w:rsidRPr="00F7788F">
              <w:rPr>
                <w:rFonts w:ascii="Arial" w:hAnsi="Arial" w:cs="Arial"/>
              </w:rPr>
              <w:t>149</w:t>
            </w:r>
          </w:p>
        </w:tc>
      </w:tr>
      <w:tr w:rsidR="00D15D90" w:rsidRPr="00F7788F" w14:paraId="4410DB31"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283B093E"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Premises</w:t>
            </w:r>
          </w:p>
        </w:tc>
        <w:tc>
          <w:tcPr>
            <w:tcW w:w="1337" w:type="dxa"/>
            <w:tcBorders>
              <w:top w:val="nil"/>
              <w:left w:val="single" w:sz="8" w:space="0" w:color="auto"/>
              <w:bottom w:val="nil"/>
              <w:right w:val="single" w:sz="8" w:space="0" w:color="auto"/>
            </w:tcBorders>
            <w:shd w:val="clear" w:color="auto" w:fill="auto"/>
            <w:noWrap/>
            <w:hideMark/>
          </w:tcPr>
          <w:p w14:paraId="7BDE66BD"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6,645</w:t>
            </w:r>
          </w:p>
        </w:tc>
        <w:tc>
          <w:tcPr>
            <w:tcW w:w="1510" w:type="dxa"/>
            <w:tcBorders>
              <w:top w:val="nil"/>
              <w:left w:val="single" w:sz="8" w:space="0" w:color="auto"/>
              <w:bottom w:val="nil"/>
              <w:right w:val="single" w:sz="8" w:space="0" w:color="auto"/>
            </w:tcBorders>
            <w:shd w:val="clear" w:color="auto" w:fill="auto"/>
            <w:noWrap/>
            <w:hideMark/>
          </w:tcPr>
          <w:p w14:paraId="1E184AFC"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7,431</w:t>
            </w:r>
          </w:p>
        </w:tc>
        <w:tc>
          <w:tcPr>
            <w:tcW w:w="1510" w:type="dxa"/>
            <w:tcBorders>
              <w:top w:val="nil"/>
              <w:left w:val="single" w:sz="8" w:space="0" w:color="auto"/>
              <w:bottom w:val="nil"/>
              <w:right w:val="single" w:sz="8" w:space="0" w:color="auto"/>
            </w:tcBorders>
            <w:shd w:val="clear" w:color="auto" w:fill="auto"/>
            <w:noWrap/>
            <w:hideMark/>
          </w:tcPr>
          <w:p w14:paraId="250175CC"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786</w:t>
            </w:r>
          </w:p>
        </w:tc>
      </w:tr>
      <w:tr w:rsidR="00D15D90" w:rsidRPr="00F7788F" w14:paraId="0887D526"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55B5B699"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Transport</w:t>
            </w:r>
          </w:p>
        </w:tc>
        <w:tc>
          <w:tcPr>
            <w:tcW w:w="1337" w:type="dxa"/>
            <w:tcBorders>
              <w:top w:val="nil"/>
              <w:left w:val="single" w:sz="8" w:space="0" w:color="auto"/>
              <w:bottom w:val="nil"/>
              <w:right w:val="single" w:sz="8" w:space="0" w:color="auto"/>
            </w:tcBorders>
            <w:shd w:val="clear" w:color="auto" w:fill="auto"/>
            <w:noWrap/>
            <w:hideMark/>
          </w:tcPr>
          <w:p w14:paraId="372AF695"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2,470</w:t>
            </w:r>
          </w:p>
        </w:tc>
        <w:tc>
          <w:tcPr>
            <w:tcW w:w="1510" w:type="dxa"/>
            <w:tcBorders>
              <w:top w:val="nil"/>
              <w:left w:val="single" w:sz="8" w:space="0" w:color="auto"/>
              <w:bottom w:val="nil"/>
              <w:right w:val="single" w:sz="8" w:space="0" w:color="auto"/>
            </w:tcBorders>
            <w:shd w:val="clear" w:color="auto" w:fill="auto"/>
            <w:noWrap/>
            <w:hideMark/>
          </w:tcPr>
          <w:p w14:paraId="0642744B"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2,577</w:t>
            </w:r>
          </w:p>
        </w:tc>
        <w:tc>
          <w:tcPr>
            <w:tcW w:w="1510" w:type="dxa"/>
            <w:tcBorders>
              <w:top w:val="nil"/>
              <w:left w:val="single" w:sz="8" w:space="0" w:color="auto"/>
              <w:bottom w:val="nil"/>
              <w:right w:val="single" w:sz="8" w:space="0" w:color="auto"/>
            </w:tcBorders>
            <w:shd w:val="clear" w:color="auto" w:fill="auto"/>
            <w:noWrap/>
            <w:hideMark/>
          </w:tcPr>
          <w:p w14:paraId="3E7423A2"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106</w:t>
            </w:r>
          </w:p>
        </w:tc>
      </w:tr>
      <w:tr w:rsidR="00D15D90" w:rsidRPr="00F7788F" w14:paraId="733DBD0C"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5E08B75E"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Supplies &amp; Services</w:t>
            </w:r>
          </w:p>
        </w:tc>
        <w:tc>
          <w:tcPr>
            <w:tcW w:w="1337" w:type="dxa"/>
            <w:tcBorders>
              <w:top w:val="nil"/>
              <w:left w:val="single" w:sz="8" w:space="0" w:color="auto"/>
              <w:bottom w:val="nil"/>
              <w:right w:val="single" w:sz="8" w:space="0" w:color="auto"/>
            </w:tcBorders>
            <w:shd w:val="clear" w:color="auto" w:fill="auto"/>
            <w:noWrap/>
            <w:hideMark/>
          </w:tcPr>
          <w:p w14:paraId="0F6F8391"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10,594</w:t>
            </w:r>
          </w:p>
        </w:tc>
        <w:tc>
          <w:tcPr>
            <w:tcW w:w="1510" w:type="dxa"/>
            <w:tcBorders>
              <w:top w:val="nil"/>
              <w:left w:val="single" w:sz="8" w:space="0" w:color="auto"/>
              <w:bottom w:val="nil"/>
              <w:right w:val="single" w:sz="8" w:space="0" w:color="auto"/>
            </w:tcBorders>
            <w:shd w:val="clear" w:color="auto" w:fill="auto"/>
            <w:noWrap/>
            <w:hideMark/>
          </w:tcPr>
          <w:p w14:paraId="4417132A"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10,398</w:t>
            </w:r>
          </w:p>
        </w:tc>
        <w:tc>
          <w:tcPr>
            <w:tcW w:w="1510" w:type="dxa"/>
            <w:tcBorders>
              <w:top w:val="nil"/>
              <w:left w:val="single" w:sz="8" w:space="0" w:color="auto"/>
              <w:bottom w:val="nil"/>
              <w:right w:val="single" w:sz="8" w:space="0" w:color="auto"/>
            </w:tcBorders>
            <w:shd w:val="clear" w:color="auto" w:fill="auto"/>
            <w:noWrap/>
            <w:hideMark/>
          </w:tcPr>
          <w:p w14:paraId="444702A8"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196</w:t>
            </w:r>
            <w:r>
              <w:rPr>
                <w:rFonts w:ascii="Arial" w:hAnsi="Arial" w:cs="Arial"/>
              </w:rPr>
              <w:t>)</w:t>
            </w:r>
          </w:p>
        </w:tc>
      </w:tr>
      <w:tr w:rsidR="00D15D90" w:rsidRPr="00F7788F" w14:paraId="34AA436E"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228A6348"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Support Services</w:t>
            </w:r>
          </w:p>
        </w:tc>
        <w:tc>
          <w:tcPr>
            <w:tcW w:w="1337" w:type="dxa"/>
            <w:tcBorders>
              <w:top w:val="nil"/>
              <w:left w:val="single" w:sz="8" w:space="0" w:color="auto"/>
              <w:bottom w:val="nil"/>
              <w:right w:val="single" w:sz="8" w:space="0" w:color="auto"/>
            </w:tcBorders>
            <w:shd w:val="clear" w:color="auto" w:fill="auto"/>
            <w:noWrap/>
            <w:hideMark/>
          </w:tcPr>
          <w:p w14:paraId="320F869E"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8,272</w:t>
            </w:r>
          </w:p>
        </w:tc>
        <w:tc>
          <w:tcPr>
            <w:tcW w:w="1510" w:type="dxa"/>
            <w:tcBorders>
              <w:top w:val="nil"/>
              <w:left w:val="single" w:sz="8" w:space="0" w:color="auto"/>
              <w:bottom w:val="nil"/>
              <w:right w:val="single" w:sz="8" w:space="0" w:color="auto"/>
            </w:tcBorders>
            <w:shd w:val="clear" w:color="auto" w:fill="auto"/>
            <w:noWrap/>
            <w:hideMark/>
          </w:tcPr>
          <w:p w14:paraId="18AC1D7D"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7,465</w:t>
            </w:r>
          </w:p>
        </w:tc>
        <w:tc>
          <w:tcPr>
            <w:tcW w:w="1510" w:type="dxa"/>
            <w:tcBorders>
              <w:top w:val="nil"/>
              <w:left w:val="single" w:sz="8" w:space="0" w:color="auto"/>
              <w:bottom w:val="nil"/>
              <w:right w:val="single" w:sz="8" w:space="0" w:color="auto"/>
            </w:tcBorders>
            <w:shd w:val="clear" w:color="auto" w:fill="auto"/>
            <w:noWrap/>
            <w:hideMark/>
          </w:tcPr>
          <w:p w14:paraId="1DF3FFD5"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807</w:t>
            </w:r>
            <w:r>
              <w:rPr>
                <w:rFonts w:ascii="Arial" w:hAnsi="Arial" w:cs="Arial"/>
              </w:rPr>
              <w:t>)</w:t>
            </w:r>
          </w:p>
        </w:tc>
      </w:tr>
      <w:tr w:rsidR="00D15D90" w:rsidRPr="00F7788F" w14:paraId="7907B614"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02E99D85"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Government Grants</w:t>
            </w:r>
          </w:p>
        </w:tc>
        <w:tc>
          <w:tcPr>
            <w:tcW w:w="1337" w:type="dxa"/>
            <w:tcBorders>
              <w:top w:val="nil"/>
              <w:left w:val="single" w:sz="8" w:space="0" w:color="auto"/>
              <w:bottom w:val="nil"/>
              <w:right w:val="single" w:sz="8" w:space="0" w:color="auto"/>
            </w:tcBorders>
            <w:shd w:val="clear" w:color="auto" w:fill="auto"/>
            <w:noWrap/>
            <w:hideMark/>
          </w:tcPr>
          <w:p w14:paraId="574CA087"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1,168</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31B73124"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1,309</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5BE4F13E"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141</w:t>
            </w:r>
            <w:r>
              <w:rPr>
                <w:rFonts w:ascii="Arial" w:hAnsi="Arial" w:cs="Arial"/>
              </w:rPr>
              <w:t>)</w:t>
            </w:r>
          </w:p>
        </w:tc>
      </w:tr>
      <w:tr w:rsidR="00D15D90" w:rsidRPr="00F7788F" w14:paraId="0E683B6A"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37E1264F"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T</w:t>
            </w:r>
            <w:r>
              <w:rPr>
                <w:rFonts w:ascii="Arial" w:hAnsi="Arial" w:cs="Arial"/>
                <w:color w:val="000000"/>
                <w:lang w:eastAsia="en-GB"/>
              </w:rPr>
              <w:t>ransfe</w:t>
            </w:r>
            <w:r w:rsidRPr="00F7788F">
              <w:rPr>
                <w:rFonts w:ascii="Arial" w:hAnsi="Arial" w:cs="Arial"/>
                <w:color w:val="000000"/>
                <w:lang w:eastAsia="en-GB"/>
              </w:rPr>
              <w:t>r to/from Provision</w:t>
            </w:r>
          </w:p>
        </w:tc>
        <w:tc>
          <w:tcPr>
            <w:tcW w:w="1337" w:type="dxa"/>
            <w:tcBorders>
              <w:top w:val="nil"/>
              <w:left w:val="single" w:sz="8" w:space="0" w:color="auto"/>
              <w:bottom w:val="nil"/>
              <w:right w:val="single" w:sz="8" w:space="0" w:color="auto"/>
            </w:tcBorders>
            <w:shd w:val="clear" w:color="auto" w:fill="auto"/>
            <w:noWrap/>
            <w:hideMark/>
          </w:tcPr>
          <w:p w14:paraId="53878714"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0</w:t>
            </w:r>
          </w:p>
        </w:tc>
        <w:tc>
          <w:tcPr>
            <w:tcW w:w="1510" w:type="dxa"/>
            <w:tcBorders>
              <w:top w:val="nil"/>
              <w:left w:val="single" w:sz="8" w:space="0" w:color="auto"/>
              <w:bottom w:val="nil"/>
              <w:right w:val="single" w:sz="8" w:space="0" w:color="auto"/>
            </w:tcBorders>
            <w:shd w:val="clear" w:color="auto" w:fill="auto"/>
            <w:noWrap/>
            <w:hideMark/>
          </w:tcPr>
          <w:p w14:paraId="1155F711"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0</w:t>
            </w:r>
          </w:p>
        </w:tc>
        <w:tc>
          <w:tcPr>
            <w:tcW w:w="1510" w:type="dxa"/>
            <w:tcBorders>
              <w:top w:val="nil"/>
              <w:left w:val="single" w:sz="8" w:space="0" w:color="auto"/>
              <w:bottom w:val="nil"/>
              <w:right w:val="single" w:sz="8" w:space="0" w:color="auto"/>
            </w:tcBorders>
            <w:shd w:val="clear" w:color="auto" w:fill="auto"/>
            <w:noWrap/>
            <w:hideMark/>
          </w:tcPr>
          <w:p w14:paraId="29F3F0C3"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0</w:t>
            </w:r>
          </w:p>
        </w:tc>
      </w:tr>
      <w:tr w:rsidR="00D15D90" w:rsidRPr="00F7788F" w14:paraId="5660FE1C"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4FBC0B6D"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Other Grants &amp; Contributions</w:t>
            </w:r>
          </w:p>
        </w:tc>
        <w:tc>
          <w:tcPr>
            <w:tcW w:w="1337" w:type="dxa"/>
            <w:tcBorders>
              <w:top w:val="nil"/>
              <w:left w:val="single" w:sz="8" w:space="0" w:color="auto"/>
              <w:bottom w:val="nil"/>
              <w:right w:val="single" w:sz="8" w:space="0" w:color="auto"/>
            </w:tcBorders>
            <w:shd w:val="clear" w:color="auto" w:fill="auto"/>
            <w:noWrap/>
            <w:hideMark/>
          </w:tcPr>
          <w:p w14:paraId="7C0F3E18"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365</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6FCE1554"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65</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50152609"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300</w:t>
            </w:r>
          </w:p>
        </w:tc>
      </w:tr>
      <w:tr w:rsidR="00D15D90" w:rsidRPr="00F7788F" w14:paraId="1F0817AC"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62016604"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Customer &amp; Client Receipts</w:t>
            </w:r>
          </w:p>
        </w:tc>
        <w:tc>
          <w:tcPr>
            <w:tcW w:w="1337" w:type="dxa"/>
            <w:tcBorders>
              <w:top w:val="nil"/>
              <w:left w:val="single" w:sz="8" w:space="0" w:color="auto"/>
              <w:bottom w:val="nil"/>
              <w:right w:val="single" w:sz="8" w:space="0" w:color="auto"/>
            </w:tcBorders>
            <w:shd w:val="clear" w:color="auto" w:fill="auto"/>
            <w:noWrap/>
            <w:hideMark/>
          </w:tcPr>
          <w:p w14:paraId="6AB38C3B"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1,730</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0517990A"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2,752</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7556D3CB"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1,022</w:t>
            </w:r>
            <w:r>
              <w:rPr>
                <w:rFonts w:ascii="Arial" w:hAnsi="Arial" w:cs="Arial"/>
              </w:rPr>
              <w:t>)</w:t>
            </w:r>
          </w:p>
        </w:tc>
      </w:tr>
      <w:tr w:rsidR="00D15D90" w:rsidRPr="00F7788F" w14:paraId="785619CF"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1480DDF4"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Capital Financing Costs</w:t>
            </w:r>
          </w:p>
        </w:tc>
        <w:tc>
          <w:tcPr>
            <w:tcW w:w="1337" w:type="dxa"/>
            <w:tcBorders>
              <w:top w:val="nil"/>
              <w:left w:val="single" w:sz="8" w:space="0" w:color="auto"/>
              <w:bottom w:val="nil"/>
              <w:right w:val="single" w:sz="8" w:space="0" w:color="auto"/>
            </w:tcBorders>
            <w:shd w:val="clear" w:color="auto" w:fill="auto"/>
            <w:noWrap/>
            <w:hideMark/>
          </w:tcPr>
          <w:p w14:paraId="2ECFA385"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2,082</w:t>
            </w:r>
          </w:p>
        </w:tc>
        <w:tc>
          <w:tcPr>
            <w:tcW w:w="1510" w:type="dxa"/>
            <w:tcBorders>
              <w:top w:val="nil"/>
              <w:left w:val="single" w:sz="8" w:space="0" w:color="auto"/>
              <w:bottom w:val="nil"/>
              <w:right w:val="single" w:sz="8" w:space="0" w:color="auto"/>
            </w:tcBorders>
            <w:shd w:val="clear" w:color="auto" w:fill="auto"/>
            <w:noWrap/>
            <w:hideMark/>
          </w:tcPr>
          <w:p w14:paraId="6EC102E6"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1,359</w:t>
            </w:r>
          </w:p>
        </w:tc>
        <w:tc>
          <w:tcPr>
            <w:tcW w:w="1510" w:type="dxa"/>
            <w:tcBorders>
              <w:top w:val="nil"/>
              <w:left w:val="single" w:sz="8" w:space="0" w:color="auto"/>
              <w:bottom w:val="nil"/>
              <w:right w:val="single" w:sz="8" w:space="0" w:color="auto"/>
            </w:tcBorders>
            <w:shd w:val="clear" w:color="auto" w:fill="auto"/>
            <w:noWrap/>
            <w:hideMark/>
          </w:tcPr>
          <w:p w14:paraId="7D992CBC"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723</w:t>
            </w:r>
            <w:r>
              <w:rPr>
                <w:rFonts w:ascii="Arial" w:hAnsi="Arial" w:cs="Arial"/>
              </w:rPr>
              <w:t>)</w:t>
            </w:r>
          </w:p>
        </w:tc>
      </w:tr>
      <w:tr w:rsidR="00D15D90" w:rsidRPr="00F7788F" w14:paraId="2D7F616A"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tcPr>
          <w:p w14:paraId="1A292199"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Revenue Contribution to Capital Outlay</w:t>
            </w:r>
          </w:p>
        </w:tc>
        <w:tc>
          <w:tcPr>
            <w:tcW w:w="1337" w:type="dxa"/>
            <w:tcBorders>
              <w:top w:val="nil"/>
              <w:left w:val="single" w:sz="8" w:space="0" w:color="auto"/>
              <w:bottom w:val="nil"/>
              <w:right w:val="single" w:sz="8" w:space="0" w:color="auto"/>
            </w:tcBorders>
            <w:shd w:val="clear" w:color="auto" w:fill="auto"/>
            <w:noWrap/>
          </w:tcPr>
          <w:p w14:paraId="36FAA6C0"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0</w:t>
            </w:r>
          </w:p>
        </w:tc>
        <w:tc>
          <w:tcPr>
            <w:tcW w:w="1510" w:type="dxa"/>
            <w:tcBorders>
              <w:top w:val="nil"/>
              <w:left w:val="single" w:sz="8" w:space="0" w:color="auto"/>
              <w:bottom w:val="nil"/>
              <w:right w:val="single" w:sz="8" w:space="0" w:color="auto"/>
            </w:tcBorders>
            <w:shd w:val="clear" w:color="auto" w:fill="auto"/>
            <w:noWrap/>
          </w:tcPr>
          <w:p w14:paraId="48DBE81E"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757</w:t>
            </w:r>
          </w:p>
        </w:tc>
        <w:tc>
          <w:tcPr>
            <w:tcW w:w="1510" w:type="dxa"/>
            <w:tcBorders>
              <w:top w:val="nil"/>
              <w:left w:val="single" w:sz="8" w:space="0" w:color="auto"/>
              <w:bottom w:val="nil"/>
              <w:right w:val="single" w:sz="8" w:space="0" w:color="auto"/>
            </w:tcBorders>
            <w:shd w:val="clear" w:color="auto" w:fill="auto"/>
            <w:noWrap/>
          </w:tcPr>
          <w:p w14:paraId="3764B4F8"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757</w:t>
            </w:r>
          </w:p>
        </w:tc>
      </w:tr>
      <w:tr w:rsidR="00D15D90" w:rsidRPr="00F7788F" w14:paraId="4553F469" w14:textId="77777777" w:rsidTr="00A63D82">
        <w:trPr>
          <w:cantSplit/>
          <w:trHeight w:val="310"/>
        </w:trPr>
        <w:tc>
          <w:tcPr>
            <w:tcW w:w="3754" w:type="dxa"/>
            <w:tcBorders>
              <w:top w:val="nil"/>
              <w:left w:val="single" w:sz="4" w:space="0" w:color="auto"/>
              <w:bottom w:val="single" w:sz="8" w:space="0" w:color="auto"/>
              <w:right w:val="single" w:sz="8" w:space="0" w:color="auto"/>
            </w:tcBorders>
            <w:shd w:val="clear" w:color="auto" w:fill="auto"/>
            <w:noWrap/>
            <w:vAlign w:val="center"/>
            <w:hideMark/>
          </w:tcPr>
          <w:p w14:paraId="0AC8F8C0"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T</w:t>
            </w:r>
            <w:r>
              <w:rPr>
                <w:rFonts w:ascii="Arial" w:hAnsi="Arial" w:cs="Arial"/>
                <w:color w:val="000000"/>
                <w:lang w:eastAsia="en-GB"/>
              </w:rPr>
              <w:t>rans</w:t>
            </w:r>
            <w:r w:rsidRPr="00F7788F">
              <w:rPr>
                <w:rFonts w:ascii="Arial" w:hAnsi="Arial" w:cs="Arial"/>
                <w:color w:val="000000"/>
                <w:lang w:eastAsia="en-GB"/>
              </w:rPr>
              <w:t>f</w:t>
            </w:r>
            <w:r>
              <w:rPr>
                <w:rFonts w:ascii="Arial" w:hAnsi="Arial" w:cs="Arial"/>
                <w:color w:val="000000"/>
                <w:lang w:eastAsia="en-GB"/>
              </w:rPr>
              <w:t>e</w:t>
            </w:r>
            <w:r w:rsidRPr="00F7788F">
              <w:rPr>
                <w:rFonts w:ascii="Arial" w:hAnsi="Arial" w:cs="Arial"/>
                <w:color w:val="000000"/>
                <w:lang w:eastAsia="en-GB"/>
              </w:rPr>
              <w:t>r to Earmarked Reserve</w:t>
            </w:r>
          </w:p>
        </w:tc>
        <w:tc>
          <w:tcPr>
            <w:tcW w:w="1337" w:type="dxa"/>
            <w:tcBorders>
              <w:top w:val="nil"/>
              <w:left w:val="single" w:sz="8" w:space="0" w:color="auto"/>
              <w:bottom w:val="single" w:sz="8" w:space="0" w:color="auto"/>
              <w:right w:val="single" w:sz="8" w:space="0" w:color="auto"/>
            </w:tcBorders>
            <w:shd w:val="clear" w:color="auto" w:fill="auto"/>
            <w:noWrap/>
            <w:hideMark/>
          </w:tcPr>
          <w:p w14:paraId="5AFB9E0A"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2,841</w:t>
            </w:r>
          </w:p>
        </w:tc>
        <w:tc>
          <w:tcPr>
            <w:tcW w:w="1510" w:type="dxa"/>
            <w:tcBorders>
              <w:top w:val="nil"/>
              <w:left w:val="single" w:sz="8" w:space="0" w:color="auto"/>
              <w:bottom w:val="single" w:sz="8" w:space="0" w:color="auto"/>
              <w:right w:val="single" w:sz="8" w:space="0" w:color="auto"/>
            </w:tcBorders>
            <w:shd w:val="clear" w:color="auto" w:fill="auto"/>
            <w:noWrap/>
            <w:hideMark/>
          </w:tcPr>
          <w:p w14:paraId="01EAB9A2"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4,786</w:t>
            </w:r>
          </w:p>
        </w:tc>
        <w:tc>
          <w:tcPr>
            <w:tcW w:w="1510" w:type="dxa"/>
            <w:tcBorders>
              <w:top w:val="nil"/>
              <w:left w:val="single" w:sz="8" w:space="0" w:color="auto"/>
              <w:bottom w:val="single" w:sz="8" w:space="0" w:color="auto"/>
              <w:right w:val="single" w:sz="8" w:space="0" w:color="auto"/>
            </w:tcBorders>
            <w:shd w:val="clear" w:color="auto" w:fill="auto"/>
            <w:noWrap/>
            <w:hideMark/>
          </w:tcPr>
          <w:p w14:paraId="24E020B8"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1,945</w:t>
            </w:r>
          </w:p>
        </w:tc>
      </w:tr>
      <w:tr w:rsidR="00D15D90" w:rsidRPr="00F7788F" w14:paraId="24E3CF9D" w14:textId="77777777" w:rsidTr="00A63D82">
        <w:trPr>
          <w:cantSplit/>
          <w:trHeight w:val="310"/>
        </w:trPr>
        <w:tc>
          <w:tcPr>
            <w:tcW w:w="37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D42827" w14:textId="77777777" w:rsidR="00D15D90" w:rsidRPr="00F7788F" w:rsidRDefault="00D15D90" w:rsidP="00012E0D">
            <w:pPr>
              <w:rPr>
                <w:rFonts w:ascii="Arial" w:hAnsi="Arial" w:cs="Arial"/>
                <w:b/>
                <w:bCs/>
                <w:color w:val="000000"/>
                <w:lang w:eastAsia="en-GB"/>
              </w:rPr>
            </w:pPr>
            <w:r w:rsidRPr="00F7788F">
              <w:rPr>
                <w:rFonts w:ascii="Arial" w:hAnsi="Arial" w:cs="Arial"/>
                <w:b/>
                <w:bCs/>
                <w:color w:val="000000"/>
                <w:lang w:eastAsia="en-GB"/>
              </w:rPr>
              <w:t>Total Expenditure</w:t>
            </w:r>
          </w:p>
        </w:tc>
        <w:tc>
          <w:tcPr>
            <w:tcW w:w="1337" w:type="dxa"/>
            <w:tcBorders>
              <w:top w:val="single" w:sz="8" w:space="0" w:color="auto"/>
              <w:left w:val="single" w:sz="8" w:space="0" w:color="auto"/>
              <w:bottom w:val="single" w:sz="8" w:space="0" w:color="auto"/>
              <w:right w:val="single" w:sz="8" w:space="0" w:color="auto"/>
            </w:tcBorders>
            <w:shd w:val="clear" w:color="auto" w:fill="auto"/>
            <w:noWrap/>
            <w:hideMark/>
          </w:tcPr>
          <w:p w14:paraId="26152900" w14:textId="77777777" w:rsidR="00D15D90" w:rsidRPr="00F7788F" w:rsidRDefault="00D15D90" w:rsidP="00012E0D">
            <w:pPr>
              <w:jc w:val="right"/>
              <w:rPr>
                <w:rFonts w:ascii="Arial" w:hAnsi="Arial" w:cs="Arial"/>
                <w:b/>
                <w:bCs/>
                <w:color w:val="000000"/>
                <w:highlight w:val="yellow"/>
                <w:lang w:eastAsia="en-GB"/>
              </w:rPr>
            </w:pPr>
            <w:r w:rsidRPr="00F7788F">
              <w:rPr>
                <w:rFonts w:ascii="Arial" w:hAnsi="Arial" w:cs="Arial"/>
                <w:b/>
                <w:bCs/>
              </w:rPr>
              <w:t>130,308</w:t>
            </w:r>
          </w:p>
        </w:tc>
        <w:tc>
          <w:tcPr>
            <w:tcW w:w="1510" w:type="dxa"/>
            <w:tcBorders>
              <w:top w:val="single" w:sz="8" w:space="0" w:color="auto"/>
              <w:left w:val="single" w:sz="8" w:space="0" w:color="auto"/>
              <w:bottom w:val="single" w:sz="8" w:space="0" w:color="auto"/>
              <w:right w:val="single" w:sz="8" w:space="0" w:color="auto"/>
            </w:tcBorders>
            <w:shd w:val="clear" w:color="auto" w:fill="auto"/>
            <w:noWrap/>
            <w:hideMark/>
          </w:tcPr>
          <w:p w14:paraId="14D2ADC2" w14:textId="77777777" w:rsidR="00D15D90" w:rsidRPr="00F7788F" w:rsidRDefault="00D15D90" w:rsidP="00012E0D">
            <w:pPr>
              <w:jc w:val="right"/>
              <w:rPr>
                <w:rFonts w:ascii="Arial" w:hAnsi="Arial" w:cs="Arial"/>
                <w:b/>
                <w:bCs/>
                <w:color w:val="000000"/>
                <w:highlight w:val="yellow"/>
                <w:lang w:eastAsia="en-GB"/>
              </w:rPr>
            </w:pPr>
            <w:r w:rsidRPr="00F7788F">
              <w:rPr>
                <w:rFonts w:ascii="Arial" w:hAnsi="Arial" w:cs="Arial"/>
                <w:b/>
                <w:bCs/>
              </w:rPr>
              <w:t>131,011</w:t>
            </w:r>
          </w:p>
        </w:tc>
        <w:tc>
          <w:tcPr>
            <w:tcW w:w="1510" w:type="dxa"/>
            <w:tcBorders>
              <w:top w:val="single" w:sz="8" w:space="0" w:color="auto"/>
              <w:left w:val="single" w:sz="8" w:space="0" w:color="auto"/>
              <w:bottom w:val="single" w:sz="8" w:space="0" w:color="auto"/>
              <w:right w:val="single" w:sz="8" w:space="0" w:color="auto"/>
            </w:tcBorders>
            <w:shd w:val="clear" w:color="auto" w:fill="auto"/>
            <w:noWrap/>
            <w:hideMark/>
          </w:tcPr>
          <w:p w14:paraId="7160AD43" w14:textId="77777777" w:rsidR="00D15D90" w:rsidRPr="00F7788F" w:rsidRDefault="00D15D90" w:rsidP="00012E0D">
            <w:pPr>
              <w:jc w:val="right"/>
              <w:rPr>
                <w:rFonts w:ascii="Arial" w:hAnsi="Arial" w:cs="Arial"/>
                <w:b/>
                <w:bCs/>
                <w:color w:val="000000"/>
                <w:highlight w:val="yellow"/>
                <w:lang w:eastAsia="en-GB"/>
              </w:rPr>
            </w:pPr>
            <w:r w:rsidRPr="00F7788F">
              <w:rPr>
                <w:rFonts w:ascii="Arial" w:hAnsi="Arial" w:cs="Arial"/>
                <w:b/>
                <w:bCs/>
              </w:rPr>
              <w:t>702</w:t>
            </w:r>
          </w:p>
        </w:tc>
      </w:tr>
      <w:tr w:rsidR="00D15D90" w:rsidRPr="00F7788F" w14:paraId="1F4BE2D1" w14:textId="77777777" w:rsidTr="00A63D82">
        <w:trPr>
          <w:cantSplit/>
          <w:trHeight w:val="310"/>
        </w:trPr>
        <w:tc>
          <w:tcPr>
            <w:tcW w:w="3754" w:type="dxa"/>
            <w:tcBorders>
              <w:top w:val="single" w:sz="8" w:space="0" w:color="auto"/>
              <w:left w:val="single" w:sz="4" w:space="0" w:color="auto"/>
              <w:bottom w:val="nil"/>
              <w:right w:val="single" w:sz="8" w:space="0" w:color="auto"/>
            </w:tcBorders>
            <w:shd w:val="clear" w:color="auto" w:fill="auto"/>
            <w:noWrap/>
            <w:vAlign w:val="center"/>
            <w:hideMark/>
          </w:tcPr>
          <w:p w14:paraId="52A07FA5" w14:textId="77777777" w:rsidR="00D15D90" w:rsidRPr="00F7788F" w:rsidRDefault="00D15D90" w:rsidP="00012E0D">
            <w:pPr>
              <w:rPr>
                <w:rFonts w:ascii="Arial" w:hAnsi="Arial" w:cs="Arial"/>
                <w:b/>
                <w:bCs/>
                <w:color w:val="000000"/>
                <w:lang w:eastAsia="en-GB"/>
              </w:rPr>
            </w:pPr>
            <w:r w:rsidRPr="00F7788F">
              <w:rPr>
                <w:rFonts w:ascii="Arial" w:hAnsi="Arial" w:cs="Arial"/>
                <w:b/>
                <w:bCs/>
                <w:color w:val="000000"/>
                <w:lang w:eastAsia="en-GB"/>
              </w:rPr>
              <w:t>Funded by:</w:t>
            </w:r>
          </w:p>
        </w:tc>
        <w:tc>
          <w:tcPr>
            <w:tcW w:w="1337" w:type="dxa"/>
            <w:tcBorders>
              <w:top w:val="single" w:sz="8" w:space="0" w:color="auto"/>
              <w:left w:val="single" w:sz="8" w:space="0" w:color="auto"/>
              <w:bottom w:val="nil"/>
              <w:right w:val="single" w:sz="8" w:space="0" w:color="auto"/>
            </w:tcBorders>
            <w:shd w:val="clear" w:color="auto" w:fill="auto"/>
            <w:noWrap/>
            <w:vAlign w:val="center"/>
            <w:hideMark/>
          </w:tcPr>
          <w:p w14:paraId="724DACF6" w14:textId="77777777" w:rsidR="00D15D90" w:rsidRPr="00F7788F" w:rsidRDefault="00D15D90" w:rsidP="00012E0D">
            <w:pPr>
              <w:jc w:val="right"/>
              <w:rPr>
                <w:rFonts w:ascii="Arial" w:hAnsi="Arial" w:cs="Arial"/>
                <w:color w:val="000000"/>
                <w:lang w:eastAsia="en-GB"/>
              </w:rPr>
            </w:pPr>
            <w:r w:rsidRPr="00F7788F">
              <w:rPr>
                <w:rFonts w:ascii="Arial" w:hAnsi="Arial" w:cs="Arial"/>
                <w:color w:val="000000"/>
                <w:lang w:eastAsia="en-GB"/>
              </w:rPr>
              <w:t> </w:t>
            </w:r>
          </w:p>
        </w:tc>
        <w:tc>
          <w:tcPr>
            <w:tcW w:w="1510" w:type="dxa"/>
            <w:tcBorders>
              <w:top w:val="single" w:sz="8" w:space="0" w:color="auto"/>
              <w:left w:val="single" w:sz="8" w:space="0" w:color="auto"/>
              <w:bottom w:val="nil"/>
              <w:right w:val="single" w:sz="8" w:space="0" w:color="auto"/>
            </w:tcBorders>
            <w:shd w:val="clear" w:color="auto" w:fill="auto"/>
            <w:noWrap/>
            <w:vAlign w:val="center"/>
            <w:hideMark/>
          </w:tcPr>
          <w:p w14:paraId="28F15946" w14:textId="77777777" w:rsidR="00D15D90" w:rsidRPr="00F7788F" w:rsidRDefault="00D15D90" w:rsidP="00012E0D">
            <w:pPr>
              <w:jc w:val="right"/>
              <w:rPr>
                <w:rFonts w:ascii="Arial" w:hAnsi="Arial" w:cs="Arial"/>
                <w:color w:val="000000"/>
                <w:lang w:eastAsia="en-GB"/>
              </w:rPr>
            </w:pPr>
            <w:r w:rsidRPr="00F7788F">
              <w:rPr>
                <w:rFonts w:ascii="Arial" w:hAnsi="Arial" w:cs="Arial"/>
                <w:color w:val="000000"/>
                <w:lang w:eastAsia="en-GB"/>
              </w:rPr>
              <w:t> </w:t>
            </w:r>
          </w:p>
        </w:tc>
        <w:tc>
          <w:tcPr>
            <w:tcW w:w="1510" w:type="dxa"/>
            <w:tcBorders>
              <w:top w:val="single" w:sz="8" w:space="0" w:color="auto"/>
              <w:left w:val="single" w:sz="8" w:space="0" w:color="auto"/>
              <w:bottom w:val="nil"/>
              <w:right w:val="single" w:sz="8" w:space="0" w:color="auto"/>
            </w:tcBorders>
            <w:shd w:val="clear" w:color="auto" w:fill="auto"/>
            <w:noWrap/>
            <w:vAlign w:val="center"/>
            <w:hideMark/>
          </w:tcPr>
          <w:p w14:paraId="4DFA884D" w14:textId="77777777" w:rsidR="00D15D90" w:rsidRPr="00F7788F" w:rsidRDefault="00D15D90" w:rsidP="00012E0D">
            <w:pPr>
              <w:jc w:val="right"/>
              <w:rPr>
                <w:rFonts w:ascii="Arial" w:hAnsi="Arial" w:cs="Arial"/>
                <w:color w:val="000000"/>
                <w:lang w:eastAsia="en-GB"/>
              </w:rPr>
            </w:pPr>
            <w:r w:rsidRPr="00F7788F">
              <w:rPr>
                <w:rFonts w:ascii="Arial" w:hAnsi="Arial" w:cs="Arial"/>
                <w:color w:val="000000"/>
                <w:lang w:eastAsia="en-GB"/>
              </w:rPr>
              <w:t> </w:t>
            </w:r>
          </w:p>
        </w:tc>
      </w:tr>
      <w:tr w:rsidR="00D15D90" w:rsidRPr="00F7788F" w14:paraId="2A36A0D9"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3D493488"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Localised Business Rates</w:t>
            </w:r>
          </w:p>
        </w:tc>
        <w:tc>
          <w:tcPr>
            <w:tcW w:w="1337" w:type="dxa"/>
            <w:tcBorders>
              <w:top w:val="nil"/>
              <w:left w:val="single" w:sz="8" w:space="0" w:color="auto"/>
              <w:bottom w:val="nil"/>
              <w:right w:val="single" w:sz="8" w:space="0" w:color="auto"/>
            </w:tcBorders>
            <w:shd w:val="clear" w:color="auto" w:fill="auto"/>
            <w:noWrap/>
            <w:hideMark/>
          </w:tcPr>
          <w:p w14:paraId="3C711F9F" w14:textId="77777777" w:rsidR="00D15D90" w:rsidRPr="00F7788F" w:rsidRDefault="00D15D90" w:rsidP="00012E0D">
            <w:pPr>
              <w:jc w:val="right"/>
              <w:rPr>
                <w:rFonts w:ascii="Arial" w:hAnsi="Arial" w:cs="Arial"/>
                <w:color w:val="000000"/>
                <w:lang w:eastAsia="en-GB"/>
              </w:rPr>
            </w:pPr>
            <w:r>
              <w:rPr>
                <w:rFonts w:ascii="Arial" w:hAnsi="Arial" w:cs="Arial"/>
              </w:rPr>
              <w:t>(</w:t>
            </w:r>
            <w:r w:rsidRPr="00F7788F">
              <w:rPr>
                <w:rFonts w:ascii="Arial" w:hAnsi="Arial" w:cs="Arial"/>
              </w:rPr>
              <w:t>10,743</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5AD6E4E9" w14:textId="77777777" w:rsidR="00D15D90" w:rsidRPr="00F7788F" w:rsidRDefault="00D15D90" w:rsidP="00012E0D">
            <w:pPr>
              <w:jc w:val="right"/>
              <w:rPr>
                <w:rFonts w:ascii="Arial" w:hAnsi="Arial" w:cs="Arial"/>
                <w:color w:val="000000"/>
                <w:lang w:eastAsia="en-GB"/>
              </w:rPr>
            </w:pPr>
            <w:r>
              <w:rPr>
                <w:rFonts w:ascii="Arial" w:hAnsi="Arial" w:cs="Arial"/>
              </w:rPr>
              <w:t>(</w:t>
            </w:r>
            <w:r w:rsidRPr="00F7788F">
              <w:rPr>
                <w:rFonts w:ascii="Arial" w:hAnsi="Arial" w:cs="Arial"/>
              </w:rPr>
              <w:t>10,717</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0118A9CC" w14:textId="77777777" w:rsidR="00D15D90" w:rsidRPr="00F7788F" w:rsidRDefault="00D15D90" w:rsidP="00012E0D">
            <w:pPr>
              <w:jc w:val="right"/>
              <w:rPr>
                <w:rFonts w:ascii="Arial" w:hAnsi="Arial" w:cs="Arial"/>
                <w:color w:val="000000"/>
                <w:lang w:eastAsia="en-GB"/>
              </w:rPr>
            </w:pPr>
            <w:r w:rsidRPr="00F7788F">
              <w:rPr>
                <w:rFonts w:ascii="Arial" w:hAnsi="Arial" w:cs="Arial"/>
              </w:rPr>
              <w:t>26</w:t>
            </w:r>
          </w:p>
        </w:tc>
      </w:tr>
      <w:tr w:rsidR="00D15D90" w:rsidRPr="00F7788F" w14:paraId="15862733"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0CC55EFB"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Baseline Funding</w:t>
            </w:r>
          </w:p>
        </w:tc>
        <w:tc>
          <w:tcPr>
            <w:tcW w:w="1337" w:type="dxa"/>
            <w:tcBorders>
              <w:top w:val="nil"/>
              <w:left w:val="single" w:sz="8" w:space="0" w:color="auto"/>
              <w:bottom w:val="nil"/>
              <w:right w:val="single" w:sz="8" w:space="0" w:color="auto"/>
            </w:tcBorders>
            <w:shd w:val="clear" w:color="auto" w:fill="auto"/>
            <w:noWrap/>
            <w:hideMark/>
          </w:tcPr>
          <w:p w14:paraId="0AD9805E"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43,275</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551E4251"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43,544</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04E30D69"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269</w:t>
            </w:r>
            <w:r>
              <w:rPr>
                <w:rFonts w:ascii="Arial" w:hAnsi="Arial" w:cs="Arial"/>
              </w:rPr>
              <w:t>)</w:t>
            </w:r>
          </w:p>
        </w:tc>
      </w:tr>
      <w:tr w:rsidR="00D15D90" w:rsidRPr="00F7788F" w14:paraId="6BDF73FB"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569A8FE4"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Section 31 - Business Rates</w:t>
            </w:r>
          </w:p>
        </w:tc>
        <w:tc>
          <w:tcPr>
            <w:tcW w:w="1337" w:type="dxa"/>
            <w:tcBorders>
              <w:top w:val="nil"/>
              <w:left w:val="single" w:sz="8" w:space="0" w:color="auto"/>
              <w:bottom w:val="nil"/>
              <w:right w:val="single" w:sz="8" w:space="0" w:color="auto"/>
            </w:tcBorders>
            <w:shd w:val="clear" w:color="auto" w:fill="auto"/>
            <w:noWrap/>
            <w:hideMark/>
          </w:tcPr>
          <w:p w14:paraId="028EF8CC"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1,296</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41EB4ADA"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1,296</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7AA3757F"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0</w:t>
            </w:r>
          </w:p>
        </w:tc>
      </w:tr>
      <w:tr w:rsidR="00D15D90" w:rsidRPr="00F7788F" w14:paraId="394ACAEA"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76716548"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Section 31 - Pension Related</w:t>
            </w:r>
          </w:p>
        </w:tc>
        <w:tc>
          <w:tcPr>
            <w:tcW w:w="1337" w:type="dxa"/>
            <w:tcBorders>
              <w:top w:val="nil"/>
              <w:left w:val="single" w:sz="8" w:space="0" w:color="auto"/>
              <w:bottom w:val="nil"/>
              <w:right w:val="single" w:sz="8" w:space="0" w:color="auto"/>
            </w:tcBorders>
            <w:shd w:val="clear" w:color="auto" w:fill="auto"/>
            <w:noWrap/>
            <w:hideMark/>
          </w:tcPr>
          <w:p w14:paraId="77477A28"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7,707</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0C264C3E"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7,327</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344795CE"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381</w:t>
            </w:r>
          </w:p>
        </w:tc>
      </w:tr>
      <w:tr w:rsidR="00D15D90" w:rsidRPr="00F7788F" w14:paraId="09671510"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05574D00"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Precept Income</w:t>
            </w:r>
          </w:p>
        </w:tc>
        <w:tc>
          <w:tcPr>
            <w:tcW w:w="1337" w:type="dxa"/>
            <w:tcBorders>
              <w:top w:val="nil"/>
              <w:left w:val="single" w:sz="8" w:space="0" w:color="auto"/>
              <w:bottom w:val="nil"/>
              <w:right w:val="single" w:sz="8" w:space="0" w:color="auto"/>
            </w:tcBorders>
            <w:shd w:val="clear" w:color="auto" w:fill="auto"/>
            <w:noWrap/>
            <w:hideMark/>
          </w:tcPr>
          <w:p w14:paraId="0131B240"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5,605</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6A8FEC08"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5,605</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2E5EE43F"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0</w:t>
            </w:r>
          </w:p>
        </w:tc>
      </w:tr>
      <w:tr w:rsidR="00D15D90" w:rsidRPr="00F7788F" w14:paraId="6D48486B"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529FC7ED"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Collection Fund Deficit</w:t>
            </w:r>
          </w:p>
        </w:tc>
        <w:tc>
          <w:tcPr>
            <w:tcW w:w="1337" w:type="dxa"/>
            <w:tcBorders>
              <w:top w:val="nil"/>
              <w:left w:val="single" w:sz="8" w:space="0" w:color="auto"/>
              <w:bottom w:val="nil"/>
              <w:right w:val="single" w:sz="8" w:space="0" w:color="auto"/>
            </w:tcBorders>
            <w:shd w:val="clear" w:color="auto" w:fill="auto"/>
            <w:noWrap/>
            <w:hideMark/>
          </w:tcPr>
          <w:p w14:paraId="56C5A304"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60,433</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770BBB13"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60,433</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1814B3F4"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0</w:t>
            </w:r>
          </w:p>
        </w:tc>
      </w:tr>
      <w:tr w:rsidR="00D15D90" w:rsidRPr="00F7788F" w14:paraId="250EBF8E" w14:textId="77777777" w:rsidTr="00A63D82">
        <w:trPr>
          <w:cantSplit/>
          <w:trHeight w:val="310"/>
        </w:trPr>
        <w:tc>
          <w:tcPr>
            <w:tcW w:w="3754" w:type="dxa"/>
            <w:tcBorders>
              <w:top w:val="nil"/>
              <w:left w:val="single" w:sz="4" w:space="0" w:color="auto"/>
              <w:bottom w:val="single" w:sz="8" w:space="0" w:color="auto"/>
              <w:right w:val="single" w:sz="8" w:space="0" w:color="auto"/>
            </w:tcBorders>
            <w:shd w:val="clear" w:color="auto" w:fill="auto"/>
            <w:noWrap/>
            <w:vAlign w:val="center"/>
            <w:hideMark/>
          </w:tcPr>
          <w:p w14:paraId="090F143B"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Tr</w:t>
            </w:r>
            <w:r>
              <w:rPr>
                <w:rFonts w:ascii="Arial" w:hAnsi="Arial" w:cs="Arial"/>
                <w:color w:val="000000"/>
                <w:lang w:eastAsia="en-GB"/>
              </w:rPr>
              <w:t>ans</w:t>
            </w:r>
            <w:r w:rsidRPr="00F7788F">
              <w:rPr>
                <w:rFonts w:ascii="Arial" w:hAnsi="Arial" w:cs="Arial"/>
                <w:color w:val="000000"/>
                <w:lang w:eastAsia="en-GB"/>
              </w:rPr>
              <w:t>f</w:t>
            </w:r>
            <w:r>
              <w:rPr>
                <w:rFonts w:ascii="Arial" w:hAnsi="Arial" w:cs="Arial"/>
                <w:color w:val="000000"/>
                <w:lang w:eastAsia="en-GB"/>
              </w:rPr>
              <w:t>er</w:t>
            </w:r>
            <w:r w:rsidRPr="00F7788F">
              <w:rPr>
                <w:rFonts w:ascii="Arial" w:hAnsi="Arial" w:cs="Arial"/>
                <w:color w:val="000000"/>
                <w:lang w:eastAsia="en-GB"/>
              </w:rPr>
              <w:t xml:space="preserve"> from Earmarked Reserve</w:t>
            </w:r>
          </w:p>
        </w:tc>
        <w:tc>
          <w:tcPr>
            <w:tcW w:w="1337" w:type="dxa"/>
            <w:tcBorders>
              <w:top w:val="nil"/>
              <w:left w:val="single" w:sz="8" w:space="0" w:color="auto"/>
              <w:bottom w:val="single" w:sz="8" w:space="0" w:color="auto"/>
              <w:right w:val="single" w:sz="8" w:space="0" w:color="auto"/>
            </w:tcBorders>
            <w:shd w:val="clear" w:color="auto" w:fill="auto"/>
            <w:noWrap/>
            <w:hideMark/>
          </w:tcPr>
          <w:p w14:paraId="2287C984"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479</w:t>
            </w:r>
            <w:r>
              <w:rPr>
                <w:rFonts w:ascii="Arial" w:hAnsi="Arial" w:cs="Arial"/>
              </w:rPr>
              <w:t>)</w:t>
            </w:r>
          </w:p>
        </w:tc>
        <w:tc>
          <w:tcPr>
            <w:tcW w:w="1510" w:type="dxa"/>
            <w:tcBorders>
              <w:top w:val="nil"/>
              <w:left w:val="single" w:sz="8" w:space="0" w:color="auto"/>
              <w:bottom w:val="single" w:sz="8" w:space="0" w:color="auto"/>
              <w:right w:val="single" w:sz="8" w:space="0" w:color="auto"/>
            </w:tcBorders>
            <w:shd w:val="clear" w:color="auto" w:fill="auto"/>
            <w:noWrap/>
            <w:hideMark/>
          </w:tcPr>
          <w:p w14:paraId="4E4A9BA1"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505</w:t>
            </w:r>
            <w:r>
              <w:rPr>
                <w:rFonts w:ascii="Arial" w:hAnsi="Arial" w:cs="Arial"/>
              </w:rPr>
              <w:t>)</w:t>
            </w:r>
          </w:p>
        </w:tc>
        <w:tc>
          <w:tcPr>
            <w:tcW w:w="1510" w:type="dxa"/>
            <w:tcBorders>
              <w:top w:val="nil"/>
              <w:left w:val="single" w:sz="8" w:space="0" w:color="auto"/>
              <w:bottom w:val="single" w:sz="8" w:space="0" w:color="auto"/>
              <w:right w:val="single" w:sz="8" w:space="0" w:color="auto"/>
            </w:tcBorders>
            <w:shd w:val="clear" w:color="auto" w:fill="auto"/>
            <w:noWrap/>
            <w:hideMark/>
          </w:tcPr>
          <w:p w14:paraId="1F413EB1"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26</w:t>
            </w:r>
            <w:r>
              <w:rPr>
                <w:rFonts w:ascii="Arial" w:hAnsi="Arial" w:cs="Arial"/>
              </w:rPr>
              <w:t>)</w:t>
            </w:r>
          </w:p>
        </w:tc>
      </w:tr>
      <w:tr w:rsidR="00D15D90" w:rsidRPr="00F7788F" w14:paraId="07EBBB77" w14:textId="77777777" w:rsidTr="00A63D82">
        <w:trPr>
          <w:cantSplit/>
          <w:trHeight w:val="310"/>
        </w:trPr>
        <w:tc>
          <w:tcPr>
            <w:tcW w:w="37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D7675A" w14:textId="77777777" w:rsidR="00D15D90" w:rsidRPr="00F7788F" w:rsidRDefault="00D15D90" w:rsidP="00012E0D">
            <w:pPr>
              <w:rPr>
                <w:rFonts w:ascii="Arial" w:hAnsi="Arial" w:cs="Arial"/>
                <w:b/>
                <w:bCs/>
                <w:color w:val="000000"/>
                <w:lang w:eastAsia="en-GB"/>
              </w:rPr>
            </w:pPr>
            <w:r w:rsidRPr="00F7788F">
              <w:rPr>
                <w:rFonts w:ascii="Arial" w:hAnsi="Arial" w:cs="Arial"/>
                <w:b/>
                <w:bCs/>
                <w:color w:val="000000"/>
                <w:lang w:eastAsia="en-GB"/>
              </w:rPr>
              <w:t>Total Funding</w:t>
            </w:r>
          </w:p>
        </w:tc>
        <w:tc>
          <w:tcPr>
            <w:tcW w:w="1337" w:type="dxa"/>
            <w:tcBorders>
              <w:top w:val="single" w:sz="8" w:space="0" w:color="auto"/>
              <w:left w:val="single" w:sz="8" w:space="0" w:color="auto"/>
              <w:bottom w:val="single" w:sz="8" w:space="0" w:color="auto"/>
              <w:right w:val="single" w:sz="8" w:space="0" w:color="auto"/>
            </w:tcBorders>
            <w:shd w:val="clear" w:color="auto" w:fill="auto"/>
            <w:noWrap/>
            <w:hideMark/>
          </w:tcPr>
          <w:p w14:paraId="7FA4CD72" w14:textId="77777777" w:rsidR="00D15D90" w:rsidRPr="00F7788F" w:rsidRDefault="00D15D90" w:rsidP="00012E0D">
            <w:pPr>
              <w:jc w:val="right"/>
              <w:rPr>
                <w:rFonts w:ascii="Arial" w:hAnsi="Arial" w:cs="Arial"/>
                <w:b/>
                <w:bCs/>
                <w:color w:val="000000"/>
                <w:highlight w:val="yellow"/>
                <w:lang w:eastAsia="en-GB"/>
              </w:rPr>
            </w:pPr>
            <w:r>
              <w:rPr>
                <w:rFonts w:ascii="Arial" w:hAnsi="Arial" w:cs="Arial"/>
                <w:b/>
                <w:bCs/>
              </w:rPr>
              <w:t>(</w:t>
            </w:r>
            <w:r w:rsidRPr="00F7788F">
              <w:rPr>
                <w:rFonts w:ascii="Arial" w:hAnsi="Arial" w:cs="Arial"/>
                <w:b/>
                <w:bCs/>
              </w:rPr>
              <w:t>130,308</w:t>
            </w:r>
            <w:r>
              <w:rPr>
                <w:rFonts w:ascii="Arial" w:hAnsi="Arial" w:cs="Arial"/>
                <w:b/>
                <w:bCs/>
              </w:rPr>
              <w:t>)</w:t>
            </w:r>
          </w:p>
        </w:tc>
        <w:tc>
          <w:tcPr>
            <w:tcW w:w="1510" w:type="dxa"/>
            <w:tcBorders>
              <w:top w:val="single" w:sz="8" w:space="0" w:color="auto"/>
              <w:left w:val="single" w:sz="8" w:space="0" w:color="auto"/>
              <w:bottom w:val="single" w:sz="8" w:space="0" w:color="auto"/>
              <w:right w:val="single" w:sz="8" w:space="0" w:color="auto"/>
            </w:tcBorders>
            <w:shd w:val="clear" w:color="auto" w:fill="auto"/>
            <w:noWrap/>
            <w:hideMark/>
          </w:tcPr>
          <w:p w14:paraId="706A81E0" w14:textId="77777777" w:rsidR="00D15D90" w:rsidRPr="00F7788F" w:rsidRDefault="00D15D90" w:rsidP="00012E0D">
            <w:pPr>
              <w:jc w:val="right"/>
              <w:rPr>
                <w:rFonts w:ascii="Arial" w:hAnsi="Arial" w:cs="Arial"/>
                <w:b/>
                <w:bCs/>
                <w:color w:val="000000"/>
                <w:highlight w:val="yellow"/>
                <w:lang w:eastAsia="en-GB"/>
              </w:rPr>
            </w:pPr>
            <w:r>
              <w:rPr>
                <w:rFonts w:ascii="Arial" w:hAnsi="Arial" w:cs="Arial"/>
                <w:b/>
                <w:bCs/>
              </w:rPr>
              <w:t>(</w:t>
            </w:r>
            <w:r w:rsidRPr="00F7788F">
              <w:rPr>
                <w:rFonts w:ascii="Arial" w:hAnsi="Arial" w:cs="Arial"/>
                <w:b/>
                <w:bCs/>
              </w:rPr>
              <w:t>131,011</w:t>
            </w:r>
            <w:r>
              <w:rPr>
                <w:rFonts w:ascii="Arial" w:hAnsi="Arial" w:cs="Arial"/>
                <w:b/>
                <w:bCs/>
              </w:rPr>
              <w:t>)</w:t>
            </w:r>
          </w:p>
        </w:tc>
        <w:tc>
          <w:tcPr>
            <w:tcW w:w="1510" w:type="dxa"/>
            <w:tcBorders>
              <w:top w:val="single" w:sz="8" w:space="0" w:color="auto"/>
              <w:left w:val="single" w:sz="8" w:space="0" w:color="auto"/>
              <w:bottom w:val="single" w:sz="8" w:space="0" w:color="auto"/>
              <w:right w:val="single" w:sz="8" w:space="0" w:color="auto"/>
            </w:tcBorders>
            <w:shd w:val="clear" w:color="auto" w:fill="auto"/>
            <w:noWrap/>
            <w:hideMark/>
          </w:tcPr>
          <w:p w14:paraId="41056B22" w14:textId="77777777" w:rsidR="00D15D90" w:rsidRPr="00F7788F" w:rsidRDefault="00D15D90" w:rsidP="00012E0D">
            <w:pPr>
              <w:jc w:val="right"/>
              <w:rPr>
                <w:rFonts w:ascii="Arial" w:hAnsi="Arial" w:cs="Arial"/>
                <w:b/>
                <w:bCs/>
                <w:color w:val="000000"/>
                <w:highlight w:val="yellow"/>
                <w:lang w:eastAsia="en-GB"/>
              </w:rPr>
            </w:pPr>
            <w:r>
              <w:rPr>
                <w:rFonts w:ascii="Arial" w:hAnsi="Arial" w:cs="Arial"/>
                <w:b/>
                <w:bCs/>
              </w:rPr>
              <w:t>(</w:t>
            </w:r>
            <w:r w:rsidRPr="00F7788F">
              <w:rPr>
                <w:rFonts w:ascii="Arial" w:hAnsi="Arial" w:cs="Arial"/>
                <w:b/>
                <w:bCs/>
              </w:rPr>
              <w:t>702</w:t>
            </w:r>
            <w:r>
              <w:rPr>
                <w:rFonts w:ascii="Arial" w:hAnsi="Arial" w:cs="Arial"/>
                <w:b/>
                <w:bCs/>
              </w:rPr>
              <w:t>)</w:t>
            </w:r>
          </w:p>
        </w:tc>
      </w:tr>
      <w:tr w:rsidR="00D15D90" w:rsidRPr="00F7788F" w14:paraId="6B093A63" w14:textId="77777777" w:rsidTr="00A63D82">
        <w:trPr>
          <w:cantSplit/>
          <w:trHeight w:val="310"/>
        </w:trPr>
        <w:tc>
          <w:tcPr>
            <w:tcW w:w="37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837BF9" w14:textId="77777777" w:rsidR="00D15D90" w:rsidRPr="00F7788F" w:rsidRDefault="00D15D90" w:rsidP="00012E0D">
            <w:pPr>
              <w:rPr>
                <w:rFonts w:ascii="Arial" w:hAnsi="Arial" w:cs="Arial"/>
                <w:b/>
                <w:bCs/>
                <w:color w:val="000000"/>
                <w:lang w:eastAsia="en-GB"/>
              </w:rPr>
            </w:pPr>
            <w:r w:rsidRPr="00F7788F">
              <w:rPr>
                <w:rFonts w:ascii="Arial" w:hAnsi="Arial" w:cs="Arial"/>
                <w:b/>
                <w:bCs/>
                <w:color w:val="000000"/>
                <w:lang w:eastAsia="en-GB"/>
              </w:rPr>
              <w:t>Net Expenditure</w:t>
            </w:r>
          </w:p>
        </w:tc>
        <w:tc>
          <w:tcPr>
            <w:tcW w:w="1337" w:type="dxa"/>
            <w:tcBorders>
              <w:top w:val="single" w:sz="8" w:space="0" w:color="auto"/>
              <w:left w:val="single" w:sz="8" w:space="0" w:color="auto"/>
              <w:bottom w:val="single" w:sz="8" w:space="0" w:color="auto"/>
              <w:right w:val="single" w:sz="8" w:space="0" w:color="auto"/>
            </w:tcBorders>
            <w:shd w:val="clear" w:color="auto" w:fill="auto"/>
            <w:noWrap/>
            <w:hideMark/>
          </w:tcPr>
          <w:p w14:paraId="4438050E" w14:textId="77777777" w:rsidR="00D15D90" w:rsidRPr="00F7788F" w:rsidRDefault="00D15D90" w:rsidP="00012E0D">
            <w:pPr>
              <w:jc w:val="right"/>
              <w:rPr>
                <w:rFonts w:ascii="Arial" w:hAnsi="Arial" w:cs="Arial"/>
                <w:b/>
                <w:bCs/>
                <w:color w:val="000000"/>
                <w:highlight w:val="yellow"/>
                <w:lang w:eastAsia="en-GB"/>
              </w:rPr>
            </w:pPr>
            <w:r w:rsidRPr="00F7788F">
              <w:rPr>
                <w:rFonts w:ascii="Arial" w:hAnsi="Arial" w:cs="Arial"/>
                <w:b/>
                <w:bCs/>
              </w:rPr>
              <w:t>0</w:t>
            </w:r>
          </w:p>
        </w:tc>
        <w:tc>
          <w:tcPr>
            <w:tcW w:w="1510" w:type="dxa"/>
            <w:tcBorders>
              <w:top w:val="single" w:sz="8" w:space="0" w:color="auto"/>
              <w:left w:val="single" w:sz="8" w:space="0" w:color="auto"/>
              <w:bottom w:val="single" w:sz="8" w:space="0" w:color="auto"/>
              <w:right w:val="single" w:sz="8" w:space="0" w:color="auto"/>
            </w:tcBorders>
            <w:shd w:val="clear" w:color="auto" w:fill="auto"/>
            <w:noWrap/>
            <w:hideMark/>
          </w:tcPr>
          <w:p w14:paraId="3426BED5" w14:textId="77777777" w:rsidR="00D15D90" w:rsidRPr="00F7788F" w:rsidRDefault="00D15D90" w:rsidP="00012E0D">
            <w:pPr>
              <w:jc w:val="right"/>
              <w:rPr>
                <w:rFonts w:ascii="Arial" w:hAnsi="Arial" w:cs="Arial"/>
                <w:b/>
                <w:bCs/>
                <w:color w:val="000000"/>
                <w:highlight w:val="yellow"/>
                <w:lang w:eastAsia="en-GB"/>
              </w:rPr>
            </w:pPr>
            <w:r w:rsidRPr="00F7788F">
              <w:rPr>
                <w:rFonts w:ascii="Arial" w:hAnsi="Arial" w:cs="Arial"/>
                <w:b/>
                <w:bCs/>
              </w:rPr>
              <w:t>0</w:t>
            </w:r>
          </w:p>
        </w:tc>
        <w:tc>
          <w:tcPr>
            <w:tcW w:w="1510" w:type="dxa"/>
            <w:tcBorders>
              <w:top w:val="single" w:sz="8" w:space="0" w:color="auto"/>
              <w:left w:val="single" w:sz="8" w:space="0" w:color="auto"/>
              <w:bottom w:val="single" w:sz="8" w:space="0" w:color="auto"/>
              <w:right w:val="single" w:sz="8" w:space="0" w:color="auto"/>
            </w:tcBorders>
            <w:shd w:val="clear" w:color="auto" w:fill="auto"/>
            <w:noWrap/>
            <w:hideMark/>
          </w:tcPr>
          <w:p w14:paraId="4D73B590" w14:textId="77777777" w:rsidR="00D15D90" w:rsidRPr="00F7788F" w:rsidRDefault="00D15D90" w:rsidP="00012E0D">
            <w:pPr>
              <w:jc w:val="right"/>
              <w:rPr>
                <w:rFonts w:ascii="Arial" w:hAnsi="Arial" w:cs="Arial"/>
                <w:b/>
                <w:bCs/>
                <w:color w:val="000000"/>
                <w:highlight w:val="yellow"/>
                <w:lang w:eastAsia="en-GB"/>
              </w:rPr>
            </w:pPr>
            <w:r w:rsidRPr="00F7788F">
              <w:rPr>
                <w:rFonts w:ascii="Arial" w:hAnsi="Arial" w:cs="Arial"/>
                <w:b/>
                <w:bCs/>
              </w:rPr>
              <w:t>0</w:t>
            </w:r>
          </w:p>
        </w:tc>
      </w:tr>
    </w:tbl>
    <w:p w14:paraId="5C11E971" w14:textId="77777777" w:rsidR="00D15D90" w:rsidRPr="00B35ADF" w:rsidRDefault="00D15D90" w:rsidP="00D15D90">
      <w:pPr>
        <w:spacing w:line="360" w:lineRule="auto"/>
        <w:jc w:val="both"/>
        <w:rPr>
          <w:rFonts w:ascii="Arial" w:hAnsi="Arial" w:cs="Arial"/>
        </w:rPr>
      </w:pPr>
    </w:p>
    <w:p w14:paraId="36356918" w14:textId="77777777" w:rsidR="00D15D90" w:rsidRPr="00B35ADF" w:rsidRDefault="00D15D90" w:rsidP="00D15D90">
      <w:pPr>
        <w:spacing w:line="360" w:lineRule="auto"/>
        <w:jc w:val="both"/>
        <w:rPr>
          <w:rFonts w:ascii="Arial" w:hAnsi="Arial" w:cs="Arial"/>
        </w:rPr>
      </w:pPr>
      <w:r w:rsidRPr="00B35ADF">
        <w:rPr>
          <w:rFonts w:ascii="Arial" w:hAnsi="Arial" w:cs="Arial"/>
        </w:rPr>
        <w:t>The main variances relate to:</w:t>
      </w:r>
    </w:p>
    <w:p w14:paraId="3A0D9DC7" w14:textId="77777777" w:rsidR="00D15D90" w:rsidRPr="0035778B" w:rsidRDefault="00D15D90" w:rsidP="00D15D90">
      <w:pPr>
        <w:pStyle w:val="ListParagraph"/>
        <w:numPr>
          <w:ilvl w:val="0"/>
          <w:numId w:val="86"/>
        </w:numPr>
        <w:spacing w:line="360" w:lineRule="auto"/>
        <w:rPr>
          <w:rFonts w:ascii="Arial" w:hAnsi="Arial" w:cs="Arial"/>
          <w:sz w:val="24"/>
          <w:szCs w:val="24"/>
        </w:rPr>
      </w:pPr>
      <w:bookmarkStart w:id="25" w:name="_Toc109922585"/>
      <w:bookmarkStart w:id="26" w:name="_Hlk108780347"/>
      <w:bookmarkStart w:id="27" w:name="_Hlk109049412"/>
      <w:bookmarkEnd w:id="21"/>
      <w:bookmarkEnd w:id="24"/>
      <w:r w:rsidRPr="0035778B">
        <w:rPr>
          <w:rFonts w:ascii="Arial" w:hAnsi="Arial" w:cs="Arial"/>
          <w:sz w:val="24"/>
          <w:szCs w:val="24"/>
        </w:rPr>
        <w:t>Employees pay and pensions is an underspend of £453k based on vacancies remaining at the year end.  Costs include pay award, Bear Scotland v Fulton, pre-arranged overtime and detachments.  Pre-arranged overtime and detachments are utilised to provide flexibility for training and maintaining ridership plus estimates of new starters based on the firefighter recruitment strategy. Indirect employee costs is broadly in line with budget with a minor variance mainly in relation to detached duty mileage payments.  These costs are closely monitored and links to ensuring training can be accessed whilst maintaining fire cover.</w:t>
      </w:r>
    </w:p>
    <w:p w14:paraId="376AAFE3" w14:textId="77777777" w:rsidR="00D15D90" w:rsidRPr="0035778B" w:rsidRDefault="00D15D90" w:rsidP="00D15D90">
      <w:pPr>
        <w:pStyle w:val="ListParagraph"/>
        <w:numPr>
          <w:ilvl w:val="0"/>
          <w:numId w:val="86"/>
        </w:numPr>
        <w:spacing w:line="360" w:lineRule="auto"/>
        <w:rPr>
          <w:rFonts w:ascii="Arial" w:hAnsi="Arial" w:cs="Arial"/>
          <w:sz w:val="24"/>
          <w:szCs w:val="24"/>
        </w:rPr>
      </w:pPr>
      <w:r w:rsidRPr="0035778B">
        <w:rPr>
          <w:rFonts w:ascii="Arial" w:hAnsi="Arial" w:cs="Arial"/>
          <w:sz w:val="24"/>
          <w:szCs w:val="24"/>
        </w:rPr>
        <w:lastRenderedPageBreak/>
        <w:t>Premises related expenditure is an overspend of £786k predominantly in the area of repairs and maintenance, including transfers from capital to revenue where spend does not meet capital spend criteria.  The information supporting this area of spend is being utilised to understand the needs against the estates strategy capi</w:t>
      </w:r>
      <w:r>
        <w:rPr>
          <w:rFonts w:ascii="Arial" w:hAnsi="Arial" w:cs="Arial"/>
          <w:sz w:val="24"/>
          <w:szCs w:val="24"/>
        </w:rPr>
        <w:t>t</w:t>
      </w:r>
      <w:r w:rsidRPr="0035778B">
        <w:rPr>
          <w:rFonts w:ascii="Arial" w:hAnsi="Arial" w:cs="Arial"/>
          <w:sz w:val="24"/>
          <w:szCs w:val="24"/>
        </w:rPr>
        <w:t>al programme.</w:t>
      </w:r>
    </w:p>
    <w:p w14:paraId="12EA7414" w14:textId="77777777" w:rsidR="00D15D90" w:rsidRPr="0035778B" w:rsidRDefault="00D15D90" w:rsidP="00D15D90">
      <w:pPr>
        <w:pStyle w:val="ListParagraph"/>
        <w:numPr>
          <w:ilvl w:val="0"/>
          <w:numId w:val="86"/>
        </w:numPr>
        <w:spacing w:line="360" w:lineRule="auto"/>
        <w:rPr>
          <w:rFonts w:ascii="Arial" w:hAnsi="Arial" w:cs="Arial"/>
          <w:sz w:val="24"/>
          <w:szCs w:val="24"/>
        </w:rPr>
      </w:pPr>
      <w:r w:rsidRPr="0035778B">
        <w:rPr>
          <w:rFonts w:ascii="Arial" w:hAnsi="Arial" w:cs="Arial"/>
          <w:sz w:val="24"/>
          <w:szCs w:val="24"/>
        </w:rPr>
        <w:t>Transport costs are £106k higher than budget due to increased lease costs of vehicles.  Lease costs will cease within 2024/25 on receipt of purchased vehicles.</w:t>
      </w:r>
    </w:p>
    <w:p w14:paraId="4773EA39" w14:textId="77777777" w:rsidR="00D15D90" w:rsidRPr="00B35ADF" w:rsidRDefault="00D15D90" w:rsidP="00D15D90">
      <w:pPr>
        <w:pStyle w:val="ListParagraph"/>
        <w:numPr>
          <w:ilvl w:val="0"/>
          <w:numId w:val="86"/>
        </w:numPr>
        <w:spacing w:line="360" w:lineRule="auto"/>
        <w:rPr>
          <w:rFonts w:ascii="Arial" w:hAnsi="Arial" w:cs="Arial"/>
          <w:sz w:val="24"/>
          <w:szCs w:val="24"/>
        </w:rPr>
      </w:pPr>
      <w:r w:rsidRPr="00B35ADF">
        <w:rPr>
          <w:rFonts w:ascii="Arial" w:hAnsi="Arial" w:cs="Arial"/>
        </w:rPr>
        <w:t>Supplies, services and other expenditure is at an underspend of £196k.  Included in the budget is an expected increase in costs for contract renewals not all of which was required within the financial year but has been maintained to provide for future increases.</w:t>
      </w:r>
    </w:p>
    <w:p w14:paraId="44ED6712" w14:textId="77777777" w:rsidR="00D15D90" w:rsidRPr="0035778B" w:rsidRDefault="00D15D90" w:rsidP="00D15D90">
      <w:pPr>
        <w:pStyle w:val="ListParagraph"/>
        <w:numPr>
          <w:ilvl w:val="0"/>
          <w:numId w:val="86"/>
        </w:numPr>
        <w:spacing w:line="360" w:lineRule="auto"/>
        <w:rPr>
          <w:rFonts w:ascii="Arial" w:hAnsi="Arial" w:cs="Arial"/>
          <w:sz w:val="24"/>
          <w:szCs w:val="24"/>
        </w:rPr>
      </w:pPr>
      <w:r w:rsidRPr="0035778B">
        <w:rPr>
          <w:rFonts w:ascii="Arial" w:hAnsi="Arial" w:cs="Arial"/>
          <w:sz w:val="24"/>
          <w:szCs w:val="24"/>
        </w:rPr>
        <w:t>Following the 2022/23 capital outturn position, the attributable capital financing costs were re-calculated resulting in an underspend of £723k.</w:t>
      </w:r>
    </w:p>
    <w:p w14:paraId="6297F9A0" w14:textId="77777777" w:rsidR="00D15D90" w:rsidRPr="0035778B" w:rsidRDefault="00D15D90" w:rsidP="00D15D90">
      <w:pPr>
        <w:pStyle w:val="ListParagraph"/>
        <w:numPr>
          <w:ilvl w:val="0"/>
          <w:numId w:val="86"/>
        </w:numPr>
        <w:spacing w:line="360" w:lineRule="auto"/>
        <w:rPr>
          <w:rFonts w:ascii="Arial" w:hAnsi="Arial" w:cs="Arial"/>
          <w:sz w:val="24"/>
          <w:szCs w:val="24"/>
        </w:rPr>
      </w:pPr>
      <w:r w:rsidRPr="0035778B">
        <w:rPr>
          <w:rFonts w:ascii="Arial" w:hAnsi="Arial" w:cs="Arial"/>
          <w:sz w:val="24"/>
          <w:szCs w:val="24"/>
        </w:rPr>
        <w:t>Revenue contributions to capital outlay is made up of two elements, the transfer of income from partner agencies for the use of GMFRS buildings and the final outturn position of an underspend of £487k.</w:t>
      </w:r>
    </w:p>
    <w:p w14:paraId="7B505207" w14:textId="77777777" w:rsidR="00D15D90" w:rsidRPr="0035778B" w:rsidRDefault="00D15D90" w:rsidP="00D15D90">
      <w:pPr>
        <w:pStyle w:val="ListParagraph"/>
        <w:numPr>
          <w:ilvl w:val="0"/>
          <w:numId w:val="86"/>
        </w:numPr>
        <w:spacing w:line="360" w:lineRule="auto"/>
        <w:rPr>
          <w:rFonts w:ascii="Arial" w:hAnsi="Arial" w:cs="Arial"/>
          <w:sz w:val="24"/>
          <w:szCs w:val="24"/>
        </w:rPr>
      </w:pPr>
      <w:r w:rsidRPr="0035778B">
        <w:rPr>
          <w:rFonts w:ascii="Arial" w:hAnsi="Arial" w:cs="Arial"/>
          <w:sz w:val="24"/>
          <w:szCs w:val="24"/>
        </w:rPr>
        <w:t>Income has been overachieved by £862k due increased partnership working on specific schemes such as the Atlas project, Road Safety Partnership and other Prevention schemes. The income achieved also includes recharges for shared use of buildings and apprenticeship levy income.</w:t>
      </w:r>
    </w:p>
    <w:p w14:paraId="5367CDC1" w14:textId="77777777" w:rsidR="00D15D90" w:rsidRPr="0035778B" w:rsidRDefault="00D15D90" w:rsidP="00D15D90">
      <w:pPr>
        <w:pStyle w:val="ListParagraph"/>
        <w:numPr>
          <w:ilvl w:val="0"/>
          <w:numId w:val="86"/>
        </w:numPr>
        <w:spacing w:line="360" w:lineRule="auto"/>
        <w:rPr>
          <w:rFonts w:ascii="Arial" w:hAnsi="Arial" w:cs="Arial"/>
          <w:sz w:val="24"/>
          <w:szCs w:val="24"/>
        </w:rPr>
      </w:pPr>
      <w:r w:rsidRPr="0035778B">
        <w:rPr>
          <w:rFonts w:ascii="Arial" w:hAnsi="Arial" w:cs="Arial"/>
          <w:sz w:val="24"/>
          <w:szCs w:val="24"/>
        </w:rPr>
        <w:t>Transfers to reserves include a one-off £983k benefit of deposit interest attributable to GMFRS, future end point assessment estimate from apprenticeship levy income and earmarked funding towards the Prevention and Protection Digital Transformation project.</w:t>
      </w:r>
    </w:p>
    <w:p w14:paraId="504D3EA7" w14:textId="77777777" w:rsidR="00D15D90" w:rsidRPr="00B15622" w:rsidRDefault="00D15D90" w:rsidP="00D15D90">
      <w:pPr>
        <w:spacing w:line="360" w:lineRule="auto"/>
        <w:jc w:val="both"/>
        <w:rPr>
          <w:rFonts w:ascii="Arial" w:hAnsi="Arial" w:cs="Arial"/>
          <w:b/>
          <w:bCs/>
          <w:highlight w:val="yellow"/>
        </w:rPr>
      </w:pPr>
    </w:p>
    <w:p w14:paraId="3E6968D5" w14:textId="77777777" w:rsidR="00D15D90" w:rsidRPr="00CD0137" w:rsidRDefault="00D15D90" w:rsidP="00D15D90">
      <w:pPr>
        <w:spacing w:line="360" w:lineRule="auto"/>
        <w:jc w:val="both"/>
        <w:rPr>
          <w:rFonts w:ascii="Arial" w:hAnsi="Arial" w:cs="Arial"/>
          <w:b/>
          <w:bCs/>
        </w:rPr>
      </w:pPr>
      <w:r w:rsidRPr="00CD0137">
        <w:rPr>
          <w:rFonts w:ascii="Arial" w:hAnsi="Arial" w:cs="Arial"/>
          <w:b/>
          <w:bCs/>
        </w:rPr>
        <w:t>Waste and Resources</w:t>
      </w:r>
    </w:p>
    <w:p w14:paraId="6CE776E3" w14:textId="77777777" w:rsidR="00D15D90" w:rsidRPr="00192EC4" w:rsidRDefault="00D15D90" w:rsidP="00D15D90">
      <w:pPr>
        <w:spacing w:line="360" w:lineRule="auto"/>
        <w:rPr>
          <w:rFonts w:ascii="Arial" w:hAnsi="Arial" w:cs="Arial"/>
        </w:rPr>
      </w:pPr>
      <w:r w:rsidRPr="00192EC4">
        <w:rPr>
          <w:rFonts w:ascii="Arial" w:hAnsi="Arial" w:cs="Arial"/>
        </w:rPr>
        <w:t xml:space="preserve">GMCA is </w:t>
      </w:r>
      <w:r>
        <w:rPr>
          <w:rFonts w:ascii="Arial" w:hAnsi="Arial" w:cs="Arial"/>
        </w:rPr>
        <w:t xml:space="preserve">the largest statutory waste disposal authority in England with </w:t>
      </w:r>
      <w:r w:rsidRPr="00192EC4">
        <w:rPr>
          <w:rFonts w:ascii="Arial" w:hAnsi="Arial" w:cs="Arial"/>
        </w:rPr>
        <w:t>responsibi</w:t>
      </w:r>
      <w:r>
        <w:rPr>
          <w:rFonts w:ascii="Arial" w:hAnsi="Arial" w:cs="Arial"/>
        </w:rPr>
        <w:t>lity</w:t>
      </w:r>
      <w:r w:rsidRPr="00192EC4">
        <w:rPr>
          <w:rFonts w:ascii="Arial" w:hAnsi="Arial" w:cs="Arial"/>
        </w:rPr>
        <w:t xml:space="preserve"> for the management and disposal of municipal waste from Greater Manchester. The GMCA Waste and Resources team oversee the operation of the facilities through</w:t>
      </w:r>
      <w:r>
        <w:rPr>
          <w:rFonts w:ascii="Arial" w:hAnsi="Arial" w:cs="Arial"/>
        </w:rPr>
        <w:t xml:space="preserve"> </w:t>
      </w:r>
      <w:r w:rsidRPr="00192EC4">
        <w:rPr>
          <w:rFonts w:ascii="Arial" w:hAnsi="Arial" w:cs="Arial"/>
        </w:rPr>
        <w:t xml:space="preserve">contract arrangements with Suez Recycling and Recovery </w:t>
      </w:r>
      <w:r>
        <w:rPr>
          <w:rFonts w:ascii="Arial" w:hAnsi="Arial" w:cs="Arial"/>
        </w:rPr>
        <w:t>(</w:t>
      </w:r>
      <w:r w:rsidRPr="00192EC4">
        <w:rPr>
          <w:rFonts w:ascii="Arial" w:hAnsi="Arial" w:cs="Arial"/>
        </w:rPr>
        <w:t>UK</w:t>
      </w:r>
      <w:r>
        <w:rPr>
          <w:rFonts w:ascii="Arial" w:hAnsi="Arial" w:cs="Arial"/>
        </w:rPr>
        <w:t>)</w:t>
      </w:r>
      <w:r w:rsidRPr="00192EC4">
        <w:rPr>
          <w:rFonts w:ascii="Arial" w:hAnsi="Arial" w:cs="Arial"/>
        </w:rPr>
        <w:t xml:space="preserve">. This waste </w:t>
      </w:r>
      <w:r>
        <w:rPr>
          <w:rFonts w:ascii="Arial" w:hAnsi="Arial" w:cs="Arial"/>
        </w:rPr>
        <w:t>is produced by</w:t>
      </w:r>
      <w:r w:rsidRPr="00192EC4">
        <w:rPr>
          <w:rFonts w:ascii="Arial" w:hAnsi="Arial" w:cs="Arial"/>
        </w:rPr>
        <w:t xml:space="preserve"> over a million households from the metropolitan areas of Bolton, Bury, Manchester, Oldham, Rochdale, Salford, Stockport, Tameside and Trafford (Wigan operate as a unitary authority and administers its own disposal arrangements). </w:t>
      </w:r>
    </w:p>
    <w:p w14:paraId="06C8D58F" w14:textId="77777777" w:rsidR="00D15D90" w:rsidRPr="00192EC4" w:rsidRDefault="00D15D90" w:rsidP="00D15D90">
      <w:pPr>
        <w:spacing w:line="360" w:lineRule="auto"/>
        <w:rPr>
          <w:rFonts w:ascii="Arial" w:hAnsi="Arial" w:cs="Arial"/>
        </w:rPr>
      </w:pPr>
    </w:p>
    <w:p w14:paraId="61B5826C" w14:textId="77777777" w:rsidR="00D15D90" w:rsidRPr="00192EC4" w:rsidRDefault="00D15D90" w:rsidP="00D15D90">
      <w:pPr>
        <w:spacing w:line="360" w:lineRule="auto"/>
        <w:rPr>
          <w:rFonts w:ascii="Arial" w:eastAsia="Calibri" w:hAnsi="Arial" w:cs="Arial"/>
        </w:rPr>
      </w:pPr>
      <w:r w:rsidRPr="00192EC4">
        <w:rPr>
          <w:rFonts w:ascii="Arial" w:hAnsi="Arial" w:cs="Arial"/>
        </w:rPr>
        <w:lastRenderedPageBreak/>
        <w:t xml:space="preserve">Each of the local authorities are responsible for the collection of household waste. GMCA receives funding from a levy on the nine Greater Manchester local authorities to pay for the processing and disposal of this waste. </w:t>
      </w:r>
      <w:r w:rsidRPr="00192EC4">
        <w:rPr>
          <w:rFonts w:ascii="Arial" w:hAnsi="Arial" w:cs="Arial"/>
          <w:bCs/>
        </w:rPr>
        <w:t xml:space="preserve">The </w:t>
      </w:r>
      <w:r>
        <w:rPr>
          <w:rFonts w:ascii="Arial" w:hAnsi="Arial" w:cs="Arial"/>
          <w:bCs/>
        </w:rPr>
        <w:t>2023/24</w:t>
      </w:r>
      <w:r w:rsidRPr="00192EC4">
        <w:rPr>
          <w:rFonts w:ascii="Arial" w:hAnsi="Arial" w:cs="Arial"/>
          <w:bCs/>
        </w:rPr>
        <w:t xml:space="preserve"> levy for the Waste and Resources service was set in February 202</w:t>
      </w:r>
      <w:r>
        <w:rPr>
          <w:rFonts w:ascii="Arial" w:hAnsi="Arial" w:cs="Arial"/>
          <w:bCs/>
        </w:rPr>
        <w:t>3</w:t>
      </w:r>
      <w:r w:rsidRPr="00192EC4">
        <w:rPr>
          <w:rFonts w:ascii="Arial" w:hAnsi="Arial" w:cs="Arial"/>
          <w:bCs/>
        </w:rPr>
        <w:t xml:space="preserve"> for a total of £</w:t>
      </w:r>
      <w:r>
        <w:rPr>
          <w:rFonts w:ascii="Arial" w:hAnsi="Arial" w:cs="Arial"/>
          <w:bCs/>
        </w:rPr>
        <w:t>169.0m</w:t>
      </w:r>
      <w:r w:rsidRPr="00192EC4">
        <w:rPr>
          <w:rFonts w:ascii="Arial" w:hAnsi="Arial" w:cs="Arial"/>
          <w:bCs/>
        </w:rPr>
        <w:t xml:space="preserve"> represented by expenditure of £</w:t>
      </w:r>
      <w:r>
        <w:rPr>
          <w:rFonts w:ascii="Arial" w:hAnsi="Arial" w:cs="Arial"/>
          <w:bCs/>
        </w:rPr>
        <w:t>170.0m</w:t>
      </w:r>
      <w:r w:rsidRPr="00192EC4">
        <w:rPr>
          <w:rFonts w:ascii="Arial" w:hAnsi="Arial" w:cs="Arial"/>
          <w:bCs/>
        </w:rPr>
        <w:t xml:space="preserve"> and a use of reserves of £</w:t>
      </w:r>
      <w:r>
        <w:rPr>
          <w:rFonts w:ascii="Arial" w:hAnsi="Arial" w:cs="Arial"/>
          <w:bCs/>
        </w:rPr>
        <w:t>1.0m</w:t>
      </w:r>
      <w:r w:rsidRPr="00192EC4">
        <w:rPr>
          <w:rFonts w:ascii="Arial" w:hAnsi="Arial" w:cs="Arial"/>
          <w:bCs/>
        </w:rPr>
        <w:t xml:space="preserve">. The </w:t>
      </w:r>
      <w:r>
        <w:rPr>
          <w:rFonts w:ascii="Arial" w:hAnsi="Arial" w:cs="Arial"/>
          <w:bCs/>
        </w:rPr>
        <w:t>2023/24</w:t>
      </w:r>
      <w:r w:rsidRPr="00192EC4">
        <w:rPr>
          <w:rFonts w:ascii="Arial" w:hAnsi="Arial" w:cs="Arial"/>
          <w:bCs/>
        </w:rPr>
        <w:t xml:space="preserve"> budget was set using forecast levels of waste amounting to </w:t>
      </w:r>
      <w:r>
        <w:rPr>
          <w:rFonts w:ascii="Arial" w:hAnsi="Arial" w:cs="Arial"/>
          <w:bCs/>
        </w:rPr>
        <w:t>1,055,297</w:t>
      </w:r>
      <w:r w:rsidRPr="00192EC4">
        <w:rPr>
          <w:rFonts w:ascii="Arial" w:hAnsi="Arial" w:cs="Arial"/>
          <w:bCs/>
        </w:rPr>
        <w:t xml:space="preserve"> tonnes of waste from local authorities and Household Waste Recycling Centres (HWRC). </w:t>
      </w:r>
      <w:r w:rsidRPr="00427727">
        <w:rPr>
          <w:rFonts w:ascii="Arial" w:hAnsi="Arial" w:cs="Arial"/>
          <w:bCs/>
        </w:rPr>
        <w:t>The forecasting of waste tonnages has continued to be unpredictable following the pandemic and changing work patterns which has affected the volumes of household ‘kerbside’ waste collections.</w:t>
      </w:r>
      <w:r>
        <w:rPr>
          <w:rFonts w:ascii="Arial" w:hAnsi="Arial" w:cs="Arial"/>
          <w:bCs/>
        </w:rPr>
        <w:t xml:space="preserve"> The contracts with Suez have allowed GMCA to recycle over 50% of waste and achieve a landfill diversion rate in excess of 99%.</w:t>
      </w:r>
    </w:p>
    <w:p w14:paraId="0B596146" w14:textId="77777777" w:rsidR="00D15D90" w:rsidRPr="00192EC4" w:rsidRDefault="00D15D90" w:rsidP="00D15D90">
      <w:pPr>
        <w:spacing w:line="360" w:lineRule="auto"/>
        <w:rPr>
          <w:rFonts w:ascii="Arial" w:hAnsi="Arial" w:cs="Arial"/>
          <w:bCs/>
        </w:rPr>
      </w:pPr>
    </w:p>
    <w:p w14:paraId="7EF56D74" w14:textId="77777777" w:rsidR="00D15D90" w:rsidRPr="00192EC4" w:rsidRDefault="00D15D90" w:rsidP="00D15D90">
      <w:pPr>
        <w:spacing w:line="360" w:lineRule="auto"/>
        <w:rPr>
          <w:rFonts w:ascii="Arial" w:hAnsi="Arial" w:cs="Arial"/>
          <w:bCs/>
        </w:rPr>
      </w:pPr>
      <w:r w:rsidRPr="00192EC4">
        <w:rPr>
          <w:rFonts w:ascii="Arial" w:hAnsi="Arial" w:cs="Arial"/>
          <w:bCs/>
        </w:rPr>
        <w:t xml:space="preserve">The table below shows the </w:t>
      </w:r>
      <w:r>
        <w:rPr>
          <w:rFonts w:ascii="Arial" w:hAnsi="Arial" w:cs="Arial"/>
          <w:bCs/>
        </w:rPr>
        <w:t>2023/24</w:t>
      </w:r>
      <w:r w:rsidRPr="00192EC4">
        <w:rPr>
          <w:rFonts w:ascii="Arial" w:hAnsi="Arial" w:cs="Arial"/>
          <w:bCs/>
        </w:rPr>
        <w:t xml:space="preserve"> revenue provisional outturn position against the approved budget for Waste and Resources:</w:t>
      </w:r>
    </w:p>
    <w:p w14:paraId="2874EFBB" w14:textId="77777777" w:rsidR="00D15D90" w:rsidRPr="00192EC4" w:rsidRDefault="00D15D90" w:rsidP="00D15D90">
      <w:pPr>
        <w:spacing w:line="360" w:lineRule="auto"/>
        <w:rPr>
          <w:rFonts w:ascii="Arial" w:hAnsi="Arial" w:cs="Arial"/>
          <w:bCs/>
        </w:rPr>
      </w:pPr>
    </w:p>
    <w:tbl>
      <w:tblPr>
        <w:tblW w:w="9038" w:type="dxa"/>
        <w:tblLook w:val="04A0" w:firstRow="1" w:lastRow="0" w:firstColumn="1" w:lastColumn="0" w:noHBand="0" w:noVBand="1"/>
      </w:tblPr>
      <w:tblGrid>
        <w:gridCol w:w="3397"/>
        <w:gridCol w:w="1843"/>
        <w:gridCol w:w="1985"/>
        <w:gridCol w:w="1813"/>
      </w:tblGrid>
      <w:tr w:rsidR="00D15D90" w:rsidRPr="00192EC4" w14:paraId="5D92C3DC" w14:textId="77777777" w:rsidTr="00012E0D">
        <w:trPr>
          <w:trHeight w:val="761"/>
        </w:trPr>
        <w:tc>
          <w:tcPr>
            <w:tcW w:w="3397" w:type="dxa"/>
            <w:tcBorders>
              <w:top w:val="single" w:sz="4" w:space="0" w:color="auto"/>
              <w:left w:val="single" w:sz="4" w:space="0" w:color="auto"/>
              <w:bottom w:val="single" w:sz="4" w:space="0" w:color="auto"/>
              <w:right w:val="nil"/>
            </w:tcBorders>
            <w:shd w:val="clear" w:color="000000" w:fill="auto"/>
            <w:hideMark/>
          </w:tcPr>
          <w:p w14:paraId="291DA4B0" w14:textId="77777777" w:rsidR="00D15D90" w:rsidRDefault="00D15D90" w:rsidP="00012E0D">
            <w:pPr>
              <w:spacing w:line="360" w:lineRule="auto"/>
              <w:rPr>
                <w:rFonts w:ascii="Arial" w:hAnsi="Arial" w:cs="Arial"/>
                <w:b/>
                <w:bCs/>
                <w:color w:val="000000"/>
                <w:sz w:val="20"/>
                <w:szCs w:val="20"/>
              </w:rPr>
            </w:pPr>
            <w:r w:rsidRPr="00192EC4">
              <w:rPr>
                <w:rFonts w:ascii="Arial" w:hAnsi="Arial" w:cs="Arial"/>
                <w:b/>
                <w:bCs/>
                <w:color w:val="000000"/>
                <w:sz w:val="20"/>
                <w:szCs w:val="20"/>
              </w:rPr>
              <w:t>Waste and Resources</w:t>
            </w:r>
          </w:p>
          <w:p w14:paraId="7143BFE9" w14:textId="77777777" w:rsidR="00D15D90" w:rsidRPr="00192EC4" w:rsidRDefault="00D15D90" w:rsidP="00012E0D">
            <w:pPr>
              <w:spacing w:line="360" w:lineRule="auto"/>
              <w:rPr>
                <w:rFonts w:ascii="Arial" w:hAnsi="Arial" w:cs="Arial"/>
                <w:b/>
                <w:bCs/>
                <w:color w:val="000000"/>
                <w:sz w:val="20"/>
                <w:szCs w:val="20"/>
                <w:lang w:eastAsia="en-GB"/>
              </w:rPr>
            </w:pPr>
            <w:r w:rsidRPr="00192EC4">
              <w:rPr>
                <w:rFonts w:ascii="Arial" w:hAnsi="Arial" w:cs="Arial"/>
                <w:b/>
                <w:bCs/>
                <w:color w:val="000000"/>
                <w:sz w:val="20"/>
                <w:szCs w:val="20"/>
              </w:rPr>
              <w:t xml:space="preserve">Provisional Outturn </w:t>
            </w:r>
            <w:r>
              <w:rPr>
                <w:rFonts w:ascii="Arial" w:hAnsi="Arial" w:cs="Arial"/>
                <w:b/>
                <w:bCs/>
                <w:color w:val="000000"/>
                <w:sz w:val="20"/>
                <w:szCs w:val="20"/>
              </w:rPr>
              <w:t>2023/24</w:t>
            </w:r>
          </w:p>
        </w:tc>
        <w:tc>
          <w:tcPr>
            <w:tcW w:w="1843" w:type="dxa"/>
            <w:tcBorders>
              <w:top w:val="single" w:sz="4" w:space="0" w:color="auto"/>
              <w:left w:val="single" w:sz="4" w:space="0" w:color="auto"/>
              <w:bottom w:val="single" w:sz="4" w:space="0" w:color="auto"/>
              <w:right w:val="single" w:sz="4" w:space="0" w:color="auto"/>
            </w:tcBorders>
            <w:shd w:val="clear" w:color="000000" w:fill="auto"/>
            <w:hideMark/>
          </w:tcPr>
          <w:p w14:paraId="4F2654E4" w14:textId="77777777" w:rsidR="00D15D90" w:rsidRDefault="00D15D90" w:rsidP="00012E0D">
            <w:pPr>
              <w:spacing w:line="360" w:lineRule="auto"/>
              <w:jc w:val="center"/>
              <w:rPr>
                <w:rFonts w:ascii="Arial" w:hAnsi="Arial" w:cs="Arial"/>
                <w:b/>
                <w:bCs/>
                <w:sz w:val="20"/>
                <w:szCs w:val="20"/>
              </w:rPr>
            </w:pPr>
            <w:r w:rsidRPr="00192EC4">
              <w:rPr>
                <w:rFonts w:ascii="Arial" w:hAnsi="Arial" w:cs="Arial"/>
                <w:b/>
                <w:bCs/>
                <w:sz w:val="20"/>
                <w:szCs w:val="20"/>
              </w:rPr>
              <w:t>Approved Budget</w:t>
            </w:r>
          </w:p>
          <w:p w14:paraId="0C93836D" w14:textId="77777777" w:rsidR="00D15D90" w:rsidRPr="00192EC4" w:rsidRDefault="00D15D90" w:rsidP="00012E0D">
            <w:pPr>
              <w:spacing w:line="360" w:lineRule="auto"/>
              <w:jc w:val="center"/>
              <w:rPr>
                <w:rFonts w:ascii="Arial" w:hAnsi="Arial" w:cs="Arial"/>
                <w:b/>
                <w:bCs/>
                <w:sz w:val="20"/>
                <w:szCs w:val="20"/>
              </w:rPr>
            </w:pPr>
            <w:r>
              <w:rPr>
                <w:rFonts w:ascii="Arial" w:hAnsi="Arial" w:cs="Arial"/>
                <w:b/>
                <w:bCs/>
                <w:sz w:val="20"/>
                <w:szCs w:val="20"/>
              </w:rPr>
              <w:t>£000s</w:t>
            </w:r>
          </w:p>
        </w:tc>
        <w:tc>
          <w:tcPr>
            <w:tcW w:w="1985" w:type="dxa"/>
            <w:tcBorders>
              <w:top w:val="single" w:sz="4" w:space="0" w:color="auto"/>
              <w:left w:val="nil"/>
              <w:bottom w:val="single" w:sz="4" w:space="0" w:color="auto"/>
              <w:right w:val="single" w:sz="4" w:space="0" w:color="auto"/>
            </w:tcBorders>
            <w:shd w:val="clear" w:color="000000" w:fill="auto"/>
            <w:hideMark/>
          </w:tcPr>
          <w:p w14:paraId="1225A2D9" w14:textId="77777777" w:rsidR="00D15D90" w:rsidRDefault="00D15D90" w:rsidP="00012E0D">
            <w:pPr>
              <w:spacing w:line="360" w:lineRule="auto"/>
              <w:jc w:val="center"/>
              <w:rPr>
                <w:rFonts w:ascii="Arial" w:hAnsi="Arial" w:cs="Arial"/>
                <w:b/>
                <w:bCs/>
                <w:color w:val="000000"/>
                <w:sz w:val="20"/>
                <w:szCs w:val="20"/>
              </w:rPr>
            </w:pPr>
            <w:r w:rsidRPr="00192EC4">
              <w:rPr>
                <w:rFonts w:ascii="Arial" w:hAnsi="Arial" w:cs="Arial"/>
                <w:b/>
                <w:bCs/>
                <w:color w:val="000000"/>
                <w:sz w:val="20"/>
                <w:szCs w:val="20"/>
              </w:rPr>
              <w:t>Provisional Outturn</w:t>
            </w:r>
          </w:p>
          <w:p w14:paraId="48E525CA" w14:textId="77777777" w:rsidR="00D15D90" w:rsidRPr="00192EC4" w:rsidRDefault="00D15D90" w:rsidP="00012E0D">
            <w:pPr>
              <w:spacing w:line="360" w:lineRule="auto"/>
              <w:jc w:val="center"/>
              <w:rPr>
                <w:rFonts w:ascii="Arial" w:hAnsi="Arial" w:cs="Arial"/>
                <w:b/>
                <w:bCs/>
                <w:color w:val="000000"/>
                <w:sz w:val="20"/>
                <w:szCs w:val="20"/>
              </w:rPr>
            </w:pPr>
            <w:r>
              <w:rPr>
                <w:rFonts w:ascii="Arial" w:hAnsi="Arial" w:cs="Arial"/>
                <w:b/>
                <w:bCs/>
                <w:color w:val="000000"/>
                <w:sz w:val="20"/>
                <w:szCs w:val="20"/>
              </w:rPr>
              <w:t>£000s</w:t>
            </w:r>
          </w:p>
        </w:tc>
        <w:tc>
          <w:tcPr>
            <w:tcW w:w="1813" w:type="dxa"/>
            <w:tcBorders>
              <w:top w:val="single" w:sz="4" w:space="0" w:color="auto"/>
              <w:left w:val="nil"/>
              <w:bottom w:val="single" w:sz="4" w:space="0" w:color="auto"/>
              <w:right w:val="single" w:sz="4" w:space="0" w:color="auto"/>
            </w:tcBorders>
            <w:shd w:val="clear" w:color="000000" w:fill="auto"/>
            <w:hideMark/>
          </w:tcPr>
          <w:p w14:paraId="19E790C0" w14:textId="77777777" w:rsidR="00D15D90" w:rsidRDefault="00D15D90" w:rsidP="00012E0D">
            <w:pPr>
              <w:spacing w:line="360" w:lineRule="auto"/>
              <w:jc w:val="center"/>
              <w:rPr>
                <w:rFonts w:ascii="Arial" w:hAnsi="Arial" w:cs="Arial"/>
                <w:b/>
                <w:bCs/>
                <w:sz w:val="20"/>
                <w:szCs w:val="20"/>
              </w:rPr>
            </w:pPr>
            <w:r w:rsidRPr="00192EC4">
              <w:rPr>
                <w:rFonts w:ascii="Arial" w:hAnsi="Arial" w:cs="Arial"/>
                <w:b/>
                <w:bCs/>
                <w:sz w:val="20"/>
                <w:szCs w:val="20"/>
              </w:rPr>
              <w:t>Provisional Variance</w:t>
            </w:r>
          </w:p>
          <w:p w14:paraId="63A8CB79" w14:textId="77777777" w:rsidR="00D15D90" w:rsidRPr="00192EC4" w:rsidRDefault="00D15D90" w:rsidP="00012E0D">
            <w:pPr>
              <w:spacing w:line="360" w:lineRule="auto"/>
              <w:jc w:val="center"/>
              <w:rPr>
                <w:rFonts w:ascii="Arial" w:hAnsi="Arial" w:cs="Arial"/>
                <w:b/>
                <w:bCs/>
                <w:sz w:val="20"/>
                <w:szCs w:val="20"/>
              </w:rPr>
            </w:pPr>
            <w:r>
              <w:rPr>
                <w:rFonts w:ascii="Arial" w:hAnsi="Arial" w:cs="Arial"/>
                <w:b/>
                <w:bCs/>
                <w:sz w:val="20"/>
                <w:szCs w:val="20"/>
              </w:rPr>
              <w:t>£000s</w:t>
            </w:r>
          </w:p>
        </w:tc>
      </w:tr>
      <w:tr w:rsidR="00D15D90" w:rsidRPr="00192EC4" w14:paraId="3A5E538B" w14:textId="77777777" w:rsidTr="00012E0D">
        <w:trPr>
          <w:trHeight w:val="245"/>
        </w:trPr>
        <w:tc>
          <w:tcPr>
            <w:tcW w:w="3397" w:type="dxa"/>
            <w:tcBorders>
              <w:top w:val="nil"/>
              <w:left w:val="single" w:sz="4" w:space="0" w:color="auto"/>
              <w:bottom w:val="nil"/>
              <w:right w:val="nil"/>
            </w:tcBorders>
            <w:shd w:val="clear" w:color="auto" w:fill="auto"/>
            <w:vAlign w:val="center"/>
            <w:hideMark/>
          </w:tcPr>
          <w:p w14:paraId="6270C622" w14:textId="77777777" w:rsidR="00D15D90" w:rsidRPr="00192EC4" w:rsidRDefault="00D15D90" w:rsidP="00012E0D">
            <w:pPr>
              <w:spacing w:line="360" w:lineRule="auto"/>
              <w:rPr>
                <w:rFonts w:ascii="Arial" w:hAnsi="Arial" w:cs="Arial"/>
                <w:color w:val="000000"/>
                <w:sz w:val="20"/>
                <w:szCs w:val="20"/>
              </w:rPr>
            </w:pPr>
            <w:r w:rsidRPr="00192EC4">
              <w:rPr>
                <w:rFonts w:ascii="Arial" w:hAnsi="Arial" w:cs="Arial"/>
                <w:color w:val="000000"/>
                <w:sz w:val="20"/>
                <w:szCs w:val="20"/>
              </w:rPr>
              <w:t>Operational Costs</w:t>
            </w:r>
          </w:p>
        </w:tc>
        <w:tc>
          <w:tcPr>
            <w:tcW w:w="1843" w:type="dxa"/>
            <w:tcBorders>
              <w:top w:val="nil"/>
              <w:left w:val="single" w:sz="4" w:space="0" w:color="auto"/>
              <w:bottom w:val="nil"/>
              <w:right w:val="single" w:sz="4" w:space="0" w:color="auto"/>
            </w:tcBorders>
            <w:shd w:val="clear" w:color="auto" w:fill="auto"/>
            <w:noWrap/>
            <w:vAlign w:val="center"/>
            <w:hideMark/>
          </w:tcPr>
          <w:p w14:paraId="1B6DDFD2"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108,555</w:t>
            </w:r>
          </w:p>
        </w:tc>
        <w:tc>
          <w:tcPr>
            <w:tcW w:w="1985" w:type="dxa"/>
            <w:tcBorders>
              <w:top w:val="nil"/>
              <w:left w:val="nil"/>
              <w:bottom w:val="nil"/>
              <w:right w:val="single" w:sz="4" w:space="0" w:color="auto"/>
            </w:tcBorders>
            <w:shd w:val="clear" w:color="auto" w:fill="auto"/>
            <w:noWrap/>
            <w:vAlign w:val="center"/>
          </w:tcPr>
          <w:p w14:paraId="61302A1E"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94,551</w:t>
            </w:r>
          </w:p>
        </w:tc>
        <w:tc>
          <w:tcPr>
            <w:tcW w:w="1813" w:type="dxa"/>
            <w:tcBorders>
              <w:top w:val="nil"/>
              <w:left w:val="nil"/>
              <w:bottom w:val="nil"/>
              <w:right w:val="single" w:sz="4" w:space="0" w:color="auto"/>
            </w:tcBorders>
            <w:shd w:val="clear" w:color="auto" w:fill="auto"/>
            <w:noWrap/>
            <w:vAlign w:val="center"/>
          </w:tcPr>
          <w:p w14:paraId="0FCCAEE5"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(14,004)</w:t>
            </w:r>
          </w:p>
        </w:tc>
      </w:tr>
      <w:tr w:rsidR="00D15D90" w:rsidRPr="00192EC4" w14:paraId="49869E40" w14:textId="77777777" w:rsidTr="00012E0D">
        <w:trPr>
          <w:trHeight w:val="245"/>
        </w:trPr>
        <w:tc>
          <w:tcPr>
            <w:tcW w:w="3397" w:type="dxa"/>
            <w:tcBorders>
              <w:top w:val="nil"/>
              <w:left w:val="single" w:sz="4" w:space="0" w:color="auto"/>
              <w:bottom w:val="nil"/>
              <w:right w:val="nil"/>
            </w:tcBorders>
            <w:shd w:val="clear" w:color="auto" w:fill="auto"/>
            <w:vAlign w:val="center"/>
            <w:hideMark/>
          </w:tcPr>
          <w:p w14:paraId="4FB7D8DB" w14:textId="77777777" w:rsidR="00D15D90" w:rsidRPr="00192EC4" w:rsidRDefault="00D15D90" w:rsidP="00012E0D">
            <w:pPr>
              <w:spacing w:line="360" w:lineRule="auto"/>
              <w:rPr>
                <w:rFonts w:ascii="Arial" w:hAnsi="Arial" w:cs="Arial"/>
                <w:color w:val="000000"/>
                <w:sz w:val="20"/>
                <w:szCs w:val="20"/>
              </w:rPr>
            </w:pPr>
            <w:r w:rsidRPr="00192EC4">
              <w:rPr>
                <w:rFonts w:ascii="Arial" w:hAnsi="Arial" w:cs="Arial"/>
                <w:color w:val="000000"/>
                <w:sz w:val="20"/>
                <w:szCs w:val="20"/>
              </w:rPr>
              <w:t>Operational Financing</w:t>
            </w:r>
          </w:p>
        </w:tc>
        <w:tc>
          <w:tcPr>
            <w:tcW w:w="1843" w:type="dxa"/>
            <w:tcBorders>
              <w:top w:val="nil"/>
              <w:left w:val="single" w:sz="4" w:space="0" w:color="auto"/>
              <w:bottom w:val="nil"/>
              <w:right w:val="single" w:sz="4" w:space="0" w:color="auto"/>
            </w:tcBorders>
            <w:shd w:val="clear" w:color="auto" w:fill="auto"/>
            <w:noWrap/>
            <w:vAlign w:val="center"/>
            <w:hideMark/>
          </w:tcPr>
          <w:p w14:paraId="5B072FD6"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53,731</w:t>
            </w:r>
          </w:p>
        </w:tc>
        <w:tc>
          <w:tcPr>
            <w:tcW w:w="1985" w:type="dxa"/>
            <w:tcBorders>
              <w:top w:val="nil"/>
              <w:left w:val="nil"/>
              <w:bottom w:val="nil"/>
              <w:right w:val="single" w:sz="4" w:space="0" w:color="auto"/>
            </w:tcBorders>
            <w:shd w:val="clear" w:color="auto" w:fill="auto"/>
            <w:noWrap/>
            <w:vAlign w:val="center"/>
          </w:tcPr>
          <w:p w14:paraId="3DC2FC42"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50,061</w:t>
            </w:r>
          </w:p>
        </w:tc>
        <w:tc>
          <w:tcPr>
            <w:tcW w:w="1813" w:type="dxa"/>
            <w:tcBorders>
              <w:top w:val="nil"/>
              <w:left w:val="nil"/>
              <w:bottom w:val="nil"/>
              <w:right w:val="single" w:sz="4" w:space="0" w:color="auto"/>
            </w:tcBorders>
            <w:shd w:val="clear" w:color="auto" w:fill="auto"/>
            <w:noWrap/>
            <w:vAlign w:val="center"/>
          </w:tcPr>
          <w:p w14:paraId="7C544FCE"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(3,670)</w:t>
            </w:r>
          </w:p>
        </w:tc>
      </w:tr>
      <w:tr w:rsidR="00D15D90" w:rsidRPr="00192EC4" w14:paraId="355AC8C0" w14:textId="77777777" w:rsidTr="00012E0D">
        <w:trPr>
          <w:trHeight w:val="245"/>
        </w:trPr>
        <w:tc>
          <w:tcPr>
            <w:tcW w:w="3397" w:type="dxa"/>
            <w:tcBorders>
              <w:top w:val="nil"/>
              <w:left w:val="single" w:sz="4" w:space="0" w:color="auto"/>
              <w:bottom w:val="nil"/>
              <w:right w:val="nil"/>
            </w:tcBorders>
            <w:shd w:val="clear" w:color="auto" w:fill="auto"/>
            <w:vAlign w:val="center"/>
            <w:hideMark/>
          </w:tcPr>
          <w:p w14:paraId="4C71E660" w14:textId="77777777" w:rsidR="00D15D90" w:rsidRPr="00192EC4" w:rsidRDefault="00D15D90" w:rsidP="00012E0D">
            <w:pPr>
              <w:spacing w:line="360" w:lineRule="auto"/>
              <w:rPr>
                <w:rFonts w:ascii="Arial" w:hAnsi="Arial" w:cs="Arial"/>
                <w:color w:val="000000"/>
                <w:sz w:val="20"/>
                <w:szCs w:val="20"/>
              </w:rPr>
            </w:pPr>
            <w:r w:rsidRPr="00192EC4">
              <w:rPr>
                <w:rFonts w:ascii="Arial" w:hAnsi="Arial" w:cs="Arial"/>
                <w:color w:val="000000"/>
                <w:sz w:val="20"/>
                <w:szCs w:val="20"/>
              </w:rPr>
              <w:t>Office Costs</w:t>
            </w:r>
          </w:p>
        </w:tc>
        <w:tc>
          <w:tcPr>
            <w:tcW w:w="1843" w:type="dxa"/>
            <w:tcBorders>
              <w:top w:val="nil"/>
              <w:left w:val="single" w:sz="4" w:space="0" w:color="auto"/>
              <w:bottom w:val="nil"/>
              <w:right w:val="single" w:sz="4" w:space="0" w:color="auto"/>
            </w:tcBorders>
            <w:shd w:val="clear" w:color="auto" w:fill="auto"/>
            <w:noWrap/>
            <w:vAlign w:val="center"/>
            <w:hideMark/>
          </w:tcPr>
          <w:p w14:paraId="489FC4A5"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7,212</w:t>
            </w:r>
          </w:p>
        </w:tc>
        <w:tc>
          <w:tcPr>
            <w:tcW w:w="1985" w:type="dxa"/>
            <w:tcBorders>
              <w:top w:val="nil"/>
              <w:left w:val="nil"/>
              <w:bottom w:val="nil"/>
              <w:right w:val="single" w:sz="4" w:space="0" w:color="auto"/>
            </w:tcBorders>
            <w:shd w:val="clear" w:color="auto" w:fill="auto"/>
            <w:noWrap/>
            <w:vAlign w:val="center"/>
          </w:tcPr>
          <w:p w14:paraId="3447CAA1"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4,508</w:t>
            </w:r>
          </w:p>
        </w:tc>
        <w:tc>
          <w:tcPr>
            <w:tcW w:w="1813" w:type="dxa"/>
            <w:tcBorders>
              <w:top w:val="nil"/>
              <w:left w:val="nil"/>
              <w:bottom w:val="nil"/>
              <w:right w:val="single" w:sz="4" w:space="0" w:color="auto"/>
            </w:tcBorders>
            <w:shd w:val="clear" w:color="auto" w:fill="auto"/>
            <w:noWrap/>
            <w:vAlign w:val="center"/>
          </w:tcPr>
          <w:p w14:paraId="4135506A"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(2,704)</w:t>
            </w:r>
          </w:p>
        </w:tc>
      </w:tr>
      <w:tr w:rsidR="00D15D90" w:rsidRPr="00192EC4" w14:paraId="49145DC8" w14:textId="77777777" w:rsidTr="00012E0D">
        <w:trPr>
          <w:trHeight w:val="245"/>
        </w:trPr>
        <w:tc>
          <w:tcPr>
            <w:tcW w:w="3397" w:type="dxa"/>
            <w:tcBorders>
              <w:top w:val="nil"/>
              <w:left w:val="single" w:sz="4" w:space="0" w:color="auto"/>
              <w:bottom w:val="single" w:sz="4" w:space="0" w:color="auto"/>
              <w:right w:val="nil"/>
            </w:tcBorders>
            <w:shd w:val="clear" w:color="auto" w:fill="auto"/>
            <w:vAlign w:val="center"/>
            <w:hideMark/>
          </w:tcPr>
          <w:p w14:paraId="76D44A35" w14:textId="77777777" w:rsidR="00D15D90" w:rsidRPr="00192EC4" w:rsidRDefault="00D15D90" w:rsidP="00012E0D">
            <w:pPr>
              <w:spacing w:line="360" w:lineRule="auto"/>
              <w:rPr>
                <w:rFonts w:ascii="Arial" w:hAnsi="Arial" w:cs="Arial"/>
                <w:color w:val="000000"/>
                <w:sz w:val="20"/>
                <w:szCs w:val="20"/>
              </w:rPr>
            </w:pPr>
            <w:r w:rsidRPr="00192EC4">
              <w:rPr>
                <w:rFonts w:ascii="Arial" w:hAnsi="Arial" w:cs="Arial"/>
                <w:color w:val="000000"/>
                <w:sz w:val="20"/>
                <w:szCs w:val="20"/>
              </w:rPr>
              <w:t>Non-Operational Financing</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92FD900"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525</w:t>
            </w:r>
          </w:p>
        </w:tc>
        <w:tc>
          <w:tcPr>
            <w:tcW w:w="1985" w:type="dxa"/>
            <w:tcBorders>
              <w:top w:val="nil"/>
              <w:left w:val="nil"/>
              <w:bottom w:val="single" w:sz="4" w:space="0" w:color="auto"/>
              <w:right w:val="single" w:sz="4" w:space="0" w:color="auto"/>
            </w:tcBorders>
            <w:shd w:val="clear" w:color="auto" w:fill="auto"/>
            <w:noWrap/>
            <w:vAlign w:val="center"/>
          </w:tcPr>
          <w:p w14:paraId="4BA4B7AE"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599</w:t>
            </w:r>
          </w:p>
        </w:tc>
        <w:tc>
          <w:tcPr>
            <w:tcW w:w="1813" w:type="dxa"/>
            <w:tcBorders>
              <w:top w:val="nil"/>
              <w:left w:val="nil"/>
              <w:bottom w:val="single" w:sz="4" w:space="0" w:color="auto"/>
              <w:right w:val="single" w:sz="4" w:space="0" w:color="auto"/>
            </w:tcBorders>
            <w:shd w:val="clear" w:color="auto" w:fill="auto"/>
            <w:noWrap/>
            <w:vAlign w:val="center"/>
          </w:tcPr>
          <w:p w14:paraId="09277085"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74</w:t>
            </w:r>
          </w:p>
        </w:tc>
      </w:tr>
      <w:tr w:rsidR="00D15D90" w:rsidRPr="00192EC4" w14:paraId="542092F8" w14:textId="77777777" w:rsidTr="00012E0D">
        <w:trPr>
          <w:trHeight w:val="245"/>
        </w:trPr>
        <w:tc>
          <w:tcPr>
            <w:tcW w:w="3397" w:type="dxa"/>
            <w:tcBorders>
              <w:top w:val="single" w:sz="4" w:space="0" w:color="auto"/>
              <w:left w:val="single" w:sz="4" w:space="0" w:color="auto"/>
              <w:bottom w:val="single" w:sz="4" w:space="0" w:color="auto"/>
              <w:right w:val="nil"/>
            </w:tcBorders>
            <w:shd w:val="clear" w:color="000000" w:fill="auto"/>
            <w:vAlign w:val="center"/>
            <w:hideMark/>
          </w:tcPr>
          <w:p w14:paraId="2D5E95BA" w14:textId="77777777" w:rsidR="00D15D90" w:rsidRPr="00192EC4" w:rsidRDefault="00D15D90" w:rsidP="00012E0D">
            <w:pPr>
              <w:spacing w:line="360" w:lineRule="auto"/>
              <w:rPr>
                <w:rFonts w:ascii="Arial" w:hAnsi="Arial" w:cs="Arial"/>
                <w:b/>
                <w:bCs/>
                <w:color w:val="000000"/>
                <w:sz w:val="20"/>
                <w:szCs w:val="20"/>
              </w:rPr>
            </w:pPr>
            <w:r w:rsidRPr="00192EC4">
              <w:rPr>
                <w:rFonts w:ascii="Arial" w:hAnsi="Arial" w:cs="Arial"/>
                <w:b/>
                <w:bCs/>
                <w:color w:val="000000"/>
                <w:sz w:val="20"/>
                <w:szCs w:val="20"/>
              </w:rPr>
              <w:t>Total Expenditure</w:t>
            </w:r>
          </w:p>
        </w:tc>
        <w:tc>
          <w:tcPr>
            <w:tcW w:w="1843"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0A2D2C5" w14:textId="77777777" w:rsidR="00D15D90" w:rsidRPr="00192EC4" w:rsidRDefault="00D15D90" w:rsidP="00012E0D">
            <w:pPr>
              <w:spacing w:line="360" w:lineRule="auto"/>
              <w:jc w:val="right"/>
              <w:rPr>
                <w:rFonts w:ascii="Arial" w:hAnsi="Arial" w:cs="Arial"/>
                <w:b/>
                <w:bCs/>
                <w:color w:val="000000"/>
                <w:sz w:val="20"/>
                <w:szCs w:val="20"/>
              </w:rPr>
            </w:pPr>
            <w:r w:rsidRPr="00192EC4">
              <w:rPr>
                <w:rFonts w:ascii="Arial" w:hAnsi="Arial" w:cs="Arial"/>
                <w:b/>
                <w:bCs/>
                <w:color w:val="000000"/>
                <w:sz w:val="20"/>
                <w:szCs w:val="20"/>
              </w:rPr>
              <w:t>1</w:t>
            </w:r>
            <w:r>
              <w:rPr>
                <w:rFonts w:ascii="Arial" w:hAnsi="Arial" w:cs="Arial"/>
                <w:b/>
                <w:bCs/>
                <w:color w:val="000000"/>
                <w:sz w:val="20"/>
                <w:szCs w:val="20"/>
              </w:rPr>
              <w:t>70,023</w:t>
            </w:r>
          </w:p>
        </w:tc>
        <w:tc>
          <w:tcPr>
            <w:tcW w:w="1985" w:type="dxa"/>
            <w:tcBorders>
              <w:top w:val="single" w:sz="4" w:space="0" w:color="auto"/>
              <w:left w:val="nil"/>
              <w:bottom w:val="single" w:sz="4" w:space="0" w:color="auto"/>
              <w:right w:val="single" w:sz="4" w:space="0" w:color="auto"/>
            </w:tcBorders>
            <w:shd w:val="clear" w:color="000000" w:fill="auto"/>
            <w:noWrap/>
            <w:vAlign w:val="center"/>
          </w:tcPr>
          <w:p w14:paraId="217C8D03" w14:textId="77777777" w:rsidR="00D15D90" w:rsidRPr="00192EC4" w:rsidRDefault="00D15D90" w:rsidP="00012E0D">
            <w:pPr>
              <w:spacing w:line="360" w:lineRule="auto"/>
              <w:jc w:val="right"/>
              <w:rPr>
                <w:rFonts w:ascii="Arial" w:hAnsi="Arial" w:cs="Arial"/>
                <w:b/>
                <w:bCs/>
                <w:color w:val="000000"/>
                <w:sz w:val="20"/>
                <w:szCs w:val="20"/>
              </w:rPr>
            </w:pPr>
            <w:r>
              <w:rPr>
                <w:rFonts w:ascii="Arial" w:hAnsi="Arial" w:cs="Arial"/>
                <w:b/>
                <w:bCs/>
                <w:color w:val="000000"/>
                <w:sz w:val="20"/>
                <w:szCs w:val="20"/>
              </w:rPr>
              <w:t>149,719</w:t>
            </w:r>
          </w:p>
        </w:tc>
        <w:tc>
          <w:tcPr>
            <w:tcW w:w="1813" w:type="dxa"/>
            <w:tcBorders>
              <w:top w:val="single" w:sz="4" w:space="0" w:color="auto"/>
              <w:left w:val="nil"/>
              <w:bottom w:val="single" w:sz="4" w:space="0" w:color="auto"/>
              <w:right w:val="single" w:sz="4" w:space="0" w:color="auto"/>
            </w:tcBorders>
            <w:shd w:val="clear" w:color="000000" w:fill="auto"/>
            <w:noWrap/>
            <w:vAlign w:val="center"/>
          </w:tcPr>
          <w:p w14:paraId="423A5D78" w14:textId="77777777" w:rsidR="00D15D90" w:rsidRPr="00192EC4" w:rsidRDefault="00D15D90" w:rsidP="00012E0D">
            <w:pPr>
              <w:spacing w:line="360" w:lineRule="auto"/>
              <w:jc w:val="right"/>
              <w:rPr>
                <w:rFonts w:ascii="Arial" w:hAnsi="Arial" w:cs="Arial"/>
                <w:b/>
                <w:bCs/>
                <w:color w:val="000000"/>
                <w:sz w:val="20"/>
                <w:szCs w:val="20"/>
              </w:rPr>
            </w:pPr>
            <w:r>
              <w:rPr>
                <w:rFonts w:ascii="Arial" w:hAnsi="Arial" w:cs="Arial"/>
                <w:b/>
                <w:bCs/>
                <w:color w:val="000000"/>
                <w:sz w:val="20"/>
                <w:szCs w:val="20"/>
              </w:rPr>
              <w:t>(20,304)</w:t>
            </w:r>
          </w:p>
        </w:tc>
      </w:tr>
      <w:tr w:rsidR="00D15D90" w:rsidRPr="00192EC4" w14:paraId="4EF9B509" w14:textId="77777777" w:rsidTr="00012E0D">
        <w:trPr>
          <w:trHeight w:val="245"/>
        </w:trPr>
        <w:tc>
          <w:tcPr>
            <w:tcW w:w="3397" w:type="dxa"/>
            <w:tcBorders>
              <w:top w:val="nil"/>
              <w:left w:val="single" w:sz="4" w:space="0" w:color="auto"/>
              <w:bottom w:val="nil"/>
              <w:right w:val="nil"/>
            </w:tcBorders>
            <w:shd w:val="clear" w:color="auto" w:fill="auto"/>
            <w:noWrap/>
            <w:vAlign w:val="center"/>
            <w:hideMark/>
          </w:tcPr>
          <w:p w14:paraId="00B30DC9" w14:textId="77777777" w:rsidR="00D15D90" w:rsidRPr="00192EC4" w:rsidRDefault="00D15D90" w:rsidP="00012E0D">
            <w:pPr>
              <w:spacing w:line="360" w:lineRule="auto"/>
              <w:rPr>
                <w:rFonts w:ascii="Arial" w:hAnsi="Arial" w:cs="Arial"/>
                <w:sz w:val="20"/>
                <w:szCs w:val="20"/>
              </w:rPr>
            </w:pPr>
            <w:r w:rsidRPr="00192EC4">
              <w:rPr>
                <w:rFonts w:ascii="Arial" w:hAnsi="Arial" w:cs="Arial"/>
                <w:sz w:val="20"/>
                <w:szCs w:val="20"/>
              </w:rPr>
              <w:t>Levy Adjustment</w:t>
            </w:r>
          </w:p>
        </w:tc>
        <w:tc>
          <w:tcPr>
            <w:tcW w:w="1843" w:type="dxa"/>
            <w:tcBorders>
              <w:top w:val="nil"/>
              <w:left w:val="single" w:sz="4" w:space="0" w:color="auto"/>
              <w:bottom w:val="nil"/>
              <w:right w:val="single" w:sz="4" w:space="0" w:color="auto"/>
            </w:tcBorders>
            <w:shd w:val="clear" w:color="auto" w:fill="auto"/>
            <w:noWrap/>
            <w:vAlign w:val="center"/>
            <w:hideMark/>
          </w:tcPr>
          <w:p w14:paraId="70249BC1" w14:textId="77777777" w:rsidR="00D15D90" w:rsidRPr="00192EC4" w:rsidRDefault="00D15D90" w:rsidP="00012E0D">
            <w:pPr>
              <w:spacing w:line="360" w:lineRule="auto"/>
              <w:jc w:val="right"/>
              <w:rPr>
                <w:rFonts w:ascii="Arial" w:hAnsi="Arial" w:cs="Arial"/>
                <w:color w:val="000000"/>
                <w:sz w:val="20"/>
                <w:szCs w:val="20"/>
              </w:rPr>
            </w:pPr>
            <w:r w:rsidRPr="00192EC4">
              <w:rPr>
                <w:rFonts w:ascii="Arial" w:hAnsi="Arial" w:cs="Arial"/>
                <w:color w:val="000000"/>
                <w:sz w:val="20"/>
                <w:szCs w:val="20"/>
              </w:rPr>
              <w:t>0</w:t>
            </w:r>
          </w:p>
        </w:tc>
        <w:tc>
          <w:tcPr>
            <w:tcW w:w="1985" w:type="dxa"/>
            <w:tcBorders>
              <w:top w:val="nil"/>
              <w:left w:val="nil"/>
              <w:bottom w:val="nil"/>
              <w:right w:val="single" w:sz="4" w:space="0" w:color="auto"/>
            </w:tcBorders>
            <w:shd w:val="clear" w:color="auto" w:fill="auto"/>
            <w:noWrap/>
            <w:vAlign w:val="center"/>
          </w:tcPr>
          <w:p w14:paraId="47781CBF"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1,023</w:t>
            </w:r>
          </w:p>
        </w:tc>
        <w:tc>
          <w:tcPr>
            <w:tcW w:w="1813" w:type="dxa"/>
            <w:tcBorders>
              <w:top w:val="nil"/>
              <w:left w:val="nil"/>
              <w:bottom w:val="nil"/>
              <w:right w:val="single" w:sz="4" w:space="0" w:color="auto"/>
            </w:tcBorders>
            <w:shd w:val="clear" w:color="auto" w:fill="auto"/>
            <w:noWrap/>
            <w:vAlign w:val="center"/>
          </w:tcPr>
          <w:p w14:paraId="65F3A479"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1,023</w:t>
            </w:r>
          </w:p>
        </w:tc>
      </w:tr>
      <w:tr w:rsidR="00D15D90" w:rsidRPr="00192EC4" w14:paraId="5732A93C" w14:textId="77777777" w:rsidTr="00012E0D">
        <w:trPr>
          <w:trHeight w:val="245"/>
        </w:trPr>
        <w:tc>
          <w:tcPr>
            <w:tcW w:w="3397" w:type="dxa"/>
            <w:tcBorders>
              <w:top w:val="nil"/>
              <w:left w:val="single" w:sz="4" w:space="0" w:color="auto"/>
              <w:bottom w:val="nil"/>
              <w:right w:val="nil"/>
            </w:tcBorders>
            <w:shd w:val="clear" w:color="auto" w:fill="auto"/>
            <w:noWrap/>
            <w:vAlign w:val="center"/>
            <w:hideMark/>
          </w:tcPr>
          <w:p w14:paraId="5CA2F681" w14:textId="77777777" w:rsidR="00D15D90" w:rsidRPr="00192EC4" w:rsidRDefault="00D15D90" w:rsidP="00012E0D">
            <w:pPr>
              <w:spacing w:line="360" w:lineRule="auto"/>
              <w:rPr>
                <w:rFonts w:ascii="Arial" w:hAnsi="Arial" w:cs="Arial"/>
                <w:sz w:val="20"/>
                <w:szCs w:val="20"/>
              </w:rPr>
            </w:pPr>
            <w:r w:rsidRPr="00192EC4">
              <w:rPr>
                <w:rFonts w:ascii="Arial" w:hAnsi="Arial" w:cs="Arial"/>
                <w:sz w:val="20"/>
                <w:szCs w:val="20"/>
              </w:rPr>
              <w:t xml:space="preserve">Return to constituent authorities </w:t>
            </w:r>
          </w:p>
        </w:tc>
        <w:tc>
          <w:tcPr>
            <w:tcW w:w="1843" w:type="dxa"/>
            <w:tcBorders>
              <w:top w:val="nil"/>
              <w:left w:val="single" w:sz="4" w:space="0" w:color="auto"/>
              <w:bottom w:val="nil"/>
              <w:right w:val="single" w:sz="4" w:space="0" w:color="auto"/>
            </w:tcBorders>
            <w:shd w:val="clear" w:color="auto" w:fill="auto"/>
            <w:noWrap/>
            <w:vAlign w:val="center"/>
            <w:hideMark/>
          </w:tcPr>
          <w:p w14:paraId="72D7A3B4" w14:textId="77777777" w:rsidR="00D15D90" w:rsidRPr="00192EC4" w:rsidRDefault="00D15D90" w:rsidP="00012E0D">
            <w:pPr>
              <w:spacing w:line="360" w:lineRule="auto"/>
              <w:jc w:val="right"/>
              <w:rPr>
                <w:rFonts w:ascii="Arial" w:hAnsi="Arial" w:cs="Arial"/>
                <w:color w:val="000000"/>
                <w:sz w:val="20"/>
                <w:szCs w:val="20"/>
              </w:rPr>
            </w:pPr>
            <w:r w:rsidRPr="00192EC4">
              <w:rPr>
                <w:rFonts w:ascii="Arial" w:hAnsi="Arial" w:cs="Arial"/>
                <w:color w:val="000000"/>
                <w:sz w:val="20"/>
                <w:szCs w:val="20"/>
              </w:rPr>
              <w:t>0</w:t>
            </w:r>
          </w:p>
        </w:tc>
        <w:tc>
          <w:tcPr>
            <w:tcW w:w="1985" w:type="dxa"/>
            <w:tcBorders>
              <w:top w:val="nil"/>
              <w:left w:val="nil"/>
              <w:bottom w:val="nil"/>
              <w:right w:val="single" w:sz="4" w:space="0" w:color="auto"/>
            </w:tcBorders>
            <w:shd w:val="clear" w:color="auto" w:fill="auto"/>
            <w:noWrap/>
            <w:vAlign w:val="center"/>
          </w:tcPr>
          <w:p w14:paraId="55B01F5C"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37,000</w:t>
            </w:r>
          </w:p>
        </w:tc>
        <w:tc>
          <w:tcPr>
            <w:tcW w:w="1813" w:type="dxa"/>
            <w:tcBorders>
              <w:top w:val="nil"/>
              <w:left w:val="nil"/>
              <w:bottom w:val="nil"/>
              <w:right w:val="single" w:sz="4" w:space="0" w:color="auto"/>
            </w:tcBorders>
            <w:shd w:val="clear" w:color="auto" w:fill="auto"/>
            <w:noWrap/>
            <w:vAlign w:val="center"/>
          </w:tcPr>
          <w:p w14:paraId="60AFE6B5"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37,000</w:t>
            </w:r>
          </w:p>
        </w:tc>
      </w:tr>
      <w:tr w:rsidR="00D15D90" w:rsidRPr="00192EC4" w14:paraId="6F6275B6" w14:textId="77777777" w:rsidTr="00012E0D">
        <w:trPr>
          <w:trHeight w:val="245"/>
        </w:trPr>
        <w:tc>
          <w:tcPr>
            <w:tcW w:w="3397" w:type="dxa"/>
            <w:tcBorders>
              <w:top w:val="nil"/>
              <w:left w:val="single" w:sz="4" w:space="0" w:color="auto"/>
              <w:bottom w:val="single" w:sz="4" w:space="0" w:color="auto"/>
              <w:right w:val="nil"/>
            </w:tcBorders>
            <w:shd w:val="clear" w:color="auto" w:fill="auto"/>
            <w:vAlign w:val="center"/>
            <w:hideMark/>
          </w:tcPr>
          <w:p w14:paraId="4D9349D3" w14:textId="77777777" w:rsidR="00D15D90" w:rsidRPr="00192EC4" w:rsidRDefault="00D15D90" w:rsidP="00012E0D">
            <w:pPr>
              <w:spacing w:line="360" w:lineRule="auto"/>
              <w:rPr>
                <w:rFonts w:ascii="Arial" w:hAnsi="Arial" w:cs="Arial"/>
                <w:color w:val="000000"/>
                <w:sz w:val="20"/>
                <w:szCs w:val="20"/>
              </w:rPr>
            </w:pPr>
            <w:r w:rsidRPr="00192EC4">
              <w:rPr>
                <w:rFonts w:ascii="Arial" w:hAnsi="Arial" w:cs="Arial"/>
                <w:color w:val="000000"/>
                <w:sz w:val="20"/>
                <w:szCs w:val="20"/>
              </w:rPr>
              <w:t>Transfer (from)/to reserves</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683F421"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(1,000)</w:t>
            </w:r>
          </w:p>
        </w:tc>
        <w:tc>
          <w:tcPr>
            <w:tcW w:w="1985" w:type="dxa"/>
            <w:tcBorders>
              <w:top w:val="nil"/>
              <w:left w:val="nil"/>
              <w:bottom w:val="single" w:sz="4" w:space="0" w:color="auto"/>
              <w:right w:val="single" w:sz="4" w:space="0" w:color="auto"/>
            </w:tcBorders>
            <w:shd w:val="clear" w:color="auto" w:fill="auto"/>
            <w:noWrap/>
            <w:vAlign w:val="center"/>
          </w:tcPr>
          <w:p w14:paraId="2F394C9D"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(18,719)</w:t>
            </w:r>
          </w:p>
        </w:tc>
        <w:tc>
          <w:tcPr>
            <w:tcW w:w="1813" w:type="dxa"/>
            <w:tcBorders>
              <w:top w:val="nil"/>
              <w:left w:val="nil"/>
              <w:bottom w:val="single" w:sz="4" w:space="0" w:color="auto"/>
              <w:right w:val="single" w:sz="4" w:space="0" w:color="auto"/>
            </w:tcBorders>
            <w:shd w:val="clear" w:color="auto" w:fill="auto"/>
            <w:noWrap/>
            <w:vAlign w:val="center"/>
          </w:tcPr>
          <w:p w14:paraId="443CE678"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(17,719)</w:t>
            </w:r>
          </w:p>
        </w:tc>
      </w:tr>
      <w:tr w:rsidR="00D15D90" w:rsidRPr="00192EC4" w14:paraId="08F9EC59" w14:textId="77777777" w:rsidTr="00012E0D">
        <w:trPr>
          <w:trHeight w:val="245"/>
        </w:trPr>
        <w:tc>
          <w:tcPr>
            <w:tcW w:w="3397" w:type="dxa"/>
            <w:tcBorders>
              <w:top w:val="single" w:sz="4" w:space="0" w:color="auto"/>
              <w:left w:val="single" w:sz="4" w:space="0" w:color="auto"/>
              <w:bottom w:val="single" w:sz="4" w:space="0" w:color="auto"/>
              <w:right w:val="nil"/>
            </w:tcBorders>
            <w:shd w:val="clear" w:color="000000" w:fill="auto"/>
            <w:vAlign w:val="center"/>
            <w:hideMark/>
          </w:tcPr>
          <w:p w14:paraId="2F4ACB71" w14:textId="77777777" w:rsidR="00D15D90" w:rsidRPr="00192EC4" w:rsidRDefault="00D15D90" w:rsidP="00012E0D">
            <w:pPr>
              <w:spacing w:line="360" w:lineRule="auto"/>
              <w:rPr>
                <w:rFonts w:ascii="Arial" w:hAnsi="Arial" w:cs="Arial"/>
                <w:b/>
                <w:bCs/>
                <w:color w:val="000000"/>
                <w:sz w:val="20"/>
                <w:szCs w:val="20"/>
              </w:rPr>
            </w:pPr>
            <w:r>
              <w:rPr>
                <w:rFonts w:ascii="Arial" w:hAnsi="Arial" w:cs="Arial"/>
                <w:b/>
                <w:bCs/>
                <w:color w:val="000000"/>
                <w:sz w:val="20"/>
                <w:szCs w:val="20"/>
              </w:rPr>
              <w:t>Total Funding (Levy)</w:t>
            </w:r>
          </w:p>
        </w:tc>
        <w:tc>
          <w:tcPr>
            <w:tcW w:w="1843"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36B7F7F" w14:textId="77777777" w:rsidR="00D15D90" w:rsidRPr="00192EC4" w:rsidRDefault="00D15D90" w:rsidP="00012E0D">
            <w:pPr>
              <w:spacing w:line="360" w:lineRule="auto"/>
              <w:jc w:val="right"/>
              <w:rPr>
                <w:rFonts w:ascii="Arial" w:hAnsi="Arial" w:cs="Arial"/>
                <w:b/>
                <w:bCs/>
                <w:color w:val="000000"/>
                <w:sz w:val="20"/>
                <w:szCs w:val="20"/>
              </w:rPr>
            </w:pPr>
            <w:r w:rsidRPr="00192EC4">
              <w:rPr>
                <w:rFonts w:ascii="Arial" w:hAnsi="Arial" w:cs="Arial"/>
                <w:b/>
                <w:bCs/>
                <w:color w:val="000000"/>
                <w:sz w:val="20"/>
                <w:szCs w:val="20"/>
              </w:rPr>
              <w:t>16</w:t>
            </w:r>
            <w:r>
              <w:rPr>
                <w:rFonts w:ascii="Arial" w:hAnsi="Arial" w:cs="Arial"/>
                <w:b/>
                <w:bCs/>
                <w:color w:val="000000"/>
                <w:sz w:val="20"/>
                <w:szCs w:val="20"/>
              </w:rPr>
              <w:t>9,023</w:t>
            </w:r>
          </w:p>
        </w:tc>
        <w:tc>
          <w:tcPr>
            <w:tcW w:w="1985" w:type="dxa"/>
            <w:tcBorders>
              <w:top w:val="single" w:sz="4" w:space="0" w:color="auto"/>
              <w:left w:val="nil"/>
              <w:bottom w:val="single" w:sz="4" w:space="0" w:color="auto"/>
              <w:right w:val="single" w:sz="4" w:space="0" w:color="auto"/>
            </w:tcBorders>
            <w:shd w:val="clear" w:color="000000" w:fill="auto"/>
            <w:noWrap/>
            <w:vAlign w:val="center"/>
          </w:tcPr>
          <w:p w14:paraId="2E0715FC" w14:textId="77777777" w:rsidR="00D15D90" w:rsidRPr="00192EC4" w:rsidRDefault="00D15D90" w:rsidP="00012E0D">
            <w:pPr>
              <w:spacing w:line="360" w:lineRule="auto"/>
              <w:jc w:val="right"/>
              <w:rPr>
                <w:rFonts w:ascii="Arial" w:hAnsi="Arial" w:cs="Arial"/>
                <w:b/>
                <w:bCs/>
                <w:color w:val="000000"/>
                <w:sz w:val="20"/>
                <w:szCs w:val="20"/>
              </w:rPr>
            </w:pPr>
            <w:r>
              <w:rPr>
                <w:rFonts w:ascii="Arial" w:hAnsi="Arial" w:cs="Arial"/>
                <w:b/>
                <w:bCs/>
                <w:color w:val="000000"/>
                <w:sz w:val="20"/>
                <w:szCs w:val="20"/>
              </w:rPr>
              <w:t>169,023</w:t>
            </w:r>
          </w:p>
        </w:tc>
        <w:tc>
          <w:tcPr>
            <w:tcW w:w="1813" w:type="dxa"/>
            <w:tcBorders>
              <w:top w:val="single" w:sz="4" w:space="0" w:color="auto"/>
              <w:left w:val="nil"/>
              <w:bottom w:val="single" w:sz="4" w:space="0" w:color="auto"/>
              <w:right w:val="single" w:sz="4" w:space="0" w:color="auto"/>
            </w:tcBorders>
            <w:shd w:val="clear" w:color="000000" w:fill="auto"/>
            <w:noWrap/>
            <w:vAlign w:val="center"/>
          </w:tcPr>
          <w:p w14:paraId="60E33F22" w14:textId="77777777" w:rsidR="00D15D90" w:rsidRPr="00192EC4" w:rsidRDefault="00D15D90" w:rsidP="00012E0D">
            <w:pPr>
              <w:spacing w:line="360" w:lineRule="auto"/>
              <w:jc w:val="right"/>
              <w:rPr>
                <w:rFonts w:ascii="Arial" w:hAnsi="Arial" w:cs="Arial"/>
                <w:b/>
                <w:bCs/>
                <w:color w:val="000000"/>
                <w:sz w:val="20"/>
                <w:szCs w:val="20"/>
              </w:rPr>
            </w:pPr>
            <w:r>
              <w:rPr>
                <w:rFonts w:ascii="Arial" w:hAnsi="Arial" w:cs="Arial"/>
                <w:b/>
                <w:bCs/>
                <w:color w:val="000000"/>
                <w:sz w:val="20"/>
                <w:szCs w:val="20"/>
              </w:rPr>
              <w:t>0</w:t>
            </w:r>
          </w:p>
        </w:tc>
      </w:tr>
    </w:tbl>
    <w:p w14:paraId="76ECC282" w14:textId="77777777" w:rsidR="00D15D90" w:rsidRPr="00192EC4" w:rsidRDefault="00D15D90" w:rsidP="00D15D90">
      <w:pPr>
        <w:spacing w:line="360" w:lineRule="auto"/>
        <w:rPr>
          <w:rFonts w:ascii="Arial" w:hAnsi="Arial" w:cs="Arial"/>
          <w:bCs/>
        </w:rPr>
      </w:pPr>
    </w:p>
    <w:p w14:paraId="73EEED8F" w14:textId="77777777" w:rsidR="00D15D90" w:rsidRPr="00540AFF" w:rsidRDefault="00D15D90" w:rsidP="00D15D90">
      <w:pPr>
        <w:spacing w:line="360" w:lineRule="auto"/>
        <w:rPr>
          <w:rFonts w:ascii="Arial" w:hAnsi="Arial" w:cs="Arial"/>
          <w:bCs/>
        </w:rPr>
      </w:pPr>
      <w:r w:rsidRPr="00DB1BB3">
        <w:rPr>
          <w:rFonts w:ascii="Arial" w:hAnsi="Arial" w:cs="Arial"/>
          <w:bCs/>
        </w:rPr>
        <w:t>The HWRC tonnages have also continued to be difficult to predict following the pandemic, as well as being impacted by the success of the implementation of the van permit policy which has been highly successful in driving illegal trade waste out of the sites.</w:t>
      </w:r>
      <w:r w:rsidRPr="00192EC4">
        <w:rPr>
          <w:rFonts w:ascii="Arial" w:hAnsi="Arial" w:cs="Arial"/>
          <w:bCs/>
        </w:rPr>
        <w:t xml:space="preserve"> The revenue outturn for </w:t>
      </w:r>
      <w:r>
        <w:rPr>
          <w:rFonts w:ascii="Arial" w:hAnsi="Arial" w:cs="Arial"/>
          <w:bCs/>
        </w:rPr>
        <w:t>2023/24</w:t>
      </w:r>
      <w:r w:rsidRPr="00192EC4">
        <w:rPr>
          <w:rFonts w:ascii="Arial" w:hAnsi="Arial" w:cs="Arial"/>
          <w:bCs/>
        </w:rPr>
        <w:t xml:space="preserve"> </w:t>
      </w:r>
      <w:r>
        <w:rPr>
          <w:rFonts w:ascii="Arial" w:hAnsi="Arial" w:cs="Arial"/>
          <w:bCs/>
        </w:rPr>
        <w:t>shows an underspend of £20.3m and is</w:t>
      </w:r>
      <w:r w:rsidRPr="00540AFF">
        <w:rPr>
          <w:rFonts w:ascii="Arial" w:hAnsi="Arial" w:cs="Arial"/>
          <w:bCs/>
        </w:rPr>
        <w:t xml:space="preserve"> made up of: </w:t>
      </w:r>
    </w:p>
    <w:p w14:paraId="301C7C5D" w14:textId="77777777" w:rsidR="00D15D90" w:rsidRPr="007F0153" w:rsidRDefault="00D15D90" w:rsidP="00D15D90">
      <w:pPr>
        <w:spacing w:line="360" w:lineRule="auto"/>
        <w:rPr>
          <w:rFonts w:ascii="Arial" w:hAnsi="Arial" w:cs="Arial"/>
          <w:bCs/>
          <w:highlight w:val="yellow"/>
          <w:lang w:eastAsia="en-GB"/>
        </w:rPr>
      </w:pPr>
    </w:p>
    <w:p w14:paraId="4FDBC789" w14:textId="77777777" w:rsidR="00D15D90" w:rsidRPr="008D4889"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8D4889">
        <w:rPr>
          <w:rFonts w:ascii="Arial" w:eastAsia="Calibri" w:hAnsi="Arial" w:cs="Arial"/>
          <w:sz w:val="24"/>
          <w:szCs w:val="24"/>
        </w:rPr>
        <w:t>Residual Value Contract overspend of £1.8m from a lower than budgeted share of third party income derived from electricity and steam generation.</w:t>
      </w:r>
    </w:p>
    <w:p w14:paraId="3D82C51C" w14:textId="77777777" w:rsidR="00D15D90" w:rsidRPr="008D4889"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8D4889">
        <w:rPr>
          <w:rFonts w:ascii="Arial" w:eastAsia="Calibri" w:hAnsi="Arial" w:cs="Arial"/>
          <w:sz w:val="24"/>
          <w:szCs w:val="24"/>
        </w:rPr>
        <w:lastRenderedPageBreak/>
        <w:t>Waste and Resources Management Services (WRMS) contract underspend of £12.7m due to an increase in income from the sale of recyclates, savings in expenditure on residual waste treatment and landfill due to lower tonnages of residual waste, and savings on processing of commingled waste due to lower than budget tonnages.</w:t>
      </w:r>
    </w:p>
    <w:p w14:paraId="5CD0A40D" w14:textId="77777777" w:rsidR="00D15D90" w:rsidRPr="008D4889"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8D4889">
        <w:rPr>
          <w:rFonts w:ascii="Arial" w:eastAsia="Calibri" w:hAnsi="Arial" w:cs="Arial"/>
          <w:sz w:val="24"/>
          <w:szCs w:val="24"/>
        </w:rPr>
        <w:t>Household Waste Recycling Centre Management Services (HWRCMS) contract underspend of £2.1m due to lower than budgeted residual waste treatment costs due to lower than budgeted tonnages.</w:t>
      </w:r>
    </w:p>
    <w:p w14:paraId="4B32819B" w14:textId="77777777" w:rsidR="00D15D90" w:rsidRPr="008D4889"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8D4889">
        <w:rPr>
          <w:rFonts w:ascii="Arial" w:eastAsia="Calibri" w:hAnsi="Arial" w:cs="Arial"/>
          <w:sz w:val="24"/>
          <w:szCs w:val="24"/>
        </w:rPr>
        <w:t>Biowaste Contracts underspend of £0.6m due to savings resulting from lower than budgeted tonnages.</w:t>
      </w:r>
    </w:p>
    <w:p w14:paraId="6BA2ECF3" w14:textId="77777777" w:rsidR="00D15D90" w:rsidRPr="008D4889"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8D4889">
        <w:rPr>
          <w:rFonts w:ascii="Arial" w:hAnsi="Arial" w:cs="Arial"/>
          <w:bCs/>
          <w:sz w:val="24"/>
          <w:szCs w:val="24"/>
        </w:rPr>
        <w:t>Operational financing underspend of £3.7m from lower than anticipated interest charges and some savings on Minimum Revenue Provision (MRP) costs due to capital projects being completed later than anticipated.</w:t>
      </w:r>
    </w:p>
    <w:p w14:paraId="646917B8" w14:textId="77777777" w:rsidR="00D15D90" w:rsidRPr="008D4889"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8D4889">
        <w:rPr>
          <w:rFonts w:ascii="Arial" w:eastAsia="Calibri" w:hAnsi="Arial" w:cs="Arial"/>
          <w:sz w:val="24"/>
          <w:szCs w:val="24"/>
        </w:rPr>
        <w:t xml:space="preserve">Office cost underspend of £2.7m relates to consultancy fees due to works on Waste Compositional Analysis being reprofiled into 2024/25, spend on central recharges from wider GMCA functions was slightly lower and employee costs was slightly less than budget due to vacancy gaps between starters and leavers. </w:t>
      </w:r>
    </w:p>
    <w:p w14:paraId="2EBFC7FC" w14:textId="77777777" w:rsidR="00D15D90" w:rsidRPr="007F0153" w:rsidRDefault="00D15D90" w:rsidP="00D15D90">
      <w:pPr>
        <w:spacing w:line="360" w:lineRule="auto"/>
        <w:contextualSpacing/>
        <w:rPr>
          <w:rFonts w:ascii="Arial" w:eastAsia="Calibri" w:hAnsi="Arial" w:cs="Arial"/>
          <w:highlight w:val="yellow"/>
        </w:rPr>
      </w:pPr>
    </w:p>
    <w:p w14:paraId="0E67D5BB" w14:textId="77777777" w:rsidR="00D15D90" w:rsidRPr="00192EC4" w:rsidRDefault="00D15D90" w:rsidP="00D15D90">
      <w:pPr>
        <w:spacing w:line="360" w:lineRule="auto"/>
        <w:contextualSpacing/>
        <w:rPr>
          <w:rFonts w:ascii="Arial" w:hAnsi="Arial" w:cs="Arial"/>
          <w:bCs/>
          <w:lang w:eastAsia="en-GB"/>
        </w:rPr>
      </w:pPr>
      <w:r w:rsidRPr="00BB7BC2">
        <w:rPr>
          <w:rFonts w:ascii="Arial" w:eastAsia="Calibri" w:hAnsi="Arial" w:cs="Arial"/>
        </w:rPr>
        <w:t xml:space="preserve">At the February 2023 meeting the GMCA approved a return of £27m to the nine Greater Manchester local authorities from an underspend in 2022/23. This </w:t>
      </w:r>
      <w:r>
        <w:rPr>
          <w:rFonts w:ascii="Arial" w:eastAsia="Calibri" w:hAnsi="Arial" w:cs="Arial"/>
        </w:rPr>
        <w:t>return happened</w:t>
      </w:r>
      <w:r w:rsidRPr="00BB7BC2">
        <w:rPr>
          <w:rFonts w:ascii="Arial" w:eastAsia="Calibri" w:hAnsi="Arial" w:cs="Arial"/>
        </w:rPr>
        <w:t xml:space="preserve"> in 2023/24. A further </w:t>
      </w:r>
      <w:r w:rsidRPr="00BB7BC2">
        <w:rPr>
          <w:rFonts w:ascii="Arial" w:hAnsi="Arial" w:cs="Arial"/>
          <w:bCs/>
          <w:lang w:eastAsia="en-GB"/>
        </w:rPr>
        <w:t xml:space="preserve">return of £10m to the nine Greater Manchester local authorities was approved by GMCA </w:t>
      </w:r>
      <w:r w:rsidRPr="00DE5D3D">
        <w:rPr>
          <w:rFonts w:ascii="Arial" w:hAnsi="Arial" w:cs="Arial"/>
          <w:bCs/>
          <w:lang w:eastAsia="en-GB"/>
        </w:rPr>
        <w:t>in February 2024</w:t>
      </w:r>
      <w:r w:rsidRPr="00E367D3">
        <w:rPr>
          <w:rFonts w:ascii="Arial" w:hAnsi="Arial" w:cs="Arial"/>
          <w:bCs/>
          <w:lang w:eastAsia="en-GB"/>
        </w:rPr>
        <w:t xml:space="preserve">, </w:t>
      </w:r>
      <w:r w:rsidRPr="00E367D3">
        <w:rPr>
          <w:rFonts w:ascii="Arial" w:eastAsia="Calibri" w:hAnsi="Arial" w:cs="Arial"/>
        </w:rPr>
        <w:t xml:space="preserve">a levy adjustment which reflects the changes in tonnages being delivered by local authorities and a transfer from reserves of the remaining £18.7m. </w:t>
      </w:r>
      <w:r w:rsidRPr="00013292">
        <w:rPr>
          <w:rFonts w:ascii="Arial" w:eastAsia="Calibri" w:hAnsi="Arial" w:cs="Arial"/>
        </w:rPr>
        <w:t xml:space="preserve">In February 2024 </w:t>
      </w:r>
      <w:r w:rsidRPr="00013292">
        <w:rPr>
          <w:rFonts w:ascii="Arial" w:hAnsi="Arial" w:cs="Arial"/>
          <w:bCs/>
          <w:lang w:eastAsia="en-GB"/>
        </w:rPr>
        <w:t xml:space="preserve">GMCA approved </w:t>
      </w:r>
      <w:r>
        <w:rPr>
          <w:rFonts w:ascii="Arial" w:hAnsi="Arial" w:cs="Arial"/>
          <w:bCs/>
          <w:lang w:eastAsia="en-GB"/>
        </w:rPr>
        <w:t xml:space="preserve">a return of </w:t>
      </w:r>
      <w:r w:rsidRPr="00013292">
        <w:rPr>
          <w:rFonts w:ascii="Arial" w:hAnsi="Arial" w:cs="Arial"/>
          <w:bCs/>
          <w:lang w:eastAsia="en-GB"/>
        </w:rPr>
        <w:t>£20m from reserves to reduce the 2024/25 levy.</w:t>
      </w:r>
    </w:p>
    <w:p w14:paraId="407F2FD7" w14:textId="77777777" w:rsidR="00D15D90" w:rsidRPr="00E21AEB" w:rsidRDefault="00D15D90" w:rsidP="00D15D90">
      <w:pPr>
        <w:spacing w:line="360" w:lineRule="auto"/>
        <w:rPr>
          <w:rFonts w:ascii="Arial" w:hAnsi="Arial" w:cs="Arial"/>
          <w:highlight w:val="cyan"/>
        </w:rPr>
      </w:pPr>
    </w:p>
    <w:p w14:paraId="6A5B1AD4" w14:textId="77777777" w:rsidR="00D15D90" w:rsidRPr="005D0373" w:rsidRDefault="00D15D90" w:rsidP="00D15D90">
      <w:pPr>
        <w:pStyle w:val="Heading3"/>
        <w:spacing w:after="160" w:line="360" w:lineRule="auto"/>
        <w:jc w:val="both"/>
        <w:rPr>
          <w:sz w:val="24"/>
          <w:szCs w:val="24"/>
        </w:rPr>
      </w:pPr>
      <w:r w:rsidRPr="005D0373">
        <w:rPr>
          <w:sz w:val="24"/>
          <w:szCs w:val="24"/>
        </w:rPr>
        <w:t>Police and Crime - Safer and Stronger Communities</w:t>
      </w:r>
      <w:bookmarkEnd w:id="25"/>
      <w:r w:rsidRPr="005D0373">
        <w:rPr>
          <w:sz w:val="24"/>
          <w:szCs w:val="24"/>
        </w:rPr>
        <w:t xml:space="preserve"> </w:t>
      </w:r>
    </w:p>
    <w:p w14:paraId="44211B0C" w14:textId="77777777" w:rsidR="00D15D90" w:rsidRPr="005D0373" w:rsidRDefault="00D15D90" w:rsidP="00D15D90">
      <w:pPr>
        <w:pStyle w:val="Normal0"/>
        <w:spacing w:after="160" w:line="360" w:lineRule="auto"/>
        <w:rPr>
          <w:rFonts w:ascii="Arial" w:hAnsi="Arial" w:cs="Arial"/>
          <w:sz w:val="24"/>
          <w:szCs w:val="24"/>
        </w:rPr>
      </w:pPr>
      <w:r w:rsidRPr="005D0373">
        <w:rPr>
          <w:rFonts w:ascii="Arial" w:hAnsi="Arial" w:cs="Arial"/>
          <w:sz w:val="24"/>
          <w:szCs w:val="24"/>
        </w:rPr>
        <w:t xml:space="preserve">The Mayor is responsible for the formal oversight of Greater Manchester Police (GMP), including provision of all funding, budget-setting, performance scrutiny and strategic policy development. The Mayor is also responsible for holding the Chief Constable to account for ensuring GMP is run efficiently and effectively. These responsibilities are carried out by the Mayor alongside Greater Manchester’s Deputy Mayor for Policing, Crime, Criminal Justice and Fire. Operational decision-making on day-to-day policing </w:t>
      </w:r>
      <w:r w:rsidRPr="005D0373">
        <w:rPr>
          <w:rFonts w:ascii="Arial" w:hAnsi="Arial" w:cs="Arial"/>
          <w:sz w:val="24"/>
          <w:szCs w:val="24"/>
        </w:rPr>
        <w:lastRenderedPageBreak/>
        <w:t>matters and the employment of police staff remains the responsibility of the Chief Constable.</w:t>
      </w:r>
    </w:p>
    <w:p w14:paraId="451761A4" w14:textId="77777777" w:rsidR="00D15D90" w:rsidRPr="006A5C2C" w:rsidRDefault="00D15D90" w:rsidP="00D15D90">
      <w:pPr>
        <w:spacing w:line="360" w:lineRule="auto"/>
        <w:rPr>
          <w:rFonts w:ascii="Arial" w:eastAsiaTheme="minorHAnsi" w:hAnsi="Arial" w:cs="Arial"/>
        </w:rPr>
      </w:pPr>
      <w:r w:rsidRPr="006A5C2C">
        <w:rPr>
          <w:rFonts w:ascii="Arial" w:eastAsiaTheme="minorHAnsi" w:hAnsi="Arial" w:cs="Arial"/>
        </w:rPr>
        <w:t xml:space="preserve">There have been significant improvements in the performance of Greater Manchester Police (GMP) in 2023/24 with support from the Mayor, the Deputy Mayor, and the police precept. The Chief Constable has brought about significant improvements in policing. This has been evidenced in GMP’s recent inspection by His Majesty’s Inspectorate for Police and Fire (HMICFRS), which demonstrates that GMP is now the most improved police force in the country. But, whilst this progress is welcome, there remains much more to do. </w:t>
      </w:r>
    </w:p>
    <w:p w14:paraId="2D09B8F4" w14:textId="77777777" w:rsidR="00D15D90" w:rsidRPr="006A5C2C"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6A5C2C">
        <w:rPr>
          <w:rFonts w:ascii="Arial" w:eastAsia="Calibri" w:hAnsi="Arial" w:cs="Arial"/>
          <w:sz w:val="24"/>
          <w:szCs w:val="24"/>
        </w:rPr>
        <w:t xml:space="preserve">Improved 999 and 101 call answering times. GMP are now 4th out of 43 police forces nationally for speed of answer for 999 calls – answering 999 calls in an average of just 4 seconds last month. </w:t>
      </w:r>
    </w:p>
    <w:p w14:paraId="69094374" w14:textId="77777777" w:rsidR="00D15D90" w:rsidRPr="006A5C2C"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6A5C2C">
        <w:rPr>
          <w:rFonts w:ascii="Arial" w:eastAsia="Calibri" w:hAnsi="Arial" w:cs="Arial"/>
          <w:sz w:val="24"/>
          <w:szCs w:val="24"/>
        </w:rPr>
        <w:t xml:space="preserve">Increased resources to front line policing resulting in GMP responding to 86% of emergency (Grade 1) incidents within the national target of 15 minutes, compared to 79% last year. </w:t>
      </w:r>
    </w:p>
    <w:p w14:paraId="236D98AD" w14:textId="77777777" w:rsidR="00D15D90" w:rsidRPr="006A5C2C"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6A5C2C">
        <w:rPr>
          <w:rFonts w:ascii="Arial" w:eastAsia="Calibri" w:hAnsi="Arial" w:cs="Arial"/>
          <w:sz w:val="24"/>
          <w:szCs w:val="24"/>
        </w:rPr>
        <w:t xml:space="preserve">Dedicated Neighbourhood Crime Teams and Prevention Hubs in each district have reduced recorded neighbourhood crime levels by 11.5% and residential burglary by 25%. Solved rates have improved significantly across all crime types. GMP also launched a new “Bee in the Loop” community messaging system. </w:t>
      </w:r>
    </w:p>
    <w:p w14:paraId="3E86EF07" w14:textId="77777777" w:rsidR="00D15D90" w:rsidRPr="006A5C2C"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6A5C2C">
        <w:rPr>
          <w:rFonts w:ascii="Arial" w:eastAsia="Calibri" w:hAnsi="Arial" w:cs="Arial"/>
          <w:sz w:val="24"/>
          <w:szCs w:val="24"/>
        </w:rPr>
        <w:t xml:space="preserve">Increased specialist resources and investigators to detect neighbourhood crime and sex offending, including such offences against children. GMP have increased arrests for domestic abuse cases by 61%, almost doubled the number of arrests made for stalking and harassment and are solving 10% of rape cases compared to 6.7% last year. </w:t>
      </w:r>
    </w:p>
    <w:p w14:paraId="598CB2A3" w14:textId="77777777" w:rsidR="00D15D90" w:rsidRPr="006A5C2C"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6A5C2C">
        <w:rPr>
          <w:rFonts w:ascii="Arial" w:eastAsia="Calibri" w:hAnsi="Arial" w:cs="Arial"/>
          <w:sz w:val="24"/>
          <w:szCs w:val="24"/>
        </w:rPr>
        <w:t>Targeted operations, such as Op Vulcan in Cheetham Hill and Strangeways and in Piccadilly Gardens to tackle organized criminality, as well as Operation Avro on each district and the roads and transport system to crackdown on offences. As part of Operation Vulcan in Cheetham Hill and Strangeways alone GMP seized 1000 Tonnes of counterfeit items which have been repurposed and recycled, and £520,000 in cash, and violent crime and public order offences reduced by 50%.</w:t>
      </w:r>
    </w:p>
    <w:p w14:paraId="05AE01EB" w14:textId="77777777" w:rsidR="00D15D90" w:rsidRPr="00B15622" w:rsidRDefault="00D15D90" w:rsidP="00D15D90">
      <w:pPr>
        <w:pStyle w:val="Normal0"/>
        <w:spacing w:after="160" w:line="360" w:lineRule="auto"/>
        <w:rPr>
          <w:rFonts w:ascii="Arial" w:hAnsi="Arial" w:cs="Arial"/>
          <w:sz w:val="24"/>
          <w:szCs w:val="24"/>
          <w:highlight w:val="yellow"/>
        </w:rPr>
      </w:pPr>
    </w:p>
    <w:p w14:paraId="7F8C3AA8" w14:textId="77777777" w:rsidR="00D15D90" w:rsidRPr="00B15622" w:rsidRDefault="00D15D90" w:rsidP="00D15D90">
      <w:pPr>
        <w:spacing w:line="360" w:lineRule="auto"/>
        <w:rPr>
          <w:rFonts w:ascii="Arial" w:eastAsiaTheme="minorHAnsi" w:hAnsi="Arial" w:cs="Arial"/>
          <w:highlight w:val="yellow"/>
        </w:rPr>
      </w:pPr>
      <w:r w:rsidRPr="006A5C2C">
        <w:rPr>
          <w:rFonts w:ascii="Arial" w:hAnsi="Arial" w:cs="Arial"/>
        </w:rPr>
        <w:t xml:space="preserve">For 2023/24 Greater Manchester received a core grant of £547.2m, which included a ring-fenced Police Uplift grant of £8.1m and pension grant of £6.6m. The Mayor </w:t>
      </w:r>
      <w:r w:rsidRPr="006A5C2C">
        <w:rPr>
          <w:rFonts w:ascii="Arial" w:hAnsi="Arial" w:cs="Arial"/>
        </w:rPr>
        <w:lastRenderedPageBreak/>
        <w:t xml:space="preserve">approved an increase of £15 to the policing precept in January 2023, taking the annual precept for a Band D property to £243.30 in 2023/24 which provided </w:t>
      </w:r>
      <w:r w:rsidRPr="006A5C2C">
        <w:rPr>
          <w:rFonts w:ascii="Arial" w:eastAsiaTheme="minorHAnsi" w:hAnsi="Arial" w:cs="Arial"/>
        </w:rPr>
        <w:t xml:space="preserve">locally raised precept income of £193.2m. This provided total revenue funding for 2023/24 </w:t>
      </w:r>
      <w:r w:rsidRPr="004B7778">
        <w:rPr>
          <w:rFonts w:ascii="Arial" w:eastAsiaTheme="minorHAnsi" w:hAnsi="Arial" w:cs="Arial"/>
        </w:rPr>
        <w:t>of £742.1m of which £729m</w:t>
      </w:r>
      <w:r w:rsidRPr="00091098">
        <w:rPr>
          <w:rFonts w:ascii="Arial" w:eastAsiaTheme="minorHAnsi" w:hAnsi="Arial" w:cs="Arial"/>
        </w:rPr>
        <w:t xml:space="preserve"> was delegated to GMP and a net £13.1m was retained by the OPCC, the majority relating to capital financing costs. Both the GMP and OPCC budgets are supplemented by specific grants received during the financial year. </w:t>
      </w:r>
    </w:p>
    <w:p w14:paraId="41B33844" w14:textId="77777777" w:rsidR="00D15D90" w:rsidRPr="00B15622" w:rsidRDefault="00D15D90" w:rsidP="00D15D90">
      <w:pPr>
        <w:spacing w:line="360" w:lineRule="auto"/>
        <w:rPr>
          <w:rFonts w:ascii="Arial" w:eastAsiaTheme="minorHAnsi" w:hAnsi="Arial" w:cs="Arial"/>
          <w:highlight w:val="yellow"/>
        </w:rPr>
      </w:pPr>
    </w:p>
    <w:p w14:paraId="13825EA6" w14:textId="77777777" w:rsidR="00D15D90" w:rsidRDefault="00D15D90" w:rsidP="00D15D90">
      <w:pPr>
        <w:spacing w:line="360" w:lineRule="auto"/>
        <w:rPr>
          <w:rFonts w:ascii="Arial" w:hAnsi="Arial" w:cs="Arial"/>
          <w:sz w:val="22"/>
          <w:szCs w:val="22"/>
        </w:rPr>
      </w:pPr>
      <w:r>
        <w:rPr>
          <w:rFonts w:ascii="Arial" w:hAnsi="Arial" w:cs="Arial"/>
        </w:rPr>
        <w:t xml:space="preserve">The 2023/24 Police Fund breakeven position is a positive outcome for the financial year end, given the scale of improvement that has been delivered during the year. The significant financial challenges in 2023/24 related to police pay award and overtime. Whilst a significant proportion of the additional expenditure on overtime was funded from external income. Whilst pressure exists in this area, the overall pressure is being managed closely and overtime is at a much lower level than in previous years. </w:t>
      </w:r>
    </w:p>
    <w:p w14:paraId="0B75C6E5" w14:textId="77777777" w:rsidR="00D15D90" w:rsidRPr="00B15622" w:rsidRDefault="00D15D90" w:rsidP="00D15D90">
      <w:pPr>
        <w:spacing w:line="360" w:lineRule="auto"/>
        <w:ind w:right="-755"/>
        <w:rPr>
          <w:rFonts w:ascii="Arial" w:eastAsiaTheme="minorHAnsi" w:hAnsi="Arial" w:cs="Arial"/>
          <w:highlight w:val="yellow"/>
        </w:rPr>
      </w:pPr>
    </w:p>
    <w:p w14:paraId="405C08B2" w14:textId="77777777" w:rsidR="00D15D90" w:rsidRPr="004B7778" w:rsidRDefault="00D15D90" w:rsidP="00D15D90">
      <w:pPr>
        <w:spacing w:line="360" w:lineRule="auto"/>
        <w:ind w:right="-613"/>
        <w:contextualSpacing/>
        <w:rPr>
          <w:rFonts w:ascii="Arial" w:eastAsiaTheme="minorHAnsi" w:hAnsi="Arial" w:cs="Arial"/>
        </w:rPr>
      </w:pPr>
      <w:r w:rsidRPr="004B7778">
        <w:rPr>
          <w:rFonts w:ascii="Arial" w:hAnsi="Arial" w:cs="Arial"/>
        </w:rPr>
        <w:t xml:space="preserve">When the 2024/25 precept was agreed in January 2024 it was recognised that it was critically important to sustain the significant improvements made to date and to continue to strengthen public safety. </w:t>
      </w:r>
      <w:r w:rsidRPr="004B7778">
        <w:rPr>
          <w:rFonts w:ascii="Arial" w:eastAsiaTheme="minorHAnsi" w:hAnsi="Arial" w:cs="Arial"/>
        </w:rPr>
        <w:t xml:space="preserve">The progress made in managing pressures during 2023/24 has provided some mitigation for risks continuing into 2024/25 which includes efficiencies and use of reserves to support the improvement programme.  </w:t>
      </w:r>
    </w:p>
    <w:p w14:paraId="25C675C6" w14:textId="77777777" w:rsidR="00D15D90" w:rsidRPr="00B15622" w:rsidRDefault="00D15D90" w:rsidP="00D15D90">
      <w:pPr>
        <w:spacing w:line="360" w:lineRule="auto"/>
        <w:ind w:right="-755"/>
        <w:rPr>
          <w:rFonts w:ascii="Arial" w:eastAsiaTheme="minorHAnsi" w:hAnsi="Arial" w:cs="Arial"/>
          <w:highlight w:val="yellow"/>
        </w:rPr>
      </w:pPr>
    </w:p>
    <w:p w14:paraId="49A0EFFE" w14:textId="77777777" w:rsidR="00D15D90" w:rsidRPr="00B167BA" w:rsidRDefault="00D15D90" w:rsidP="00D15D90">
      <w:pPr>
        <w:spacing w:line="360" w:lineRule="auto"/>
        <w:ind w:right="-613"/>
        <w:contextualSpacing/>
        <w:rPr>
          <w:rFonts w:ascii="Arial" w:hAnsi="Arial" w:cs="Arial"/>
        </w:rPr>
      </w:pPr>
      <w:r w:rsidRPr="00B167BA">
        <w:rPr>
          <w:rFonts w:ascii="Arial" w:hAnsi="Arial" w:cs="Arial"/>
        </w:rPr>
        <w:t>In November 2019, the government announced a plan to recruit an additional 20,000 police officers over three years. This equated to a target of 1,155 additional GMP officers over the period to 2022/23, which was the final year of this initial uplift programme, supported by specific increases in annual grant funding along with £20m of infrastructure funding front-loaded into the 2020/21 settlement. In 2023/24, a further £5m of this was drawn from reserves to support the continuing costs of delivery. At the end of March 2023, GMP had achieved this uplift target in full, and with agreement of the Home Office had recruited an additional 125 officers to give a final headcount of 8,067 officers at the end of March 2023. During 2023/24, GMP has recruited a further 124 officers to give a final headcount of 8,191 officers at the end of March 2024. The majority of these additional officers have been in frontline policing roles, which have increased in each of the ten districts.</w:t>
      </w:r>
    </w:p>
    <w:p w14:paraId="3E23AC8E" w14:textId="77777777" w:rsidR="00D15D90" w:rsidRPr="00B15622" w:rsidRDefault="00D15D90" w:rsidP="00D15D90">
      <w:pPr>
        <w:spacing w:line="360" w:lineRule="auto"/>
        <w:rPr>
          <w:rFonts w:ascii="Arial" w:hAnsi="Arial" w:cs="Arial"/>
          <w:highlight w:val="yellow"/>
        </w:rPr>
      </w:pPr>
    </w:p>
    <w:p w14:paraId="799F8FC9" w14:textId="77777777" w:rsidR="00D15D90" w:rsidRPr="005237F1" w:rsidRDefault="00D15D90" w:rsidP="00D15D90">
      <w:pPr>
        <w:spacing w:line="360" w:lineRule="auto"/>
        <w:rPr>
          <w:rFonts w:ascii="Arial" w:hAnsi="Arial" w:cs="Arial"/>
        </w:rPr>
      </w:pPr>
      <w:r w:rsidRPr="005237F1">
        <w:rPr>
          <w:rFonts w:ascii="Arial" w:hAnsi="Arial" w:cs="Arial"/>
        </w:rPr>
        <w:t xml:space="preserve">In 2023/24, the Deputy Mayor delegated a total of over £4m to Community Safety Partnerships (CSPs) to support their delivery of the Police and Crime Plan, collectively </w:t>
      </w:r>
      <w:r w:rsidRPr="005237F1">
        <w:rPr>
          <w:rFonts w:ascii="Arial" w:hAnsi="Arial" w:cs="Arial"/>
        </w:rPr>
        <w:lastRenderedPageBreak/>
        <w:t xml:space="preserve">making communities safer and more resilient. Building on the work of previous years, the Deputy Mayor’s funding means CSPs have been able to continue to work closely on both Greater Manchester and local priorities to support targeted work in neighbourhoods. </w:t>
      </w:r>
    </w:p>
    <w:p w14:paraId="795C07CE" w14:textId="77777777" w:rsidR="00D15D90" w:rsidRPr="00B15622" w:rsidRDefault="00D15D90" w:rsidP="00D15D90">
      <w:pPr>
        <w:spacing w:line="360" w:lineRule="auto"/>
        <w:rPr>
          <w:rFonts w:ascii="Arial" w:hAnsi="Arial" w:cs="Arial"/>
          <w:highlight w:val="yellow"/>
        </w:rPr>
      </w:pPr>
    </w:p>
    <w:p w14:paraId="5AA4585B" w14:textId="77777777" w:rsidR="00D15D90" w:rsidRDefault="00D15D90" w:rsidP="00D15D90">
      <w:pPr>
        <w:spacing w:line="360" w:lineRule="auto"/>
        <w:rPr>
          <w:rFonts w:ascii="Arial" w:hAnsi="Arial" w:cs="Arial"/>
        </w:rPr>
      </w:pPr>
      <w:r w:rsidRPr="005237F1">
        <w:rPr>
          <w:rFonts w:ascii="Arial" w:hAnsi="Arial" w:cs="Arial"/>
        </w:rPr>
        <w:t xml:space="preserve">A summary of the types of schemes and initiatives that the Voluntary and Community Sector grants have funded are set out below: </w:t>
      </w:r>
    </w:p>
    <w:p w14:paraId="6DDE71E6" w14:textId="77777777" w:rsidR="00D15D90" w:rsidRPr="005237F1"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5237F1">
        <w:rPr>
          <w:rFonts w:ascii="Arial" w:eastAsia="Calibri" w:hAnsi="Arial" w:cs="Arial"/>
          <w:sz w:val="24"/>
          <w:szCs w:val="24"/>
        </w:rPr>
        <w:t xml:space="preserve">Tackling anti-social behaviour and improving behaviour through early intervention and diversionary work with young people </w:t>
      </w:r>
    </w:p>
    <w:p w14:paraId="09C47267" w14:textId="77777777" w:rsidR="00D15D90" w:rsidRPr="005237F1"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5237F1">
        <w:rPr>
          <w:rFonts w:ascii="Arial" w:eastAsia="Calibri" w:hAnsi="Arial" w:cs="Arial"/>
          <w:sz w:val="24"/>
          <w:szCs w:val="24"/>
        </w:rPr>
        <w:t xml:space="preserve">Support for victims of domestic and sexual abuse, including victims from minority communities and provide prevention interventions in schools </w:t>
      </w:r>
    </w:p>
    <w:p w14:paraId="506597FB" w14:textId="77777777" w:rsidR="00D15D90" w:rsidRPr="005237F1"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5237F1">
        <w:rPr>
          <w:rFonts w:ascii="Arial" w:eastAsia="Calibri" w:hAnsi="Arial" w:cs="Arial"/>
          <w:sz w:val="24"/>
          <w:szCs w:val="24"/>
        </w:rPr>
        <w:t xml:space="preserve">Advice and awareness regarding healthy relationships for young people </w:t>
      </w:r>
    </w:p>
    <w:p w14:paraId="64846BB9" w14:textId="77777777" w:rsidR="00D15D90" w:rsidRPr="005237F1"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5237F1">
        <w:rPr>
          <w:rFonts w:ascii="Arial" w:eastAsia="Calibri" w:hAnsi="Arial" w:cs="Arial"/>
          <w:sz w:val="24"/>
          <w:szCs w:val="24"/>
        </w:rPr>
        <w:t xml:space="preserve">Reducing the risk of exploitation of vulnerable young people </w:t>
      </w:r>
    </w:p>
    <w:p w14:paraId="4725757E" w14:textId="77777777" w:rsidR="00D15D90" w:rsidRPr="005237F1"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5237F1">
        <w:rPr>
          <w:rFonts w:ascii="Arial" w:eastAsia="Calibri" w:hAnsi="Arial" w:cs="Arial"/>
          <w:sz w:val="24"/>
          <w:szCs w:val="24"/>
        </w:rPr>
        <w:t xml:space="preserve">Reducing the risk of offending and re-offending </w:t>
      </w:r>
    </w:p>
    <w:p w14:paraId="03194216" w14:textId="77777777" w:rsidR="00D15D90" w:rsidRPr="005237F1"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5237F1">
        <w:rPr>
          <w:rFonts w:ascii="Arial" w:eastAsia="Calibri" w:hAnsi="Arial" w:cs="Arial"/>
          <w:sz w:val="24"/>
          <w:szCs w:val="24"/>
        </w:rPr>
        <w:t xml:space="preserve">Community cohesion and hate crime </w:t>
      </w:r>
    </w:p>
    <w:p w14:paraId="7B08FB43" w14:textId="77777777" w:rsidR="00D15D90" w:rsidRPr="005237F1"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5237F1">
        <w:rPr>
          <w:rFonts w:ascii="Arial" w:eastAsia="Calibri" w:hAnsi="Arial" w:cs="Arial"/>
          <w:sz w:val="24"/>
          <w:szCs w:val="24"/>
        </w:rPr>
        <w:t xml:space="preserve">Keeping children and young people safe </w:t>
      </w:r>
    </w:p>
    <w:p w14:paraId="229C3F2B" w14:textId="77777777" w:rsidR="00D15D90" w:rsidRPr="005237F1"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5237F1">
        <w:rPr>
          <w:rFonts w:ascii="Arial" w:eastAsia="Calibri" w:hAnsi="Arial" w:cs="Arial"/>
          <w:sz w:val="24"/>
          <w:szCs w:val="24"/>
        </w:rPr>
        <w:t xml:space="preserve">Interventions and awareness to prevent serious violence and promote awareness of the consequences </w:t>
      </w:r>
    </w:p>
    <w:p w14:paraId="5F30088B" w14:textId="77777777" w:rsidR="00D15D90" w:rsidRPr="005237F1"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5237F1">
        <w:rPr>
          <w:rFonts w:ascii="Arial" w:eastAsia="Calibri" w:hAnsi="Arial" w:cs="Arial"/>
          <w:sz w:val="24"/>
          <w:szCs w:val="24"/>
        </w:rPr>
        <w:t>Supporting vulnerable adults and reducing isolation.</w:t>
      </w:r>
    </w:p>
    <w:p w14:paraId="50C4B7FA" w14:textId="77777777" w:rsidR="00D15D90" w:rsidRDefault="00D15D90" w:rsidP="00D15D90">
      <w:pPr>
        <w:spacing w:line="360" w:lineRule="auto"/>
        <w:rPr>
          <w:rFonts w:ascii="Arial" w:hAnsi="Arial" w:cs="Arial"/>
        </w:rPr>
      </w:pPr>
    </w:p>
    <w:p w14:paraId="25D2D8D9" w14:textId="77777777" w:rsidR="00D15D90" w:rsidRPr="003570E2" w:rsidRDefault="00D15D90" w:rsidP="00D15D90">
      <w:pPr>
        <w:spacing w:line="360" w:lineRule="auto"/>
        <w:rPr>
          <w:rFonts w:ascii="Arial" w:eastAsiaTheme="minorHAnsi" w:hAnsi="Arial" w:cs="Arial"/>
        </w:rPr>
      </w:pPr>
      <w:r w:rsidRPr="004B7778">
        <w:rPr>
          <w:rFonts w:ascii="Arial" w:eastAsiaTheme="minorHAnsi" w:hAnsi="Arial" w:cs="Arial"/>
        </w:rPr>
        <w:t xml:space="preserve">At the end of the 2023/24 financial year, the provisional expenditure on the capital </w:t>
      </w:r>
      <w:r w:rsidRPr="003570E2">
        <w:rPr>
          <w:rFonts w:ascii="Arial" w:eastAsiaTheme="minorHAnsi" w:hAnsi="Arial" w:cs="Arial"/>
        </w:rPr>
        <w:t>programme was £25.3m against a revised budget of £44.9m. It should be noted that £13.7 million was built into the opening budget as expected slippage based on historical trends together with any known slippage at that time on specific schemes</w:t>
      </w:r>
      <w:r>
        <w:rPr>
          <w:rFonts w:ascii="Arial" w:eastAsiaTheme="minorHAnsi" w:hAnsi="Arial" w:cs="Arial"/>
        </w:rPr>
        <w:t>.</w:t>
      </w:r>
    </w:p>
    <w:p w14:paraId="24D5CD4F" w14:textId="77777777" w:rsidR="00D15D90" w:rsidRPr="005237F1" w:rsidRDefault="00D15D90" w:rsidP="00D15D90">
      <w:pPr>
        <w:spacing w:line="360" w:lineRule="auto"/>
        <w:rPr>
          <w:rFonts w:ascii="Arial" w:hAnsi="Arial" w:cs="Arial"/>
        </w:rPr>
      </w:pPr>
    </w:p>
    <w:p w14:paraId="4F296196" w14:textId="2EA830D0" w:rsidR="00D15D90" w:rsidRDefault="00D15D90" w:rsidP="00D15D90">
      <w:pPr>
        <w:spacing w:line="360" w:lineRule="auto"/>
        <w:rPr>
          <w:rFonts w:ascii="Arial" w:hAnsi="Arial" w:cs="Arial"/>
        </w:rPr>
      </w:pPr>
      <w:r w:rsidRPr="002B2B95">
        <w:rPr>
          <w:rFonts w:ascii="Arial" w:hAnsi="Arial" w:cs="Arial"/>
        </w:rPr>
        <w:t>Further information on Police and Crime is provided in the Chief Constable</w:t>
      </w:r>
      <w:r>
        <w:rPr>
          <w:rFonts w:ascii="Arial" w:hAnsi="Arial" w:cs="Arial"/>
        </w:rPr>
        <w:t>’</w:t>
      </w:r>
      <w:r w:rsidRPr="002B2B95">
        <w:rPr>
          <w:rFonts w:ascii="Arial" w:hAnsi="Arial" w:cs="Arial"/>
        </w:rPr>
        <w:t>s Statement of Accounts for 2023/24.</w:t>
      </w:r>
      <w:bookmarkStart w:id="28" w:name="_Toc109922587"/>
      <w:bookmarkEnd w:id="26"/>
    </w:p>
    <w:p w14:paraId="1DA6C100" w14:textId="77777777" w:rsidR="00D15D90" w:rsidRPr="00D15D90" w:rsidRDefault="00D15D90" w:rsidP="00D15D90">
      <w:pPr>
        <w:spacing w:line="360" w:lineRule="auto"/>
        <w:rPr>
          <w:rFonts w:ascii="Arial" w:hAnsi="Arial" w:cs="Arial"/>
        </w:rPr>
      </w:pPr>
    </w:p>
    <w:p w14:paraId="0191A39E" w14:textId="77777777" w:rsidR="00D15D90" w:rsidRPr="00CD0137" w:rsidRDefault="00D15D90" w:rsidP="00D15D90">
      <w:pPr>
        <w:pStyle w:val="Heading3"/>
        <w:spacing w:before="0" w:after="0" w:line="360" w:lineRule="auto"/>
        <w:rPr>
          <w:sz w:val="24"/>
          <w:szCs w:val="24"/>
        </w:rPr>
      </w:pPr>
      <w:r w:rsidRPr="00CD0137">
        <w:rPr>
          <w:sz w:val="24"/>
          <w:szCs w:val="24"/>
        </w:rPr>
        <w:t>Highways and Transport Services</w:t>
      </w:r>
      <w:bookmarkEnd w:id="28"/>
      <w:r w:rsidRPr="00CD0137">
        <w:rPr>
          <w:sz w:val="24"/>
          <w:szCs w:val="24"/>
        </w:rPr>
        <w:t xml:space="preserve"> </w:t>
      </w:r>
    </w:p>
    <w:p w14:paraId="4B3E9BFF" w14:textId="77777777" w:rsidR="00D15D90" w:rsidRPr="002B2B95" w:rsidRDefault="00D15D90" w:rsidP="00D15D90">
      <w:pPr>
        <w:spacing w:line="360" w:lineRule="auto"/>
        <w:rPr>
          <w:highlight w:val="green"/>
        </w:rPr>
      </w:pPr>
    </w:p>
    <w:p w14:paraId="3BF356F0" w14:textId="77777777" w:rsidR="00D15D90" w:rsidRPr="0019085A" w:rsidRDefault="00D15D90" w:rsidP="00D15D90">
      <w:pPr>
        <w:pStyle w:val="8TfGMStandardDocumentText"/>
        <w:spacing w:after="100" w:afterAutospacing="1" w:line="360" w:lineRule="auto"/>
        <w:contextualSpacing/>
        <w:jc w:val="left"/>
        <w:rPr>
          <w:rFonts w:ascii="Arial" w:hAnsi="Arial"/>
          <w:sz w:val="24"/>
          <w:lang w:eastAsia="en-US"/>
        </w:rPr>
      </w:pPr>
      <w:bookmarkStart w:id="29" w:name="_Hlk140064188"/>
      <w:r w:rsidRPr="0019085A">
        <w:rPr>
          <w:rFonts w:ascii="Arial" w:hAnsi="Arial"/>
          <w:sz w:val="24"/>
        </w:rPr>
        <w:t xml:space="preserve">The GMCA oversees TfGM, who are in turn responsible for management of the network. </w:t>
      </w:r>
      <w:r w:rsidRPr="0019085A">
        <w:rPr>
          <w:rFonts w:ascii="Arial" w:hAnsi="Arial"/>
          <w:sz w:val="24"/>
          <w:lang w:eastAsia="en-US"/>
        </w:rPr>
        <w:t xml:space="preserve">The Greater Manchester Transport Strategy 2040 was published in 2017 and refreshed with a new Five-Year Transport Delivery Plan published in 2021 for the period up to </w:t>
      </w:r>
      <w:r w:rsidRPr="0019085A">
        <w:rPr>
          <w:rFonts w:ascii="Arial" w:hAnsi="Arial"/>
          <w:sz w:val="24"/>
          <w:lang w:eastAsia="en-US"/>
        </w:rPr>
        <w:lastRenderedPageBreak/>
        <w:t xml:space="preserve">2026. The strategy is updated through a series of five-year delivery plans, which set out Greater Manchester’s medium and shorter-term delivery priorities. </w:t>
      </w:r>
    </w:p>
    <w:p w14:paraId="015AF734" w14:textId="77777777" w:rsidR="00D15D90" w:rsidRDefault="00D15D90" w:rsidP="00D15D90">
      <w:pPr>
        <w:pStyle w:val="paragraph"/>
        <w:spacing w:line="360" w:lineRule="auto"/>
        <w:textAlignment w:val="baseline"/>
        <w:rPr>
          <w:rFonts w:ascii="Arial" w:eastAsia="Poppins Light" w:hAnsi="Arial" w:cs="Arial"/>
        </w:rPr>
      </w:pPr>
      <w:r w:rsidRPr="0019085A">
        <w:rPr>
          <w:rFonts w:ascii="Arial" w:eastAsia="Poppins Light" w:hAnsi="Arial" w:cs="Arial"/>
        </w:rPr>
        <w:t>The Mayor is the Transport Portfolio holder for the GMCA. Supporting the Mayor with his transport portfolio is the Transport Commissioner, Vernon Everitt, who was appointed in April 2022 and is playing a leading role in the delivery of the Bee Network, Greater Manchester’s London-style integrated transport network. The Mayor is also supported by an Active Travel Commissioner, Dame Sarah Storey. Dame Sarah champions and advises the Mayor on the delivery of the Bee Network Active Travel Mission.</w:t>
      </w:r>
    </w:p>
    <w:p w14:paraId="19CA3A58" w14:textId="77777777" w:rsidR="00D15D90" w:rsidRDefault="00D15D90" w:rsidP="00D15D90">
      <w:pPr>
        <w:pStyle w:val="paragraph"/>
        <w:spacing w:line="360" w:lineRule="auto"/>
        <w:textAlignment w:val="baseline"/>
        <w:rPr>
          <w:rFonts w:ascii="Arial" w:eastAsia="Calibri" w:hAnsi="Arial" w:cs="Arial"/>
          <w:color w:val="000000" w:themeColor="text1"/>
        </w:rPr>
      </w:pPr>
      <w:r w:rsidRPr="0019085A">
        <w:rPr>
          <w:rFonts w:ascii="Arial" w:eastAsia="Poppins Light" w:hAnsi="Arial" w:cs="Arial"/>
        </w:rPr>
        <w:t xml:space="preserve">The Mayor has committed to creating the ‘Bee Network’ </w:t>
      </w:r>
      <w:r w:rsidRPr="0019085A">
        <w:rPr>
          <w:rFonts w:ascii="Arial" w:eastAsia="Calibri" w:hAnsi="Arial" w:cs="Arial"/>
          <w:color w:val="000000" w:themeColor="text1"/>
        </w:rPr>
        <w:t>a London-style transport system which includes buses and trams</w:t>
      </w:r>
      <w:r>
        <w:rPr>
          <w:rFonts w:ascii="Arial" w:eastAsia="Calibri" w:hAnsi="Arial" w:cs="Arial"/>
          <w:color w:val="000000" w:themeColor="text1"/>
        </w:rPr>
        <w:t xml:space="preserve"> and active travel</w:t>
      </w:r>
      <w:r w:rsidRPr="0019085A">
        <w:rPr>
          <w:rFonts w:ascii="Arial" w:eastAsia="Calibri" w:hAnsi="Arial" w:cs="Arial"/>
          <w:color w:val="000000" w:themeColor="text1"/>
        </w:rPr>
        <w:t xml:space="preserve"> by 2025 and </w:t>
      </w:r>
      <w:r>
        <w:rPr>
          <w:rFonts w:ascii="Arial" w:eastAsia="Calibri" w:hAnsi="Arial" w:cs="Arial"/>
          <w:color w:val="000000" w:themeColor="text1"/>
        </w:rPr>
        <w:t xml:space="preserve">eight local </w:t>
      </w:r>
      <w:r w:rsidRPr="0019085A">
        <w:rPr>
          <w:rFonts w:ascii="Arial" w:eastAsia="Calibri" w:hAnsi="Arial" w:cs="Arial"/>
          <w:color w:val="000000" w:themeColor="text1"/>
        </w:rPr>
        <w:t>commuter trains by 20</w:t>
      </w:r>
      <w:r>
        <w:rPr>
          <w:rFonts w:ascii="Arial" w:eastAsia="Calibri" w:hAnsi="Arial" w:cs="Arial"/>
          <w:color w:val="000000" w:themeColor="text1"/>
        </w:rPr>
        <w:t>28</w:t>
      </w:r>
      <w:r w:rsidRPr="0019085A">
        <w:rPr>
          <w:rFonts w:ascii="Arial" w:eastAsia="Calibri" w:hAnsi="Arial" w:cs="Arial"/>
          <w:color w:val="000000" w:themeColor="text1"/>
        </w:rPr>
        <w:t xml:space="preserve">. </w:t>
      </w:r>
    </w:p>
    <w:p w14:paraId="7E2CFB23" w14:textId="77777777" w:rsidR="00D15D90" w:rsidRPr="0019085A" w:rsidRDefault="00D15D90" w:rsidP="00D15D90">
      <w:pPr>
        <w:pStyle w:val="paragraph"/>
        <w:spacing w:line="360" w:lineRule="auto"/>
        <w:textAlignment w:val="baseline"/>
        <w:rPr>
          <w:rFonts w:ascii="Arial" w:eastAsia="Calibri" w:hAnsi="Arial" w:cs="Arial"/>
          <w:color w:val="000000" w:themeColor="text1"/>
        </w:rPr>
      </w:pPr>
      <w:r w:rsidRPr="0019085A">
        <w:rPr>
          <w:rFonts w:ascii="Arial" w:eastAsia="Calibri" w:hAnsi="Arial" w:cs="Arial"/>
          <w:color w:val="000000" w:themeColor="text1"/>
        </w:rPr>
        <w:t>The Bee Network is already starting to transform the way people travel.  Bus franchising is being rolled out across GM with buses coming back under public control and we are making it easier and more affordable to travel with our new multi modal tickets across bus and tram. We are delivering a world-class walking, wheeling and cycling network for Greater Manchester and are seeing levels of active travel grow alongside our infrastructure investments.</w:t>
      </w:r>
    </w:p>
    <w:p w14:paraId="1EAB69C3" w14:textId="77777777" w:rsidR="00D15D90" w:rsidRDefault="00D15D90" w:rsidP="00D15D90">
      <w:pPr>
        <w:pStyle w:val="paragraph"/>
        <w:spacing w:line="360" w:lineRule="auto"/>
        <w:textAlignment w:val="baseline"/>
        <w:rPr>
          <w:rFonts w:ascii="Arial" w:eastAsia="Calibri" w:hAnsi="Arial" w:cs="Arial"/>
          <w:color w:val="000000" w:themeColor="text1"/>
        </w:rPr>
      </w:pPr>
      <w:r w:rsidRPr="0019085A">
        <w:rPr>
          <w:rFonts w:ascii="Arial" w:eastAsia="Calibri" w:hAnsi="Arial" w:cs="Arial"/>
          <w:color w:val="000000" w:themeColor="text1"/>
        </w:rPr>
        <w:t>In the year ahead TfGM will continue to build on this momentum, improving our services and customer experience, including introducing a one hour hopper fare on buses, increasing value for money and introducing multi-modal capping.  Capping will simplify travel, calculating and setting a cap on the fare paid, making it easier for customers to use public transport. As well as our work on fares and tickets, we are working hard to understand the challenges people face when using public transport and to help them overcome them, through the introduction of audio visual announcements on all services, real-time travel information, journey planning information, better communications in times of disruption and better access at stops, stations and interchanges, all under a single identifiable and trusted brand.</w:t>
      </w:r>
    </w:p>
    <w:p w14:paraId="31051942" w14:textId="7A814B8D" w:rsidR="00D15D90" w:rsidRDefault="00D15D90" w:rsidP="00D15D90">
      <w:pPr>
        <w:pStyle w:val="paragraph"/>
        <w:spacing w:line="360" w:lineRule="auto"/>
        <w:textAlignment w:val="baseline"/>
        <w:rPr>
          <w:rStyle w:val="normaltextrun"/>
          <w:rFonts w:ascii="Arial" w:hAnsi="Arial" w:cs="Arial"/>
          <w:color w:val="000000" w:themeColor="text1"/>
        </w:rPr>
      </w:pPr>
      <w:r w:rsidRPr="0019085A">
        <w:rPr>
          <w:rStyle w:val="normaltextrun"/>
          <w:rFonts w:ascii="Arial" w:hAnsi="Arial" w:cs="Arial"/>
          <w:color w:val="000000" w:themeColor="text1"/>
        </w:rPr>
        <w:t xml:space="preserve">By delivering all of this, </w:t>
      </w:r>
      <w:r>
        <w:rPr>
          <w:rStyle w:val="normaltextrun"/>
          <w:rFonts w:ascii="Arial" w:hAnsi="Arial" w:cs="Arial"/>
          <w:color w:val="000000" w:themeColor="text1"/>
        </w:rPr>
        <w:t>GMCA/TfGM</w:t>
      </w:r>
      <w:r w:rsidRPr="0019085A">
        <w:rPr>
          <w:rStyle w:val="normaltextrun"/>
          <w:rFonts w:ascii="Arial" w:hAnsi="Arial" w:cs="Arial"/>
          <w:color w:val="000000" w:themeColor="text1"/>
        </w:rPr>
        <w:t xml:space="preserve"> will enable seamless, affordable, safe and sustainable journeys for all, connecting our people and our neighbourhoods, towns and cities to education and opportunities, making it easier for people to get where they want to go. The Bee Network will also help to contribute to our health, our air quality and our </w:t>
      </w:r>
      <w:r w:rsidRPr="0019085A">
        <w:rPr>
          <w:rStyle w:val="normaltextrun"/>
          <w:rFonts w:ascii="Arial" w:hAnsi="Arial" w:cs="Arial"/>
          <w:color w:val="000000" w:themeColor="text1"/>
        </w:rPr>
        <w:lastRenderedPageBreak/>
        <w:t>commitment to be carbon neutral by 2038, supporting our wider G</w:t>
      </w:r>
      <w:r>
        <w:rPr>
          <w:rStyle w:val="normaltextrun"/>
          <w:rFonts w:ascii="Arial" w:hAnsi="Arial" w:cs="Arial"/>
          <w:color w:val="000000" w:themeColor="text1"/>
        </w:rPr>
        <w:t>reater Manchester Strategy</w:t>
      </w:r>
      <w:r w:rsidRPr="0019085A">
        <w:rPr>
          <w:rStyle w:val="normaltextrun"/>
          <w:rFonts w:ascii="Arial" w:hAnsi="Arial" w:cs="Arial"/>
          <w:color w:val="000000" w:themeColor="text1"/>
        </w:rPr>
        <w:t xml:space="preserve"> ambitions.</w:t>
      </w:r>
    </w:p>
    <w:p w14:paraId="2BA6D464" w14:textId="77777777" w:rsidR="00D15D90" w:rsidRPr="0019085A" w:rsidRDefault="00D15D90" w:rsidP="00D15D90">
      <w:pPr>
        <w:pStyle w:val="8TfGMStandardDocumentText"/>
        <w:spacing w:after="0" w:line="360" w:lineRule="auto"/>
        <w:contextualSpacing/>
        <w:jc w:val="left"/>
        <w:rPr>
          <w:rFonts w:ascii="Arial" w:hAnsi="Arial"/>
          <w:sz w:val="24"/>
          <w:lang w:eastAsia="en-US"/>
        </w:rPr>
      </w:pPr>
      <w:r w:rsidRPr="0019085A">
        <w:rPr>
          <w:rFonts w:ascii="Arial" w:eastAsia="Calibri" w:hAnsi="Arial"/>
          <w:color w:val="000000" w:themeColor="text1"/>
        </w:rPr>
        <w:t>Although with the start of bus franchising an increasing proportion of TfGM’s revenues is now being derived from farebox income,</w:t>
      </w:r>
      <w:r>
        <w:rPr>
          <w:rFonts w:ascii="Arial" w:eastAsia="Calibri" w:hAnsi="Arial"/>
          <w:color w:val="000000" w:themeColor="text1"/>
        </w:rPr>
        <w:t xml:space="preserve"> </w:t>
      </w:r>
      <w:r>
        <w:rPr>
          <w:rFonts w:ascii="Arial" w:hAnsi="Arial"/>
          <w:sz w:val="24"/>
          <w:lang w:eastAsia="en-US"/>
        </w:rPr>
        <w:t>m</w:t>
      </w:r>
      <w:r w:rsidRPr="0019085A">
        <w:rPr>
          <w:rFonts w:ascii="Arial" w:hAnsi="Arial"/>
          <w:sz w:val="24"/>
          <w:lang w:eastAsia="en-US"/>
        </w:rPr>
        <w:t xml:space="preserve">ost of TfGM’s core operational activities are funded from the Transport Levy and the Mayoral Precept, as far as the latter relates to transport matters. The Transport Levy is provided by the GMCA from funding received from the ten Greater Manchester Local Authorities. The Transport Levy is set annually by the GMCA which approves the transport budget and the amount provided to TfGM. Certain activities which are Mayoral functions are funded from the Mayoral budget and the Mayoral Precept. This includes the costs associated with developing, updating and delivering the Local Transport Plan. In addition to the policies and activities which are directed by the GMCA transport vision, a number of TfGM activities are determined by government policy or legislation, including the English National Concessionary Travel Scheme. </w:t>
      </w:r>
    </w:p>
    <w:p w14:paraId="3A2ECAE2" w14:textId="77777777" w:rsidR="00D15D90" w:rsidRPr="0019085A" w:rsidRDefault="00D15D90" w:rsidP="00D15D90">
      <w:pPr>
        <w:spacing w:line="360" w:lineRule="auto"/>
        <w:rPr>
          <w:rFonts w:ascii="Arial" w:hAnsi="Arial" w:cs="Arial"/>
          <w:bCs/>
          <w:lang w:eastAsia="en-GB"/>
        </w:rPr>
      </w:pPr>
    </w:p>
    <w:p w14:paraId="302A0FAD" w14:textId="77777777" w:rsidR="00D15D90" w:rsidRPr="0019085A" w:rsidRDefault="00D15D90" w:rsidP="00D15D90">
      <w:pPr>
        <w:spacing w:line="360" w:lineRule="auto"/>
        <w:rPr>
          <w:rFonts w:ascii="Arial" w:hAnsi="Arial" w:cs="Arial"/>
          <w:bCs/>
          <w:lang w:eastAsia="en-GB"/>
        </w:rPr>
      </w:pPr>
      <w:r w:rsidRPr="0019085A">
        <w:rPr>
          <w:rFonts w:ascii="Arial" w:hAnsi="Arial" w:cs="Arial"/>
          <w:bCs/>
          <w:lang w:eastAsia="en-GB"/>
        </w:rPr>
        <w:t>The Transport revenue budget approved by GMCA was £</w:t>
      </w:r>
      <w:r>
        <w:rPr>
          <w:rFonts w:ascii="Arial" w:hAnsi="Arial" w:cs="Arial"/>
          <w:bCs/>
          <w:lang w:eastAsia="en-GB"/>
        </w:rPr>
        <w:t>307</w:t>
      </w:r>
      <w:r w:rsidRPr="0019085A">
        <w:rPr>
          <w:rFonts w:ascii="Arial" w:hAnsi="Arial" w:cs="Arial"/>
          <w:bCs/>
          <w:lang w:eastAsia="en-GB"/>
        </w:rPr>
        <w:t>m funded from the Transport Levy and Statutory Charge, Mayoral Precept, grants and reserves. Transport provisional expenditure for 2023/24 was £</w:t>
      </w:r>
      <w:r>
        <w:rPr>
          <w:rFonts w:ascii="Arial" w:hAnsi="Arial" w:cs="Arial"/>
          <w:bCs/>
          <w:lang w:eastAsia="en-GB"/>
        </w:rPr>
        <w:t>295</w:t>
      </w:r>
      <w:r w:rsidRPr="0019085A">
        <w:rPr>
          <w:rFonts w:ascii="Arial" w:hAnsi="Arial" w:cs="Arial"/>
          <w:bCs/>
          <w:lang w:eastAsia="en-GB"/>
        </w:rPr>
        <w:t xml:space="preserve">m which is </w:t>
      </w:r>
      <w:r>
        <w:rPr>
          <w:rFonts w:ascii="Arial" w:hAnsi="Arial" w:cs="Arial"/>
          <w:bCs/>
          <w:lang w:eastAsia="en-GB"/>
        </w:rPr>
        <w:t>a reduction</w:t>
      </w:r>
      <w:r w:rsidRPr="0019085A">
        <w:rPr>
          <w:rFonts w:ascii="Arial" w:hAnsi="Arial" w:cs="Arial"/>
          <w:bCs/>
          <w:lang w:eastAsia="en-GB"/>
        </w:rPr>
        <w:t xml:space="preserve"> compared to budget of £</w:t>
      </w:r>
      <w:r>
        <w:rPr>
          <w:rFonts w:ascii="Arial" w:hAnsi="Arial" w:cs="Arial"/>
          <w:bCs/>
          <w:lang w:eastAsia="en-GB"/>
        </w:rPr>
        <w:t>12</w:t>
      </w:r>
      <w:r w:rsidRPr="0019085A">
        <w:rPr>
          <w:rFonts w:ascii="Arial" w:hAnsi="Arial" w:cs="Arial"/>
          <w:bCs/>
          <w:lang w:eastAsia="en-GB"/>
        </w:rPr>
        <w:t xml:space="preserve">m. The majority of the </w:t>
      </w:r>
      <w:r>
        <w:rPr>
          <w:rFonts w:ascii="Arial" w:hAnsi="Arial" w:cs="Arial"/>
          <w:bCs/>
          <w:lang w:eastAsia="en-GB"/>
        </w:rPr>
        <w:t>reduction</w:t>
      </w:r>
      <w:r w:rsidRPr="0019085A">
        <w:rPr>
          <w:rFonts w:ascii="Arial" w:hAnsi="Arial" w:cs="Arial"/>
          <w:bCs/>
          <w:lang w:eastAsia="en-GB"/>
        </w:rPr>
        <w:t xml:space="preserve"> related to </w:t>
      </w:r>
      <w:r>
        <w:rPr>
          <w:rFonts w:ascii="Arial" w:hAnsi="Arial" w:cs="Arial"/>
          <w:bCs/>
          <w:lang w:eastAsia="en-GB"/>
        </w:rPr>
        <w:t>the phasing of expenditure to future years</w:t>
      </w:r>
      <w:r w:rsidRPr="0019085A">
        <w:rPr>
          <w:rFonts w:ascii="Arial" w:hAnsi="Arial" w:cs="Arial"/>
          <w:bCs/>
          <w:lang w:eastAsia="en-GB"/>
        </w:rPr>
        <w:t>. Transport revenue expenditure of £78m was retained by GMCA for capital financing costs for Metrolink and other programmes and £</w:t>
      </w:r>
      <w:r>
        <w:rPr>
          <w:rFonts w:ascii="Arial" w:hAnsi="Arial" w:cs="Arial"/>
          <w:bCs/>
          <w:lang w:eastAsia="en-GB"/>
        </w:rPr>
        <w:t>319</w:t>
      </w:r>
      <w:r w:rsidRPr="0019085A">
        <w:rPr>
          <w:rFonts w:ascii="Arial" w:hAnsi="Arial" w:cs="Arial"/>
          <w:bCs/>
          <w:lang w:eastAsia="en-GB"/>
        </w:rPr>
        <w:t xml:space="preserve">m was </w:t>
      </w:r>
      <w:r>
        <w:rPr>
          <w:rFonts w:ascii="Arial" w:hAnsi="Arial" w:cs="Arial"/>
          <w:bCs/>
          <w:lang w:eastAsia="en-GB"/>
        </w:rPr>
        <w:t xml:space="preserve">budgeted to be </w:t>
      </w:r>
      <w:r w:rsidRPr="0019085A">
        <w:rPr>
          <w:rFonts w:ascii="Arial" w:hAnsi="Arial" w:cs="Arial"/>
          <w:bCs/>
          <w:lang w:eastAsia="en-GB"/>
        </w:rPr>
        <w:t>provided to TfGM for transport delivery as set out below</w:t>
      </w:r>
      <w:r>
        <w:rPr>
          <w:rFonts w:ascii="Arial" w:hAnsi="Arial" w:cs="Arial"/>
          <w:bCs/>
          <w:lang w:eastAsia="en-GB"/>
        </w:rPr>
        <w:t xml:space="preserve"> (outturn £288 million)</w:t>
      </w:r>
      <w:r w:rsidRPr="0019085A">
        <w:rPr>
          <w:rFonts w:ascii="Arial" w:hAnsi="Arial" w:cs="Arial"/>
          <w:bCs/>
          <w:lang w:eastAsia="en-GB"/>
        </w:rPr>
        <w:t>.</w:t>
      </w:r>
    </w:p>
    <w:p w14:paraId="58A835F0" w14:textId="77777777" w:rsidR="00D15D90" w:rsidRDefault="00D15D90" w:rsidP="00D15D90">
      <w:pPr>
        <w:pStyle w:val="8TfGMStandardDocumentText"/>
        <w:spacing w:line="360" w:lineRule="auto"/>
        <w:contextualSpacing/>
        <w:jc w:val="left"/>
        <w:rPr>
          <w:rFonts w:ascii="Arial" w:hAnsi="Arial"/>
          <w:sz w:val="24"/>
          <w:u w:val="single"/>
        </w:rPr>
      </w:pPr>
    </w:p>
    <w:p w14:paraId="482A2D13" w14:textId="77777777" w:rsidR="00D15D90" w:rsidRPr="0019085A" w:rsidRDefault="00D15D90" w:rsidP="00D15D90">
      <w:pPr>
        <w:pStyle w:val="8TfGMStandardDocumentText"/>
        <w:spacing w:line="360" w:lineRule="auto"/>
        <w:contextualSpacing/>
        <w:jc w:val="left"/>
        <w:rPr>
          <w:rFonts w:ascii="Arial" w:hAnsi="Arial"/>
          <w:sz w:val="24"/>
          <w:u w:val="single"/>
        </w:rPr>
      </w:pPr>
      <w:r w:rsidRPr="0019085A">
        <w:rPr>
          <w:rFonts w:ascii="Arial" w:hAnsi="Arial"/>
          <w:sz w:val="24"/>
          <w:u w:val="single"/>
        </w:rPr>
        <w:t xml:space="preserve">Highways </w:t>
      </w:r>
    </w:p>
    <w:p w14:paraId="15101988" w14:textId="77777777" w:rsidR="00D15D90" w:rsidRPr="0019085A" w:rsidRDefault="00D15D90" w:rsidP="00D15D90">
      <w:pPr>
        <w:pStyle w:val="8TfGMStandardDocumentText"/>
        <w:spacing w:line="360" w:lineRule="auto"/>
        <w:contextualSpacing/>
        <w:jc w:val="left"/>
        <w:rPr>
          <w:rFonts w:ascii="Arial" w:hAnsi="Arial"/>
          <w:sz w:val="24"/>
          <w:u w:val="single"/>
        </w:rPr>
      </w:pPr>
    </w:p>
    <w:p w14:paraId="25B031E7"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r w:rsidRPr="0019085A">
        <w:rPr>
          <w:rFonts w:ascii="Arial" w:hAnsi="Arial"/>
          <w:sz w:val="24"/>
        </w:rPr>
        <w:t xml:space="preserve">Greater Manchester’s ten local authorities are responsible for the roads in their area, such as general maintenance and the planning of the work to deliver it. However TfGM has strategic oversight of the Key Route Network (“KRN”), making up over 650km of Greater Manchester’s busiest roads. While this is just 7% of the total length of the highways network, it carries two-thirds of all peak-time traffic. </w:t>
      </w:r>
    </w:p>
    <w:p w14:paraId="737726EF"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p>
    <w:p w14:paraId="3D1D8B9F"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r w:rsidRPr="0019085A">
        <w:rPr>
          <w:rFonts w:ascii="Arial" w:hAnsi="Arial"/>
          <w:sz w:val="24"/>
        </w:rPr>
        <w:t xml:space="preserve">TfGM works closely with local authority partners and Highways England to coordinate day-to-day operations and deal with incidents and events on Greater Manchester’s </w:t>
      </w:r>
      <w:r w:rsidRPr="0019085A">
        <w:rPr>
          <w:rFonts w:ascii="Arial" w:hAnsi="Arial"/>
          <w:sz w:val="24"/>
        </w:rPr>
        <w:lastRenderedPageBreak/>
        <w:t xml:space="preserve">roads and motorways. This includes work aimed at tackling congestion such as managing signals to improve traffic flow, controlling pedestrian crossings, conducting long term planning and modelling and design, and installing and modifying new traffic signal junctions. </w:t>
      </w:r>
    </w:p>
    <w:p w14:paraId="318222B6"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r w:rsidRPr="0019085A">
        <w:rPr>
          <w:rFonts w:ascii="Arial" w:hAnsi="Arial"/>
          <w:sz w:val="24"/>
        </w:rPr>
        <w:t xml:space="preserve"> </w:t>
      </w:r>
    </w:p>
    <w:p w14:paraId="687A72B0" w14:textId="77777777" w:rsidR="00D15D90" w:rsidRPr="0019085A" w:rsidRDefault="00D15D90" w:rsidP="00D15D90">
      <w:pPr>
        <w:pStyle w:val="8TfGMStandardDocumentText"/>
        <w:spacing w:after="100" w:afterAutospacing="1" w:line="360" w:lineRule="auto"/>
        <w:contextualSpacing/>
        <w:jc w:val="left"/>
        <w:rPr>
          <w:rFonts w:ascii="Arial" w:hAnsi="Arial"/>
          <w:sz w:val="24"/>
          <w:u w:val="single"/>
        </w:rPr>
      </w:pPr>
      <w:r w:rsidRPr="0019085A">
        <w:rPr>
          <w:rFonts w:ascii="Arial" w:hAnsi="Arial"/>
          <w:sz w:val="24"/>
          <w:u w:val="single"/>
        </w:rPr>
        <w:t xml:space="preserve">Metrolink </w:t>
      </w:r>
    </w:p>
    <w:p w14:paraId="3C8EAA39"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r w:rsidRPr="0019085A">
        <w:rPr>
          <w:rFonts w:ascii="Arial" w:hAnsi="Arial"/>
          <w:sz w:val="24"/>
        </w:rPr>
        <w:t xml:space="preserve"> </w:t>
      </w:r>
    </w:p>
    <w:p w14:paraId="48250FD8"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r w:rsidRPr="0019085A">
        <w:rPr>
          <w:rFonts w:ascii="Arial" w:hAnsi="Arial"/>
          <w:sz w:val="24"/>
        </w:rPr>
        <w:t>Metrolink is owned by TfGM and operated and maintained by Keolis Amey Metrolink (KAM) on a seven</w:t>
      </w:r>
      <w:r>
        <w:rPr>
          <w:rFonts w:ascii="Arial" w:hAnsi="Arial"/>
          <w:sz w:val="24"/>
        </w:rPr>
        <w:t xml:space="preserve"> (plus three)</w:t>
      </w:r>
      <w:r w:rsidRPr="0019085A">
        <w:rPr>
          <w:rFonts w:ascii="Arial" w:hAnsi="Arial"/>
          <w:sz w:val="24"/>
        </w:rPr>
        <w:t>year contract (with an option to extend up to 2027</w:t>
      </w:r>
      <w:r>
        <w:rPr>
          <w:rFonts w:ascii="Arial" w:hAnsi="Arial"/>
          <w:sz w:val="24"/>
        </w:rPr>
        <w:t xml:space="preserve"> which was exercised during the year</w:t>
      </w:r>
      <w:r w:rsidRPr="0019085A">
        <w:rPr>
          <w:rFonts w:ascii="Arial" w:hAnsi="Arial"/>
          <w:sz w:val="24"/>
        </w:rPr>
        <w:t xml:space="preserve">) which began in July 2017. While KAM operates and maintains the network, TfGM is responsible for setting the price of tickets, renewing, enhancing and expanding the network and planning future development, as well as overseeing the operations and maintenance contract. </w:t>
      </w:r>
    </w:p>
    <w:p w14:paraId="50DDA1B7"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r w:rsidRPr="0019085A">
        <w:rPr>
          <w:rFonts w:ascii="Arial" w:hAnsi="Arial"/>
          <w:sz w:val="24"/>
        </w:rPr>
        <w:t xml:space="preserve"> </w:t>
      </w:r>
    </w:p>
    <w:p w14:paraId="6191D7EC"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r w:rsidRPr="0019085A">
        <w:rPr>
          <w:rFonts w:ascii="Arial" w:hAnsi="Arial"/>
          <w:sz w:val="24"/>
        </w:rPr>
        <w:t xml:space="preserve">Metrolink services began operating in 1992 and since then the network has grown extensively and is now the largest light rail network in the UK. The system began to expand in 2010, with a c£2 billion expansion and extension programme; the latest extension being the Trafford Park Line which opened in March 2020. The network now has a total of 99 stops and 103km of track. Metrolink is one of the most accessible forms of transport with step-free access at all stops and level access from the platform to the tram. The system is powered by electricity produced from wind or solar power, making it zero-emission at street level. </w:t>
      </w:r>
    </w:p>
    <w:p w14:paraId="33156EE6"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r w:rsidRPr="0019085A">
        <w:rPr>
          <w:rFonts w:ascii="Arial" w:hAnsi="Arial"/>
          <w:sz w:val="24"/>
        </w:rPr>
        <w:t xml:space="preserve"> </w:t>
      </w:r>
    </w:p>
    <w:p w14:paraId="584C3230" w14:textId="4D3C57A8" w:rsidR="00D15D90" w:rsidRPr="0019085A" w:rsidRDefault="00D15D90" w:rsidP="00D15D90">
      <w:pPr>
        <w:pStyle w:val="8TfGMStandardDocumentText"/>
        <w:spacing w:after="100" w:afterAutospacing="1" w:line="360" w:lineRule="auto"/>
        <w:contextualSpacing/>
        <w:jc w:val="left"/>
        <w:rPr>
          <w:rFonts w:ascii="Arial" w:hAnsi="Arial"/>
          <w:sz w:val="24"/>
        </w:rPr>
      </w:pPr>
      <w:r w:rsidRPr="001B1393">
        <w:rPr>
          <w:rFonts w:ascii="Arial" w:hAnsi="Arial"/>
          <w:sz w:val="24"/>
        </w:rPr>
        <w:t>This expansion of the Metrolink network was largely funded by the Greater Manchester Transport Fund (GMTF), which included a combination of central government and locally funded borrowings. As agreed by Association of Greater Manchester Authorities (AGMA)/GMCA, the original funding strategy for the local funding element was that all net revenues generated from Metrolink were ring fenced to fund the financing costs associated with the borrowings.  However, the onset of COVID-19 and the subsequent post-pandemic period have impacted this funding strategy.</w:t>
      </w:r>
    </w:p>
    <w:p w14:paraId="7E2E43F6"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p>
    <w:p w14:paraId="4FF21D1E"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r w:rsidRPr="00DE3A9A">
        <w:rPr>
          <w:rFonts w:ascii="Arial" w:hAnsi="Arial"/>
          <w:sz w:val="24"/>
        </w:rPr>
        <w:t xml:space="preserve">As at March 2024, whilst patronage had broadly recovered to the same levels experienced before the pandemic, this was lower than the projected growth in revenues in the original funding strategy. This reduction in farebox revenues, allied with severe </w:t>
      </w:r>
      <w:r w:rsidRPr="00DE3A9A">
        <w:rPr>
          <w:rFonts w:ascii="Arial" w:hAnsi="Arial"/>
          <w:sz w:val="24"/>
        </w:rPr>
        <w:lastRenderedPageBreak/>
        <w:t xml:space="preserve">inflationary pressures on the cost base, means that the network continues to face funding challenges over the coming period. These funding challenges have been largely mitigated over the post-pandemic period through exceptional DfT funding (including £18m of exceptional funding received in 2023/24) but this funding support has tapered off gradually over the period and there is currently no additional DfT funding planned to be made available for 2024/25. As such, TfGM has developed and updated a Financial Sustainability Plan (FSP) that sets out how TfGM will navigate the post-pandemic period and gradually return the network to a more stable funding environment.  </w:t>
      </w:r>
    </w:p>
    <w:p w14:paraId="1653DF58"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r w:rsidRPr="0019085A">
        <w:rPr>
          <w:rFonts w:ascii="Arial" w:hAnsi="Arial"/>
          <w:sz w:val="24"/>
        </w:rPr>
        <w:t xml:space="preserve"> </w:t>
      </w:r>
    </w:p>
    <w:p w14:paraId="2AABE579" w14:textId="77777777" w:rsidR="00D15D90" w:rsidRPr="0019085A" w:rsidRDefault="00D15D90" w:rsidP="00D15D90">
      <w:pPr>
        <w:pStyle w:val="8TfGMStandardDocumentText"/>
        <w:spacing w:after="100" w:afterAutospacing="1" w:line="360" w:lineRule="auto"/>
        <w:contextualSpacing/>
        <w:jc w:val="left"/>
        <w:rPr>
          <w:rFonts w:ascii="Arial" w:hAnsi="Arial"/>
          <w:sz w:val="24"/>
          <w:u w:val="single"/>
        </w:rPr>
      </w:pPr>
      <w:r w:rsidRPr="0019085A">
        <w:rPr>
          <w:rFonts w:ascii="Arial" w:hAnsi="Arial"/>
          <w:sz w:val="24"/>
          <w:u w:val="single"/>
        </w:rPr>
        <w:t xml:space="preserve">Bus </w:t>
      </w:r>
      <w:r>
        <w:rPr>
          <w:rFonts w:ascii="Arial" w:hAnsi="Arial"/>
          <w:sz w:val="24"/>
          <w:u w:val="single"/>
        </w:rPr>
        <w:t>and Bus Reform</w:t>
      </w:r>
    </w:p>
    <w:p w14:paraId="1F8F16C5" w14:textId="77777777" w:rsidR="00D15D90" w:rsidRPr="0019085A" w:rsidRDefault="00D15D90" w:rsidP="00D15D90">
      <w:pPr>
        <w:pStyle w:val="8TfGMStandardDocumentText"/>
        <w:spacing w:after="100" w:afterAutospacing="1" w:line="360" w:lineRule="auto"/>
        <w:contextualSpacing/>
        <w:jc w:val="left"/>
        <w:rPr>
          <w:rFonts w:ascii="Arial" w:hAnsi="Arial"/>
          <w:sz w:val="24"/>
          <w:u w:val="single"/>
        </w:rPr>
      </w:pPr>
      <w:r w:rsidRPr="0019085A">
        <w:rPr>
          <w:rFonts w:ascii="Arial" w:hAnsi="Arial"/>
          <w:sz w:val="24"/>
          <w:u w:val="single"/>
        </w:rPr>
        <w:t xml:space="preserve"> </w:t>
      </w:r>
    </w:p>
    <w:p w14:paraId="4F6945CD"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r w:rsidRPr="0019085A">
        <w:rPr>
          <w:rFonts w:ascii="Arial" w:hAnsi="Arial"/>
          <w:sz w:val="24"/>
        </w:rPr>
        <w:t xml:space="preserve">Greater Manchester’s bus network plays a key role in keeping the city region moving by helping to reduce car journeys and easing congestion on roads. </w:t>
      </w:r>
    </w:p>
    <w:p w14:paraId="14A7B932"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r w:rsidRPr="0019085A">
        <w:rPr>
          <w:rFonts w:ascii="Arial" w:hAnsi="Arial"/>
          <w:sz w:val="24"/>
        </w:rPr>
        <w:t xml:space="preserve"> </w:t>
      </w:r>
    </w:p>
    <w:p w14:paraId="01785FFA" w14:textId="77777777" w:rsidR="00D15D90" w:rsidRDefault="00D15D90" w:rsidP="00D15D90">
      <w:pPr>
        <w:pStyle w:val="8TfGMStandardDocumentText"/>
        <w:spacing w:after="100" w:afterAutospacing="1" w:line="360" w:lineRule="auto"/>
        <w:contextualSpacing/>
        <w:jc w:val="left"/>
        <w:rPr>
          <w:rFonts w:ascii="Arial" w:hAnsi="Arial"/>
          <w:sz w:val="24"/>
        </w:rPr>
      </w:pPr>
      <w:r w:rsidRPr="0019085A">
        <w:rPr>
          <w:rFonts w:ascii="Arial" w:hAnsi="Arial"/>
          <w:sz w:val="24"/>
        </w:rPr>
        <w:t xml:space="preserve">Bus services were deregulated in 1986 under the Transport Act 1985. Consequently, </w:t>
      </w:r>
      <w:r>
        <w:rPr>
          <w:rFonts w:ascii="Arial" w:hAnsi="Arial"/>
          <w:sz w:val="24"/>
        </w:rPr>
        <w:t xml:space="preserve">before the introduction of bus franchising, </w:t>
      </w:r>
      <w:r w:rsidRPr="0019085A">
        <w:rPr>
          <w:rFonts w:ascii="Arial" w:hAnsi="Arial"/>
          <w:sz w:val="24"/>
        </w:rPr>
        <w:t xml:space="preserve">there </w:t>
      </w:r>
      <w:r>
        <w:rPr>
          <w:rFonts w:ascii="Arial" w:hAnsi="Arial"/>
          <w:sz w:val="24"/>
        </w:rPr>
        <w:t>we</w:t>
      </w:r>
      <w:r w:rsidRPr="0019085A">
        <w:rPr>
          <w:rFonts w:ascii="Arial" w:hAnsi="Arial"/>
          <w:sz w:val="24"/>
        </w:rPr>
        <w:t xml:space="preserve">re currently two interacting bus markets in Greater Manchester: a commercial (deregulated) market and a subsidised (contracted) market. Over 80% of services </w:t>
      </w:r>
      <w:r>
        <w:rPr>
          <w:rFonts w:ascii="Arial" w:hAnsi="Arial"/>
          <w:sz w:val="24"/>
        </w:rPr>
        <w:t>we</w:t>
      </w:r>
      <w:r w:rsidRPr="0019085A">
        <w:rPr>
          <w:rFonts w:ascii="Arial" w:hAnsi="Arial"/>
          <w:sz w:val="24"/>
        </w:rPr>
        <w:t>re run commercially by bus companies who set the routes, timetables, fares, frequencies and quality standards. The remaining services form</w:t>
      </w:r>
      <w:r>
        <w:rPr>
          <w:rFonts w:ascii="Arial" w:hAnsi="Arial"/>
          <w:sz w:val="24"/>
        </w:rPr>
        <w:t>ed</w:t>
      </w:r>
      <w:r w:rsidRPr="0019085A">
        <w:rPr>
          <w:rFonts w:ascii="Arial" w:hAnsi="Arial"/>
          <w:sz w:val="24"/>
        </w:rPr>
        <w:t xml:space="preserve"> the subsidised market, where bus operators compete to win contracts offered by TfGM. These contracts are for services, or parts of services (early morning or evening journeys) that are considered to be socially necessary and are funded by TfGM. </w:t>
      </w:r>
    </w:p>
    <w:p w14:paraId="02069EC4"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p>
    <w:p w14:paraId="5305675F" w14:textId="1EFBB68E" w:rsidR="00D15D90" w:rsidRPr="00DE3A9A" w:rsidRDefault="00D15D90" w:rsidP="00D15D90">
      <w:pPr>
        <w:pStyle w:val="8TfGMStandardDocumentText"/>
        <w:spacing w:after="100" w:afterAutospacing="1" w:line="360" w:lineRule="auto"/>
        <w:contextualSpacing/>
        <w:jc w:val="left"/>
        <w:rPr>
          <w:rFonts w:ascii="Arial" w:hAnsi="Arial"/>
          <w:sz w:val="24"/>
        </w:rPr>
      </w:pPr>
      <w:r w:rsidRPr="0019085A">
        <w:rPr>
          <w:rFonts w:ascii="Arial" w:hAnsi="Arial"/>
          <w:sz w:val="24"/>
        </w:rPr>
        <w:t xml:space="preserve"> </w:t>
      </w:r>
      <w:r w:rsidRPr="00DE3A9A">
        <w:rPr>
          <w:rFonts w:ascii="Arial" w:hAnsi="Arial"/>
          <w:sz w:val="24"/>
        </w:rPr>
        <w:t>In March 2021, the Mayor of Greater Manchester, Andy Burnham took the decision to reform and regulate the bus network through implementation of bus franchising as part of plans for a joined-up and truly customer-focused transport network – the Bee Network. The delivery and roll out of Bus Franchising has commenced during 2023/24.  It is being rolled out in three phases or ‘tranches’, consistent with geographic areas in GM. Tranche 1 went live in September 2023, followed by Tranche 2 in March 2024. Tranches 1 and 2 represent c.50% of the network, with the remainder to be franchised from January 2025. In the franchised network improvements in reliability, service quality and integration are already beginning to be delivered as the franchised services are rolled out and as operators work to meet the new standards that they are contracted to deliver.</w:t>
      </w:r>
    </w:p>
    <w:p w14:paraId="115B8642" w14:textId="77777777" w:rsidR="00D15D90" w:rsidRPr="00DE3A9A" w:rsidRDefault="00D15D90" w:rsidP="00D15D90">
      <w:pPr>
        <w:pStyle w:val="8TfGMStandardDocumentText"/>
        <w:spacing w:after="100" w:afterAutospacing="1" w:line="360" w:lineRule="auto"/>
        <w:contextualSpacing/>
        <w:rPr>
          <w:rFonts w:ascii="Arial" w:hAnsi="Arial"/>
          <w:sz w:val="24"/>
        </w:rPr>
      </w:pPr>
    </w:p>
    <w:p w14:paraId="7F3A5BED" w14:textId="77777777" w:rsidR="00D15D90" w:rsidRPr="00DE3A9A" w:rsidRDefault="00D15D90" w:rsidP="00D15D90">
      <w:pPr>
        <w:pStyle w:val="8TfGMStandardDocumentText"/>
        <w:spacing w:after="100" w:afterAutospacing="1" w:line="360" w:lineRule="auto"/>
        <w:contextualSpacing/>
        <w:jc w:val="left"/>
        <w:rPr>
          <w:rFonts w:ascii="Arial" w:hAnsi="Arial"/>
          <w:sz w:val="24"/>
        </w:rPr>
      </w:pPr>
      <w:r w:rsidRPr="00DE3A9A">
        <w:rPr>
          <w:rFonts w:ascii="Arial" w:hAnsi="Arial"/>
          <w:sz w:val="24"/>
        </w:rPr>
        <w:t xml:space="preserve">The implementation of bus franchising has coincided with the COVID-19 pandemic and its aftermath. At the onset of the pandemic, as with the Metrolink network, both bus patronage and revenue experienced significant declines. These lower farebox revenues, coupled with the rising costs of inflation (higher fuel, labour costs etc) have impacted the trading environment that is being inherited through franchising and subsequently has created funding challenges. As with the Metrolink network, exceptional DfT funding throughout the post-pandemic period has largely mitigated these challenges, including meeting the costs of replacing services that had been withdrawn in advance of franchising commencing. However, these sources of government funding have started to taper off and there remains uncertainty on the level of future year funding. For this reason, the </w:t>
      </w:r>
      <w:r>
        <w:rPr>
          <w:rFonts w:ascii="Arial" w:hAnsi="Arial"/>
          <w:sz w:val="24"/>
        </w:rPr>
        <w:t xml:space="preserve">TfGM </w:t>
      </w:r>
      <w:r w:rsidRPr="00DE3A9A">
        <w:rPr>
          <w:rFonts w:ascii="Arial" w:hAnsi="Arial"/>
          <w:sz w:val="24"/>
        </w:rPr>
        <w:t>F</w:t>
      </w:r>
      <w:r>
        <w:rPr>
          <w:rFonts w:ascii="Arial" w:hAnsi="Arial"/>
          <w:sz w:val="24"/>
        </w:rPr>
        <w:t>inancial Sustainability Plan</w:t>
      </w:r>
      <w:r w:rsidRPr="00DE3A9A">
        <w:rPr>
          <w:rFonts w:ascii="Arial" w:hAnsi="Arial"/>
          <w:sz w:val="24"/>
        </w:rPr>
        <w:t xml:space="preserve"> addresses the funding challenges on both the Metrolink and Bus network. </w:t>
      </w:r>
    </w:p>
    <w:p w14:paraId="7CE59E03" w14:textId="77777777" w:rsidR="00D15D90" w:rsidRPr="00DE3A9A" w:rsidRDefault="00D15D90" w:rsidP="00D15D90">
      <w:pPr>
        <w:pStyle w:val="8TfGMStandardDocumentText"/>
        <w:spacing w:after="100" w:afterAutospacing="1" w:line="360" w:lineRule="auto"/>
        <w:contextualSpacing/>
        <w:jc w:val="left"/>
        <w:rPr>
          <w:rFonts w:ascii="Arial" w:hAnsi="Arial"/>
          <w:sz w:val="24"/>
        </w:rPr>
      </w:pPr>
    </w:p>
    <w:p w14:paraId="0FEBD04E" w14:textId="77777777" w:rsidR="00D15D90" w:rsidRPr="00DE3A9A" w:rsidRDefault="00D15D90" w:rsidP="00D15D90">
      <w:pPr>
        <w:pStyle w:val="8TfGMStandardDocumentText"/>
        <w:spacing w:after="100" w:afterAutospacing="1" w:line="360" w:lineRule="auto"/>
        <w:contextualSpacing/>
        <w:jc w:val="left"/>
        <w:rPr>
          <w:rFonts w:ascii="Arial" w:hAnsi="Arial"/>
          <w:sz w:val="24"/>
        </w:rPr>
      </w:pPr>
      <w:r w:rsidRPr="00DE3A9A">
        <w:rPr>
          <w:rFonts w:ascii="Arial" w:hAnsi="Arial"/>
          <w:sz w:val="24"/>
        </w:rPr>
        <w:t>During the year, TfGM has also continued to implement initiatives which are being funded from DfT’s Bus Services Improvement Plan (BSIP). This funding allocation of £94.8 million is for the period from 2022/23 to 2024/25. As agreed by GMCA, TfGM has used most of the BSIP funding to introduce capped bus fares. These were introduced in September 2022 (singles and daily fares) and January 2023 (weekly fares). In the report to GMCA in June 2022 on the implementation of single and daily capped fares, it was recommended that these proposals should be introduced on an initial one-year basis, from September 2022 to August 2023, with a commitment to review the delivery by summer 2023. Following this review, in June 2023, GMCA agreed to the continuation of the capped fares scheme subject to a further review in summer 2024. BSIP Funding is also being used to partially support the network stabilisation activities referred to above.</w:t>
      </w:r>
    </w:p>
    <w:p w14:paraId="64A2F383" w14:textId="77777777" w:rsidR="00D15D90" w:rsidRPr="00DE3A9A" w:rsidRDefault="00D15D90" w:rsidP="00D15D90">
      <w:pPr>
        <w:pStyle w:val="8TfGMStandardDocumentText"/>
        <w:spacing w:after="100" w:afterAutospacing="1" w:line="360" w:lineRule="auto"/>
        <w:contextualSpacing/>
        <w:jc w:val="left"/>
        <w:rPr>
          <w:rFonts w:ascii="Arial" w:hAnsi="Arial"/>
          <w:sz w:val="24"/>
        </w:rPr>
      </w:pPr>
    </w:p>
    <w:p w14:paraId="5A64C4C0" w14:textId="77777777" w:rsidR="00D15D90" w:rsidRPr="00DE3A9A" w:rsidRDefault="00D15D90" w:rsidP="00D15D90">
      <w:pPr>
        <w:pStyle w:val="8TfGMStandardDocumentText"/>
        <w:spacing w:after="100" w:afterAutospacing="1" w:line="360" w:lineRule="auto"/>
        <w:contextualSpacing/>
        <w:jc w:val="left"/>
        <w:rPr>
          <w:rFonts w:ascii="Arial" w:hAnsi="Arial"/>
          <w:sz w:val="24"/>
        </w:rPr>
      </w:pPr>
      <w:r w:rsidRPr="00DE3A9A">
        <w:rPr>
          <w:rFonts w:ascii="Arial" w:hAnsi="Arial"/>
          <w:sz w:val="24"/>
        </w:rPr>
        <w:t xml:space="preserve">TfGM also funds two Demand Responsive Transport services in Greater Manchester. Local Link allows passengers living in areas where the service is active, to ring and book a journey within the local area. The vehicles used on this service are minibuses and it is a multi-occupancy service. No age or disability restrictions apply to these services.  </w:t>
      </w:r>
    </w:p>
    <w:p w14:paraId="66DCE39F" w14:textId="77777777" w:rsidR="00D15D90" w:rsidRPr="00DE3A9A" w:rsidRDefault="00D15D90" w:rsidP="00D15D90">
      <w:pPr>
        <w:pStyle w:val="8TfGMStandardDocumentText"/>
        <w:spacing w:after="100" w:afterAutospacing="1" w:line="360" w:lineRule="auto"/>
        <w:contextualSpacing/>
        <w:jc w:val="left"/>
        <w:rPr>
          <w:rFonts w:ascii="Arial" w:hAnsi="Arial"/>
          <w:sz w:val="24"/>
        </w:rPr>
      </w:pPr>
    </w:p>
    <w:p w14:paraId="43153DDA"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r w:rsidRPr="00DE3A9A">
        <w:rPr>
          <w:rFonts w:ascii="Arial" w:hAnsi="Arial"/>
          <w:sz w:val="24"/>
        </w:rPr>
        <w:t xml:space="preserve">In addition, Ring and Ride operates across Greater Manchester and provides a door-to-door minibus service for people who find it difficult to use regular public transport. Eligible passengers and an accompanying adult can access free or low-cost journeys of </w:t>
      </w:r>
      <w:r w:rsidRPr="00DE3A9A">
        <w:rPr>
          <w:rFonts w:ascii="Arial" w:hAnsi="Arial"/>
          <w:sz w:val="24"/>
        </w:rPr>
        <w:lastRenderedPageBreak/>
        <w:t>six miles or less in Greater Manchester. The Ring &amp; Ride service is operated by Greater Manchester Accessible Transport Ltd (GMATL) and is mainly funded via a grant from TfGM.</w:t>
      </w:r>
    </w:p>
    <w:p w14:paraId="20F2AE09"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p>
    <w:p w14:paraId="190B60F2" w14:textId="77777777" w:rsidR="00D15D90" w:rsidRPr="0019085A" w:rsidRDefault="00D15D90" w:rsidP="00D15D90">
      <w:pPr>
        <w:pStyle w:val="8TfGMStandardDocumentText"/>
        <w:spacing w:after="100" w:afterAutospacing="1" w:line="360" w:lineRule="auto"/>
        <w:contextualSpacing/>
        <w:jc w:val="left"/>
        <w:rPr>
          <w:rFonts w:ascii="Arial" w:hAnsi="Arial"/>
          <w:sz w:val="24"/>
          <w:u w:val="single"/>
        </w:rPr>
      </w:pPr>
      <w:r w:rsidRPr="0019085A">
        <w:rPr>
          <w:rFonts w:ascii="Arial" w:hAnsi="Arial"/>
          <w:sz w:val="24"/>
          <w:u w:val="single"/>
        </w:rPr>
        <w:t xml:space="preserve">Rail </w:t>
      </w:r>
    </w:p>
    <w:p w14:paraId="6492D6F0" w14:textId="77777777" w:rsidR="00D15D90" w:rsidRPr="00DE3A9A" w:rsidRDefault="00D15D90" w:rsidP="00D15D90">
      <w:pPr>
        <w:pStyle w:val="8TfGMStandardDocumentText"/>
        <w:spacing w:after="100" w:afterAutospacing="1" w:line="360" w:lineRule="auto"/>
        <w:contextualSpacing/>
        <w:jc w:val="left"/>
        <w:rPr>
          <w:rFonts w:ascii="Arial" w:hAnsi="Arial"/>
          <w:sz w:val="24"/>
        </w:rPr>
      </w:pPr>
      <w:r w:rsidRPr="00DE3A9A">
        <w:rPr>
          <w:rFonts w:ascii="Arial" w:hAnsi="Arial"/>
          <w:sz w:val="24"/>
        </w:rPr>
        <w:t xml:space="preserve">Greater Manchester places transport at the core of its growth agenda. Excellent transport connectivity is fundamental to our people, businesses, and communities, fulfilling their potential at the heart of a globalised and sustainable Northern Powerhouse economy. </w:t>
      </w:r>
    </w:p>
    <w:p w14:paraId="704CA9C6" w14:textId="77777777" w:rsidR="00D15D90" w:rsidRPr="00DE3A9A" w:rsidRDefault="00D15D90" w:rsidP="00D15D90">
      <w:pPr>
        <w:pStyle w:val="8TfGMStandardDocumentText"/>
        <w:spacing w:after="100" w:afterAutospacing="1" w:line="360" w:lineRule="auto"/>
        <w:contextualSpacing/>
        <w:jc w:val="left"/>
        <w:rPr>
          <w:rFonts w:ascii="Arial" w:hAnsi="Arial"/>
          <w:sz w:val="24"/>
        </w:rPr>
      </w:pPr>
    </w:p>
    <w:p w14:paraId="481A030C" w14:textId="77777777" w:rsidR="00D15D90" w:rsidRPr="00DE3A9A" w:rsidRDefault="00D15D90" w:rsidP="00D15D90">
      <w:pPr>
        <w:pStyle w:val="8TfGMStandardDocumentText"/>
        <w:spacing w:after="100" w:afterAutospacing="1" w:line="360" w:lineRule="auto"/>
        <w:contextualSpacing/>
        <w:jc w:val="left"/>
        <w:rPr>
          <w:rFonts w:ascii="Arial" w:hAnsi="Arial"/>
          <w:sz w:val="24"/>
        </w:rPr>
      </w:pPr>
      <w:r w:rsidRPr="00DE3A9A">
        <w:rPr>
          <w:rFonts w:ascii="Arial" w:hAnsi="Arial"/>
          <w:sz w:val="24"/>
        </w:rPr>
        <w:t xml:space="preserve">At the heart of our vision for the Bee Network is a renewed policy focus on public transport integration. Rail, the missing piece to GM’s integrated transport network, will need to play its part in achieving this concept and support our ‘Right Mix’ vision and ambitious plans for sustainable growth and economic prosperity. </w:t>
      </w:r>
    </w:p>
    <w:p w14:paraId="28F3AF6A" w14:textId="77777777" w:rsidR="00D15D90" w:rsidRPr="00DE3A9A" w:rsidRDefault="00D15D90" w:rsidP="00D15D90">
      <w:pPr>
        <w:pStyle w:val="8TfGMStandardDocumentText"/>
        <w:spacing w:after="100" w:afterAutospacing="1" w:line="360" w:lineRule="auto"/>
        <w:contextualSpacing/>
        <w:jc w:val="left"/>
        <w:rPr>
          <w:rFonts w:ascii="Arial" w:hAnsi="Arial"/>
          <w:sz w:val="24"/>
        </w:rPr>
      </w:pPr>
    </w:p>
    <w:p w14:paraId="279D36FF" w14:textId="77777777" w:rsidR="00D15D90" w:rsidRPr="00DE3A9A" w:rsidRDefault="00D15D90" w:rsidP="00D15D90">
      <w:pPr>
        <w:pStyle w:val="8TfGMStandardDocumentText"/>
        <w:spacing w:after="100" w:afterAutospacing="1" w:line="360" w:lineRule="auto"/>
        <w:contextualSpacing/>
        <w:jc w:val="left"/>
        <w:rPr>
          <w:rFonts w:ascii="Arial" w:hAnsi="Arial"/>
          <w:sz w:val="24"/>
        </w:rPr>
      </w:pPr>
      <w:r w:rsidRPr="00DE3A9A">
        <w:rPr>
          <w:rFonts w:ascii="Arial" w:hAnsi="Arial"/>
          <w:sz w:val="24"/>
        </w:rPr>
        <w:t>In March 2023 the GMCA agreed terms with central government via the Department for Housing, Levelling Up and Communities (DHLUC) Trailblazer Deeper Devolution Deal which included more influence on regional rail services. The Trailblazer Deeper Devolution Deal is a major step forward in improving our railways and ensuring socio-economic prosperity is spread across the city region. It commits to fully integrating rail services into the Bee Network by 2030, through the delivery of:</w:t>
      </w:r>
    </w:p>
    <w:p w14:paraId="5553A509" w14:textId="77777777" w:rsidR="00D15D90" w:rsidRPr="00DE3A9A" w:rsidRDefault="00D15D90" w:rsidP="00D15D90">
      <w:pPr>
        <w:pStyle w:val="8TfGMStandardDocumentText"/>
        <w:spacing w:after="100" w:afterAutospacing="1" w:line="360" w:lineRule="auto"/>
        <w:contextualSpacing/>
        <w:jc w:val="left"/>
        <w:rPr>
          <w:rFonts w:ascii="Arial" w:hAnsi="Arial"/>
          <w:sz w:val="24"/>
        </w:rPr>
      </w:pPr>
    </w:p>
    <w:p w14:paraId="04EF204B" w14:textId="77777777" w:rsidR="00D15D90" w:rsidRPr="00DE3A9A" w:rsidRDefault="00D15D90" w:rsidP="00D15D90">
      <w:pPr>
        <w:pStyle w:val="8TfGMStandardDocumentText"/>
        <w:spacing w:line="360" w:lineRule="auto"/>
        <w:ind w:left="1560" w:hanging="993"/>
        <w:contextualSpacing/>
        <w:jc w:val="left"/>
        <w:rPr>
          <w:rFonts w:ascii="Arial" w:hAnsi="Arial"/>
          <w:sz w:val="24"/>
        </w:rPr>
      </w:pPr>
      <w:r w:rsidRPr="00DE3A9A">
        <w:rPr>
          <w:rFonts w:ascii="Arial" w:hAnsi="Arial"/>
          <w:sz w:val="24"/>
        </w:rPr>
        <w:t>•</w:t>
      </w:r>
      <w:r w:rsidRPr="00DE3A9A">
        <w:rPr>
          <w:rFonts w:ascii="Arial" w:hAnsi="Arial"/>
          <w:sz w:val="24"/>
        </w:rPr>
        <w:tab/>
        <w:t xml:space="preserve">Full multi modal fares and ticketing integration across bus, Metrolink, rail and cycle hire (including fares simplification and capping) by 2030 </w:t>
      </w:r>
    </w:p>
    <w:p w14:paraId="64B67E70" w14:textId="77777777" w:rsidR="00D15D90" w:rsidRPr="00DE3A9A" w:rsidRDefault="00D15D90" w:rsidP="00D15D90">
      <w:pPr>
        <w:pStyle w:val="8TfGMStandardDocumentText"/>
        <w:spacing w:line="360" w:lineRule="auto"/>
        <w:ind w:left="1560" w:hanging="993"/>
        <w:contextualSpacing/>
        <w:jc w:val="left"/>
        <w:rPr>
          <w:rFonts w:ascii="Arial" w:hAnsi="Arial"/>
          <w:sz w:val="24"/>
        </w:rPr>
      </w:pPr>
      <w:r w:rsidRPr="00DE3A9A">
        <w:rPr>
          <w:rFonts w:ascii="Arial" w:hAnsi="Arial"/>
          <w:sz w:val="24"/>
        </w:rPr>
        <w:t>•</w:t>
      </w:r>
      <w:r w:rsidRPr="00DE3A9A">
        <w:rPr>
          <w:rFonts w:ascii="Arial" w:hAnsi="Arial"/>
          <w:sz w:val="24"/>
        </w:rPr>
        <w:tab/>
        <w:t>Bee Network co-branding across stations, designs, and standards</w:t>
      </w:r>
    </w:p>
    <w:p w14:paraId="481D7A6F" w14:textId="77777777" w:rsidR="00D15D90" w:rsidRPr="00DE3A9A" w:rsidRDefault="00D15D90" w:rsidP="00D15D90">
      <w:pPr>
        <w:pStyle w:val="8TfGMStandardDocumentText"/>
        <w:spacing w:line="360" w:lineRule="auto"/>
        <w:ind w:left="1560" w:hanging="993"/>
        <w:contextualSpacing/>
        <w:jc w:val="left"/>
        <w:rPr>
          <w:rFonts w:ascii="Arial" w:hAnsi="Arial"/>
          <w:sz w:val="24"/>
        </w:rPr>
      </w:pPr>
      <w:r w:rsidRPr="00DE3A9A">
        <w:rPr>
          <w:rFonts w:ascii="Arial" w:hAnsi="Arial"/>
          <w:sz w:val="24"/>
        </w:rPr>
        <w:t>•</w:t>
      </w:r>
      <w:r w:rsidRPr="00DE3A9A">
        <w:rPr>
          <w:rFonts w:ascii="Arial" w:hAnsi="Arial"/>
          <w:sz w:val="24"/>
        </w:rPr>
        <w:tab/>
        <w:t>Establishment of a North West Regional Business Unit to help support the management of the current Northern and TransPennine Passenger Service Contracts</w:t>
      </w:r>
    </w:p>
    <w:p w14:paraId="2DEED5CF" w14:textId="77777777" w:rsidR="00D15D90" w:rsidRPr="00DE3A9A" w:rsidRDefault="00D15D90" w:rsidP="00D15D90">
      <w:pPr>
        <w:pStyle w:val="8TfGMStandardDocumentText"/>
        <w:spacing w:line="360" w:lineRule="auto"/>
        <w:ind w:left="1560" w:hanging="993"/>
        <w:contextualSpacing/>
        <w:jc w:val="left"/>
        <w:rPr>
          <w:rFonts w:ascii="Arial" w:hAnsi="Arial"/>
          <w:sz w:val="24"/>
        </w:rPr>
      </w:pPr>
      <w:r w:rsidRPr="00DE3A9A">
        <w:rPr>
          <w:rFonts w:ascii="Arial" w:hAnsi="Arial"/>
          <w:sz w:val="24"/>
        </w:rPr>
        <w:t>•</w:t>
      </w:r>
      <w:r w:rsidRPr="00DE3A9A">
        <w:rPr>
          <w:rFonts w:ascii="Arial" w:hAnsi="Arial"/>
          <w:sz w:val="24"/>
        </w:rPr>
        <w:tab/>
        <w:t>A commercial vehicle to drive land value capture and regeneration at GM stations</w:t>
      </w:r>
    </w:p>
    <w:p w14:paraId="3E8D25BD" w14:textId="77777777" w:rsidR="00D15D90" w:rsidRPr="00DE3A9A" w:rsidRDefault="00D15D90" w:rsidP="00D15D90">
      <w:pPr>
        <w:pStyle w:val="8TfGMStandardDocumentText"/>
        <w:spacing w:line="360" w:lineRule="auto"/>
        <w:ind w:left="1560" w:hanging="993"/>
        <w:contextualSpacing/>
        <w:jc w:val="left"/>
        <w:rPr>
          <w:rFonts w:ascii="Arial" w:hAnsi="Arial"/>
          <w:sz w:val="24"/>
        </w:rPr>
      </w:pPr>
      <w:r w:rsidRPr="00DE3A9A">
        <w:rPr>
          <w:rFonts w:ascii="Arial" w:hAnsi="Arial"/>
          <w:sz w:val="24"/>
        </w:rPr>
        <w:t>•</w:t>
      </w:r>
      <w:r w:rsidRPr="00DE3A9A">
        <w:rPr>
          <w:rFonts w:ascii="Arial" w:hAnsi="Arial"/>
          <w:sz w:val="24"/>
        </w:rPr>
        <w:tab/>
        <w:t>Sponsorship of infrastructure and service enhancement schemes that impact GM</w:t>
      </w:r>
    </w:p>
    <w:p w14:paraId="47ED9EB3" w14:textId="77777777" w:rsidR="00D15D90" w:rsidRDefault="00D15D90" w:rsidP="00D15D90">
      <w:pPr>
        <w:pStyle w:val="8TfGMStandardDocumentText"/>
        <w:spacing w:after="100" w:afterAutospacing="1" w:line="360" w:lineRule="auto"/>
        <w:ind w:left="1560" w:hanging="993"/>
        <w:contextualSpacing/>
        <w:jc w:val="left"/>
        <w:rPr>
          <w:rFonts w:ascii="Arial" w:hAnsi="Arial"/>
          <w:sz w:val="24"/>
        </w:rPr>
      </w:pPr>
      <w:r w:rsidRPr="00DE3A9A">
        <w:rPr>
          <w:rFonts w:ascii="Arial" w:hAnsi="Arial"/>
          <w:sz w:val="24"/>
        </w:rPr>
        <w:t>•</w:t>
      </w:r>
      <w:r w:rsidRPr="00DE3A9A">
        <w:rPr>
          <w:rFonts w:ascii="Arial" w:hAnsi="Arial"/>
          <w:sz w:val="24"/>
        </w:rPr>
        <w:tab/>
        <w:t xml:space="preserve">A Greater Manchester-Great British Railways Partnership and in the interim a Greater Manchester Rail Board which will be responsible for the </w:t>
      </w:r>
      <w:r w:rsidRPr="00DE3A9A">
        <w:rPr>
          <w:rFonts w:ascii="Arial" w:hAnsi="Arial"/>
          <w:sz w:val="24"/>
        </w:rPr>
        <w:lastRenderedPageBreak/>
        <w:t xml:space="preserve">delivery of the Trailblazer Deal and Integration of Rail into the Bee Network prior to GBR stand-up.  </w:t>
      </w:r>
    </w:p>
    <w:p w14:paraId="01EE071B" w14:textId="77777777" w:rsidR="00D15D90" w:rsidRPr="00DE3A9A" w:rsidRDefault="00D15D90" w:rsidP="00D15D90">
      <w:pPr>
        <w:pStyle w:val="8TfGMStandardDocumentText"/>
        <w:spacing w:line="360" w:lineRule="auto"/>
        <w:ind w:left="1560" w:hanging="993"/>
        <w:contextualSpacing/>
        <w:jc w:val="left"/>
        <w:rPr>
          <w:rFonts w:ascii="Arial" w:hAnsi="Arial"/>
          <w:sz w:val="24"/>
        </w:rPr>
      </w:pPr>
    </w:p>
    <w:p w14:paraId="239354A0" w14:textId="77777777" w:rsidR="00D15D90" w:rsidRPr="00DE3A9A" w:rsidRDefault="00D15D90" w:rsidP="00D15D90">
      <w:pPr>
        <w:pStyle w:val="8TfGMStandardDocumentText"/>
        <w:spacing w:line="360" w:lineRule="auto"/>
        <w:contextualSpacing/>
        <w:jc w:val="left"/>
        <w:rPr>
          <w:rFonts w:ascii="Arial" w:hAnsi="Arial"/>
          <w:sz w:val="24"/>
        </w:rPr>
      </w:pPr>
      <w:r w:rsidRPr="00DE3A9A">
        <w:rPr>
          <w:rFonts w:ascii="Arial" w:hAnsi="Arial"/>
          <w:sz w:val="24"/>
        </w:rPr>
        <w:t xml:space="preserve">Building on the above Trailblazer outputs and working extensively with the Department for Transport (DfT), Great British Railways Team (GBRTT), and wider rail industry partners, work has now progressed on developing a programme of activity for fully integrating rail into the Bee Network by 2028 and beyond. This work is being driven through the GM-GBR Partnership, with a high-level Programme and funding ask being developed for delivering Bee Network Rail Integration of the 8 priority corridors and a more detailed programme outlining full integration of rail into the Bee Network will be produced by December 2024. Work is also being progressed to develop TfGM’s rail reform plans and future target operating model. </w:t>
      </w:r>
    </w:p>
    <w:p w14:paraId="66225258" w14:textId="77777777" w:rsidR="00D15D90" w:rsidRPr="0019085A" w:rsidRDefault="00D15D90" w:rsidP="00D15D90">
      <w:pPr>
        <w:pStyle w:val="8TfGMStandardDocumentText"/>
        <w:spacing w:after="100" w:afterAutospacing="1" w:line="360" w:lineRule="auto"/>
        <w:contextualSpacing/>
        <w:jc w:val="left"/>
        <w:rPr>
          <w:rFonts w:ascii="Arial" w:hAnsi="Arial"/>
          <w:b/>
          <w:bCs/>
          <w:sz w:val="24"/>
          <w:lang w:eastAsia="en-US"/>
        </w:rPr>
      </w:pPr>
    </w:p>
    <w:p w14:paraId="4DBDF11B" w14:textId="77777777" w:rsidR="00D15D90" w:rsidRPr="0019085A" w:rsidRDefault="00D15D90" w:rsidP="00D15D90">
      <w:pPr>
        <w:pStyle w:val="8TfGMStandardDocumentText"/>
        <w:spacing w:after="100" w:afterAutospacing="1" w:line="360" w:lineRule="auto"/>
        <w:contextualSpacing/>
        <w:jc w:val="left"/>
        <w:rPr>
          <w:rFonts w:ascii="Arial" w:hAnsi="Arial"/>
          <w:sz w:val="24"/>
          <w:u w:val="single"/>
          <w:lang w:eastAsia="en-US"/>
        </w:rPr>
      </w:pPr>
      <w:r w:rsidRPr="0019085A">
        <w:rPr>
          <w:rFonts w:ascii="Arial" w:hAnsi="Arial"/>
          <w:sz w:val="24"/>
          <w:u w:val="single"/>
          <w:lang w:eastAsia="en-US"/>
        </w:rPr>
        <w:t>Active Travel</w:t>
      </w:r>
    </w:p>
    <w:p w14:paraId="0AD76B4F" w14:textId="77777777" w:rsidR="00D15D90" w:rsidRPr="0019085A" w:rsidRDefault="00D15D90" w:rsidP="00D15D90">
      <w:pPr>
        <w:pStyle w:val="8TfGMStandardDocumentText"/>
        <w:spacing w:after="100" w:afterAutospacing="1" w:line="360" w:lineRule="auto"/>
        <w:contextualSpacing/>
        <w:jc w:val="left"/>
        <w:rPr>
          <w:rFonts w:ascii="Arial" w:hAnsi="Arial"/>
          <w:b/>
          <w:bCs/>
          <w:sz w:val="24"/>
          <w:lang w:eastAsia="en-US"/>
        </w:rPr>
      </w:pPr>
    </w:p>
    <w:p w14:paraId="053C68A8" w14:textId="77777777" w:rsidR="00D15D90" w:rsidRPr="0019085A" w:rsidRDefault="00D15D90" w:rsidP="00D15D90">
      <w:pPr>
        <w:pStyle w:val="8TfGMStandardDocumentText"/>
        <w:spacing w:after="100" w:afterAutospacing="1" w:line="360" w:lineRule="auto"/>
        <w:contextualSpacing/>
        <w:jc w:val="left"/>
        <w:rPr>
          <w:rFonts w:ascii="Arial" w:hAnsi="Arial"/>
          <w:sz w:val="24"/>
          <w:lang w:eastAsia="en-US"/>
        </w:rPr>
      </w:pPr>
      <w:r w:rsidRPr="00B8030E">
        <w:rPr>
          <w:rFonts w:ascii="Arial" w:hAnsi="Arial"/>
          <w:sz w:val="24"/>
          <w:lang w:eastAsia="en-US"/>
        </w:rPr>
        <w:t xml:space="preserve">Around a third of all trips by GM residents are made by active travel. </w:t>
      </w:r>
      <w:r>
        <w:rPr>
          <w:rFonts w:ascii="Arial" w:hAnsi="Arial"/>
          <w:sz w:val="24"/>
          <w:lang w:eastAsia="en-US"/>
        </w:rPr>
        <w:t>Additionally, w</w:t>
      </w:r>
      <w:r w:rsidRPr="0019085A">
        <w:rPr>
          <w:rFonts w:ascii="Arial" w:hAnsi="Arial"/>
          <w:sz w:val="24"/>
          <w:lang w:eastAsia="en-US"/>
        </w:rPr>
        <w:t xml:space="preserve">alking, wheeling and cycling form many people’s ‘first and last mile’ of longer journeys by all forms of public transport mode. By facilitating integration of active travel, other sustainable modes of transport can be made more resilient, provide better customer experience, improve operating revenues, and enhance the contribution that seamless door-to-door journeys can make to reducing congestion. Combined, active travel modes form almost a quarter of all trips on the network.  </w:t>
      </w:r>
    </w:p>
    <w:p w14:paraId="798795EC" w14:textId="77777777" w:rsidR="00D15D90" w:rsidRPr="0019085A" w:rsidRDefault="00D15D90" w:rsidP="00D15D90">
      <w:pPr>
        <w:pStyle w:val="8TfGMStandardDocumentText"/>
        <w:spacing w:after="100" w:afterAutospacing="1" w:line="360" w:lineRule="auto"/>
        <w:contextualSpacing/>
        <w:jc w:val="left"/>
        <w:rPr>
          <w:rFonts w:ascii="Arial" w:hAnsi="Arial"/>
          <w:sz w:val="24"/>
          <w:lang w:eastAsia="en-US"/>
        </w:rPr>
      </w:pPr>
    </w:p>
    <w:p w14:paraId="618F74F8" w14:textId="77777777" w:rsidR="00D15D90" w:rsidRPr="0019085A" w:rsidRDefault="00D15D90" w:rsidP="00D15D90">
      <w:pPr>
        <w:pStyle w:val="8TfGMStandardDocumentText"/>
        <w:spacing w:after="100" w:afterAutospacing="1" w:line="360" w:lineRule="auto"/>
        <w:contextualSpacing/>
        <w:jc w:val="left"/>
        <w:rPr>
          <w:rFonts w:ascii="Arial" w:hAnsi="Arial"/>
          <w:sz w:val="24"/>
          <w:lang w:eastAsia="en-US"/>
        </w:rPr>
      </w:pPr>
      <w:r w:rsidRPr="0019085A">
        <w:rPr>
          <w:rFonts w:ascii="Arial" w:hAnsi="Arial"/>
          <w:sz w:val="24"/>
          <w:lang w:eastAsia="en-US"/>
        </w:rPr>
        <w:t xml:space="preserve">Walking underpins all public transport and private car journeys. Greater Manchester intends to at least double walking and double then double again cycling as modes of travelling, either as part of longer connected trips or as journeys in their own right. This is essential to achieve health, economic, clean air and decarbonisation targets in GM. These modes have the potential in many parts of GM to be the main form of transport, providing a resilient, cost effective and accessible means of travel for all. This is especially true for local trips to school, employment, leisure and nearby shopping. However, the main barriers to more people cycling are reported as being concerns about safety, access to safe routes, security and the fact that many households do not, still, have access to affordable (and in some cases accessible) bicycles. Yet without these </w:t>
      </w:r>
      <w:r w:rsidRPr="0019085A">
        <w:rPr>
          <w:rFonts w:ascii="Arial" w:hAnsi="Arial"/>
          <w:sz w:val="24"/>
          <w:lang w:eastAsia="en-US"/>
        </w:rPr>
        <w:lastRenderedPageBreak/>
        <w:t>modes GM cannot address the climate, obesity, ill health and economic inequalities experienced by many communities.</w:t>
      </w:r>
    </w:p>
    <w:p w14:paraId="57874035" w14:textId="77777777" w:rsidR="00D15D90" w:rsidRPr="0019085A" w:rsidRDefault="00D15D90" w:rsidP="00D15D90">
      <w:pPr>
        <w:pStyle w:val="8TfGMStandardDocumentText"/>
        <w:spacing w:after="100" w:afterAutospacing="1" w:line="360" w:lineRule="auto"/>
        <w:contextualSpacing/>
        <w:jc w:val="left"/>
        <w:rPr>
          <w:rFonts w:ascii="Arial" w:hAnsi="Arial"/>
          <w:sz w:val="24"/>
          <w:lang w:eastAsia="en-US"/>
        </w:rPr>
      </w:pPr>
    </w:p>
    <w:p w14:paraId="7AB72397" w14:textId="77777777" w:rsidR="00D15D90" w:rsidRPr="0019085A" w:rsidRDefault="00D15D90" w:rsidP="00D15D90">
      <w:pPr>
        <w:pStyle w:val="8TfGMStandardDocumentText"/>
        <w:spacing w:after="100" w:afterAutospacing="1" w:line="360" w:lineRule="auto"/>
        <w:contextualSpacing/>
        <w:jc w:val="left"/>
        <w:rPr>
          <w:rFonts w:ascii="Arial" w:hAnsi="Arial"/>
          <w:sz w:val="24"/>
          <w:lang w:eastAsia="en-US"/>
        </w:rPr>
      </w:pPr>
      <w:r w:rsidRPr="0019085A">
        <w:rPr>
          <w:rFonts w:ascii="Arial" w:hAnsi="Arial"/>
          <w:sz w:val="24"/>
          <w:lang w:eastAsia="en-US"/>
        </w:rPr>
        <w:t>This will be achieved by ensuring that sufficient road space and modal priority is provided for walking, wheeling and cycling, and, that these changes to the transport network are built to standards that will provide effective alternatives to the car. That demands a clear and consistent vision and leadership to ensure that schemes are designed and delivered consistently across Greater Manchester.</w:t>
      </w:r>
    </w:p>
    <w:p w14:paraId="5EDD5F19" w14:textId="77777777" w:rsidR="00D15D90" w:rsidRPr="0019085A" w:rsidRDefault="00D15D90" w:rsidP="00D15D90">
      <w:pPr>
        <w:pStyle w:val="8TfGMStandardDocumentText"/>
        <w:spacing w:after="100" w:afterAutospacing="1" w:line="360" w:lineRule="auto"/>
        <w:contextualSpacing/>
        <w:jc w:val="left"/>
        <w:rPr>
          <w:rFonts w:ascii="Arial" w:hAnsi="Arial"/>
          <w:sz w:val="24"/>
          <w:lang w:eastAsia="en-US"/>
        </w:rPr>
      </w:pPr>
    </w:p>
    <w:p w14:paraId="6D963D09" w14:textId="77777777" w:rsidR="00D15D90" w:rsidRPr="0019085A" w:rsidRDefault="00D15D90" w:rsidP="00D15D90">
      <w:pPr>
        <w:pStyle w:val="8TfGMStandardDocumentText"/>
        <w:spacing w:after="100" w:afterAutospacing="1" w:line="360" w:lineRule="auto"/>
        <w:contextualSpacing/>
        <w:jc w:val="left"/>
        <w:rPr>
          <w:rFonts w:ascii="Arial" w:hAnsi="Arial"/>
          <w:sz w:val="24"/>
          <w:lang w:eastAsia="en-US"/>
        </w:rPr>
      </w:pPr>
      <w:r>
        <w:rPr>
          <w:rFonts w:ascii="Arial" w:hAnsi="Arial"/>
          <w:sz w:val="24"/>
          <w:lang w:eastAsia="en-US"/>
        </w:rPr>
        <w:t>T</w:t>
      </w:r>
      <w:r w:rsidRPr="0019085A">
        <w:rPr>
          <w:rFonts w:ascii="Arial" w:hAnsi="Arial"/>
          <w:sz w:val="24"/>
          <w:lang w:eastAsia="en-US"/>
        </w:rPr>
        <w:t>he Active Travel Commissioner</w:t>
      </w:r>
      <w:r>
        <w:rPr>
          <w:rFonts w:ascii="Arial" w:hAnsi="Arial"/>
          <w:sz w:val="24"/>
          <w:lang w:eastAsia="en-US"/>
        </w:rPr>
        <w:t>, Sarah Storey,</w:t>
      </w:r>
      <w:r w:rsidRPr="0019085A">
        <w:rPr>
          <w:rFonts w:ascii="Arial" w:hAnsi="Arial"/>
          <w:sz w:val="24"/>
          <w:lang w:eastAsia="en-US"/>
        </w:rPr>
        <w:t xml:space="preserve"> has unveiled a refreshed active travel mission for Greater Manchester focusing on accessibility, behaviour change and clear communications.</w:t>
      </w:r>
    </w:p>
    <w:p w14:paraId="37B0853F" w14:textId="77777777" w:rsidR="00D15D90" w:rsidRPr="0019085A" w:rsidRDefault="00D15D90" w:rsidP="00D15D90">
      <w:pPr>
        <w:pStyle w:val="8TfGMStandardDocumentText"/>
        <w:spacing w:after="100" w:afterAutospacing="1" w:line="360" w:lineRule="auto"/>
        <w:contextualSpacing/>
        <w:jc w:val="left"/>
        <w:rPr>
          <w:rFonts w:ascii="Arial" w:hAnsi="Arial"/>
          <w:sz w:val="24"/>
          <w:lang w:eastAsia="en-US"/>
        </w:rPr>
      </w:pPr>
    </w:p>
    <w:p w14:paraId="09F488D9" w14:textId="77777777" w:rsidR="00D15D90" w:rsidRPr="0019085A" w:rsidRDefault="00D15D90" w:rsidP="00D15D90">
      <w:pPr>
        <w:pStyle w:val="8TfGMStandardDocumentText"/>
        <w:spacing w:after="100" w:afterAutospacing="1" w:line="360" w:lineRule="auto"/>
        <w:contextualSpacing/>
        <w:jc w:val="left"/>
        <w:rPr>
          <w:rFonts w:ascii="Arial" w:hAnsi="Arial"/>
          <w:sz w:val="24"/>
          <w:lang w:eastAsia="en-US"/>
        </w:rPr>
      </w:pPr>
      <w:r w:rsidRPr="0019085A">
        <w:rPr>
          <w:rFonts w:ascii="Arial" w:hAnsi="Arial"/>
          <w:sz w:val="24"/>
          <w:lang w:eastAsia="en-US"/>
        </w:rPr>
        <w:t>Five key priorities have been identified to support these:</w:t>
      </w:r>
    </w:p>
    <w:p w14:paraId="0532A0D6" w14:textId="77777777" w:rsidR="00D15D90" w:rsidRPr="0019085A" w:rsidRDefault="00D15D90" w:rsidP="00D15D90">
      <w:pPr>
        <w:pStyle w:val="8TfGMStandardDocumentText"/>
        <w:spacing w:after="100" w:afterAutospacing="1" w:line="360" w:lineRule="auto"/>
        <w:contextualSpacing/>
        <w:jc w:val="left"/>
        <w:rPr>
          <w:rFonts w:ascii="Arial" w:hAnsi="Arial"/>
          <w:sz w:val="24"/>
          <w:lang w:eastAsia="en-US"/>
        </w:rPr>
      </w:pPr>
    </w:p>
    <w:p w14:paraId="0250E778" w14:textId="77777777" w:rsidR="00D15D90" w:rsidRPr="0019085A" w:rsidRDefault="00D15D90" w:rsidP="00D15D90">
      <w:pPr>
        <w:pStyle w:val="8TfGMStandardDocumentText"/>
        <w:numPr>
          <w:ilvl w:val="0"/>
          <w:numId w:val="80"/>
        </w:numPr>
        <w:spacing w:after="100" w:afterAutospacing="1" w:line="360" w:lineRule="auto"/>
        <w:ind w:left="284" w:hanging="284"/>
        <w:contextualSpacing/>
        <w:jc w:val="left"/>
        <w:rPr>
          <w:rFonts w:ascii="Arial" w:hAnsi="Arial"/>
          <w:sz w:val="24"/>
          <w:lang w:eastAsia="en-US"/>
        </w:rPr>
      </w:pPr>
      <w:r w:rsidRPr="0019085A">
        <w:rPr>
          <w:rFonts w:ascii="Arial" w:hAnsi="Arial"/>
          <w:sz w:val="24"/>
          <w:lang w:eastAsia="en-US"/>
        </w:rPr>
        <w:t>Infrastructure delivery (with four principles leading to a connected network).</w:t>
      </w:r>
    </w:p>
    <w:p w14:paraId="74CCA322" w14:textId="77777777" w:rsidR="00D15D90" w:rsidRPr="0019085A" w:rsidRDefault="00D15D90" w:rsidP="00D15D90">
      <w:pPr>
        <w:pStyle w:val="8TfGMStandardDocumentText"/>
        <w:numPr>
          <w:ilvl w:val="0"/>
          <w:numId w:val="80"/>
        </w:numPr>
        <w:spacing w:after="100" w:afterAutospacing="1" w:line="360" w:lineRule="auto"/>
        <w:ind w:left="284" w:hanging="284"/>
        <w:contextualSpacing/>
        <w:jc w:val="left"/>
        <w:rPr>
          <w:rFonts w:ascii="Arial" w:hAnsi="Arial"/>
          <w:sz w:val="24"/>
          <w:lang w:eastAsia="en-US"/>
        </w:rPr>
      </w:pPr>
      <w:r w:rsidRPr="0019085A">
        <w:rPr>
          <w:rFonts w:ascii="Arial" w:hAnsi="Arial"/>
          <w:sz w:val="24"/>
          <w:lang w:eastAsia="en-US"/>
        </w:rPr>
        <w:t>Home to school travel.</w:t>
      </w:r>
    </w:p>
    <w:p w14:paraId="699B4690" w14:textId="77777777" w:rsidR="00D15D90" w:rsidRPr="0019085A" w:rsidRDefault="00D15D90" w:rsidP="00D15D90">
      <w:pPr>
        <w:pStyle w:val="8TfGMStandardDocumentText"/>
        <w:numPr>
          <w:ilvl w:val="0"/>
          <w:numId w:val="80"/>
        </w:numPr>
        <w:spacing w:after="100" w:afterAutospacing="1" w:line="360" w:lineRule="auto"/>
        <w:ind w:left="284" w:hanging="284"/>
        <w:contextualSpacing/>
        <w:jc w:val="left"/>
        <w:rPr>
          <w:rFonts w:ascii="Arial" w:hAnsi="Arial"/>
          <w:sz w:val="24"/>
          <w:lang w:eastAsia="en-US"/>
        </w:rPr>
      </w:pPr>
      <w:r w:rsidRPr="0019085A">
        <w:rPr>
          <w:rFonts w:ascii="Arial" w:hAnsi="Arial"/>
          <w:sz w:val="24"/>
          <w:lang w:eastAsia="en-US"/>
        </w:rPr>
        <w:t>Cycle hire and access to cycles.</w:t>
      </w:r>
    </w:p>
    <w:p w14:paraId="04EEF2C9" w14:textId="77777777" w:rsidR="00D15D90" w:rsidRPr="0019085A" w:rsidRDefault="00D15D90" w:rsidP="00D15D90">
      <w:pPr>
        <w:pStyle w:val="8TfGMStandardDocumentText"/>
        <w:numPr>
          <w:ilvl w:val="0"/>
          <w:numId w:val="80"/>
        </w:numPr>
        <w:spacing w:after="100" w:afterAutospacing="1" w:line="360" w:lineRule="auto"/>
        <w:ind w:left="284" w:hanging="284"/>
        <w:contextualSpacing/>
        <w:jc w:val="left"/>
        <w:rPr>
          <w:rFonts w:ascii="Arial" w:hAnsi="Arial"/>
          <w:sz w:val="24"/>
          <w:lang w:eastAsia="en-US"/>
        </w:rPr>
      </w:pPr>
      <w:r w:rsidRPr="0019085A">
        <w:rPr>
          <w:rFonts w:ascii="Arial" w:hAnsi="Arial"/>
          <w:sz w:val="24"/>
          <w:lang w:eastAsia="en-US"/>
        </w:rPr>
        <w:t>Integration with public transport.</w:t>
      </w:r>
    </w:p>
    <w:p w14:paraId="5DE4AEC8" w14:textId="77777777" w:rsidR="00D15D90" w:rsidRPr="0019085A" w:rsidRDefault="00D15D90" w:rsidP="00D15D90">
      <w:pPr>
        <w:pStyle w:val="8TfGMStandardDocumentText"/>
        <w:numPr>
          <w:ilvl w:val="0"/>
          <w:numId w:val="80"/>
        </w:numPr>
        <w:spacing w:after="100" w:afterAutospacing="1" w:line="360" w:lineRule="auto"/>
        <w:ind w:left="284" w:hanging="284"/>
        <w:contextualSpacing/>
        <w:jc w:val="left"/>
        <w:rPr>
          <w:rFonts w:ascii="Arial" w:hAnsi="Arial"/>
          <w:sz w:val="24"/>
          <w:lang w:eastAsia="en-US"/>
        </w:rPr>
      </w:pPr>
      <w:r w:rsidRPr="0019085A">
        <w:rPr>
          <w:rFonts w:ascii="Arial" w:hAnsi="Arial"/>
          <w:sz w:val="24"/>
          <w:lang w:eastAsia="en-US"/>
        </w:rPr>
        <w:t>Road danger reduction.</w:t>
      </w:r>
    </w:p>
    <w:p w14:paraId="29121D7A" w14:textId="77777777" w:rsidR="00D15D90" w:rsidRPr="0019085A" w:rsidRDefault="00D15D90" w:rsidP="00D15D90">
      <w:pPr>
        <w:pStyle w:val="8TfGMStandardDocumentText"/>
        <w:spacing w:after="100" w:afterAutospacing="1" w:line="360" w:lineRule="auto"/>
        <w:ind w:left="284"/>
        <w:contextualSpacing/>
        <w:jc w:val="left"/>
        <w:rPr>
          <w:rFonts w:ascii="Arial" w:hAnsi="Arial"/>
          <w:sz w:val="24"/>
          <w:lang w:eastAsia="en-US"/>
        </w:rPr>
      </w:pPr>
    </w:p>
    <w:p w14:paraId="37019D99" w14:textId="77777777" w:rsidR="00D15D90" w:rsidRPr="0019085A" w:rsidRDefault="00D15D90" w:rsidP="00D15D90">
      <w:pPr>
        <w:pStyle w:val="8TfGMStandardDocumentText"/>
        <w:spacing w:after="100" w:afterAutospacing="1" w:line="360" w:lineRule="auto"/>
        <w:contextualSpacing/>
        <w:jc w:val="left"/>
        <w:rPr>
          <w:rFonts w:ascii="Arial" w:hAnsi="Arial"/>
          <w:sz w:val="24"/>
          <w:lang w:eastAsia="en-US"/>
        </w:rPr>
      </w:pPr>
      <w:r w:rsidRPr="0019085A">
        <w:rPr>
          <w:rFonts w:ascii="Arial" w:hAnsi="Arial"/>
          <w:sz w:val="24"/>
          <w:lang w:eastAsia="en-US"/>
        </w:rPr>
        <w:t>To achieve these objectives, TfGM continues to manage, secure and distribute funding from multiple sources of capital and revenue to support the GM active travel ambitions.  GM investment in Active Travel to date (March 2023) since 2020, has grown significantly, to over £1</w:t>
      </w:r>
      <w:r>
        <w:rPr>
          <w:rFonts w:ascii="Arial" w:hAnsi="Arial"/>
          <w:sz w:val="24"/>
          <w:lang w:eastAsia="en-US"/>
        </w:rPr>
        <w:t>7</w:t>
      </w:r>
      <w:r w:rsidRPr="0019085A">
        <w:rPr>
          <w:rFonts w:ascii="Arial" w:hAnsi="Arial"/>
          <w:sz w:val="24"/>
          <w:lang w:eastAsia="en-US"/>
        </w:rPr>
        <w:t xml:space="preserve">0m of approved expenditure on the Active Travel elements of the Bee Network. CRSTS investment will begin to increase investment as all highway improvement schemes are obliged to accommodate active travel modes. </w:t>
      </w:r>
      <w:r w:rsidRPr="000D7937">
        <w:rPr>
          <w:rFonts w:ascii="Arial" w:hAnsi="Arial"/>
          <w:sz w:val="24"/>
          <w:lang w:eastAsia="en-US"/>
        </w:rPr>
        <w:t>The first phase of the newly named Starling Bank Bike Hire scheme of Greater Manchester has supported over 720,000 journeys since opening in November 2021 enabling 1.8 million kilometres of trips to be made in a safe and affordable manner.</w:t>
      </w:r>
    </w:p>
    <w:p w14:paraId="5407CCF9" w14:textId="77777777" w:rsidR="00D15D90" w:rsidRDefault="00D15D90" w:rsidP="00D15D90">
      <w:pPr>
        <w:pStyle w:val="8TfGMStandardDocumentText"/>
        <w:spacing w:after="0" w:line="360" w:lineRule="auto"/>
        <w:contextualSpacing/>
        <w:jc w:val="left"/>
        <w:rPr>
          <w:rFonts w:ascii="Arial" w:hAnsi="Arial"/>
          <w:sz w:val="24"/>
          <w:u w:val="single"/>
        </w:rPr>
      </w:pPr>
    </w:p>
    <w:p w14:paraId="40F1634F" w14:textId="77777777" w:rsidR="00A63D82" w:rsidRDefault="00A63D82" w:rsidP="00D15D90">
      <w:pPr>
        <w:pStyle w:val="8TfGMStandardDocumentText"/>
        <w:spacing w:after="0" w:line="360" w:lineRule="auto"/>
        <w:contextualSpacing/>
        <w:jc w:val="left"/>
        <w:rPr>
          <w:rFonts w:ascii="Arial" w:hAnsi="Arial"/>
          <w:sz w:val="24"/>
          <w:u w:val="single"/>
        </w:rPr>
      </w:pPr>
    </w:p>
    <w:p w14:paraId="2FD3F3EA" w14:textId="77777777" w:rsidR="00A63D82" w:rsidRDefault="00A63D82" w:rsidP="00D15D90">
      <w:pPr>
        <w:pStyle w:val="8TfGMStandardDocumentText"/>
        <w:spacing w:after="0" w:line="360" w:lineRule="auto"/>
        <w:contextualSpacing/>
        <w:jc w:val="left"/>
        <w:rPr>
          <w:rFonts w:ascii="Arial" w:hAnsi="Arial"/>
          <w:sz w:val="24"/>
          <w:u w:val="single"/>
        </w:rPr>
      </w:pPr>
    </w:p>
    <w:p w14:paraId="6CFCC52F" w14:textId="77777777" w:rsidR="00A63D82" w:rsidRDefault="00A63D82" w:rsidP="00D15D90">
      <w:pPr>
        <w:pStyle w:val="8TfGMStandardDocumentText"/>
        <w:spacing w:after="0" w:line="360" w:lineRule="auto"/>
        <w:contextualSpacing/>
        <w:jc w:val="left"/>
        <w:rPr>
          <w:rFonts w:ascii="Arial" w:hAnsi="Arial"/>
          <w:sz w:val="24"/>
          <w:u w:val="single"/>
        </w:rPr>
      </w:pPr>
    </w:p>
    <w:p w14:paraId="4A4F56DB" w14:textId="77777777" w:rsidR="00D15D90" w:rsidRPr="0019085A" w:rsidRDefault="00D15D90" w:rsidP="00D15D90">
      <w:pPr>
        <w:pStyle w:val="8TfGMStandardDocumentText"/>
        <w:spacing w:after="0" w:line="360" w:lineRule="auto"/>
        <w:contextualSpacing/>
        <w:jc w:val="left"/>
        <w:rPr>
          <w:rFonts w:ascii="Arial" w:hAnsi="Arial"/>
          <w:sz w:val="24"/>
          <w:u w:val="single"/>
        </w:rPr>
      </w:pPr>
      <w:r w:rsidRPr="0019085A">
        <w:rPr>
          <w:rFonts w:ascii="Arial" w:hAnsi="Arial"/>
          <w:sz w:val="24"/>
          <w:u w:val="single"/>
        </w:rPr>
        <w:lastRenderedPageBreak/>
        <w:t>Greater Manchester Clean Air Plan</w:t>
      </w:r>
    </w:p>
    <w:p w14:paraId="60C3E6B3" w14:textId="77777777" w:rsidR="00D15D90" w:rsidRPr="0019085A" w:rsidRDefault="00D15D90" w:rsidP="00D15D90">
      <w:pPr>
        <w:pStyle w:val="8TfGMStandardDocumentText"/>
        <w:spacing w:after="0" w:line="360" w:lineRule="auto"/>
        <w:contextualSpacing/>
        <w:jc w:val="left"/>
        <w:rPr>
          <w:rFonts w:ascii="Arial" w:hAnsi="Arial"/>
          <w:b/>
          <w:bCs/>
          <w:sz w:val="24"/>
        </w:rPr>
      </w:pPr>
    </w:p>
    <w:p w14:paraId="56764462" w14:textId="77777777" w:rsidR="00D15D90" w:rsidRPr="000D7937" w:rsidRDefault="00D15D90" w:rsidP="00D15D90">
      <w:pPr>
        <w:pStyle w:val="8TfGMStandardDocumentText"/>
        <w:spacing w:line="360" w:lineRule="auto"/>
        <w:contextualSpacing/>
        <w:rPr>
          <w:rFonts w:ascii="Arial" w:hAnsi="Arial"/>
          <w:sz w:val="24"/>
        </w:rPr>
      </w:pPr>
      <w:r w:rsidRPr="000D7937">
        <w:rPr>
          <w:rFonts w:ascii="Arial" w:hAnsi="Arial"/>
          <w:sz w:val="24"/>
        </w:rPr>
        <w:t>The government has instructed many local authorities across the UK to take quick action to bring harmful nitrogen dioxide (NO2) air pollution levels within legal limits.</w:t>
      </w:r>
    </w:p>
    <w:p w14:paraId="122A37E6" w14:textId="77777777" w:rsidR="00D15D90" w:rsidRPr="000D7937" w:rsidRDefault="00D15D90" w:rsidP="00D15D90">
      <w:pPr>
        <w:pStyle w:val="8TfGMStandardDocumentText"/>
        <w:spacing w:line="360" w:lineRule="auto"/>
        <w:contextualSpacing/>
        <w:rPr>
          <w:rFonts w:ascii="Arial" w:hAnsi="Arial"/>
          <w:sz w:val="24"/>
        </w:rPr>
      </w:pPr>
    </w:p>
    <w:p w14:paraId="78AF334A" w14:textId="77777777" w:rsidR="00D15D90" w:rsidRPr="000D7937" w:rsidRDefault="00D15D90" w:rsidP="00D15D90">
      <w:pPr>
        <w:pStyle w:val="8TfGMStandardDocumentText"/>
        <w:spacing w:line="360" w:lineRule="auto"/>
        <w:contextualSpacing/>
        <w:jc w:val="left"/>
        <w:rPr>
          <w:rFonts w:ascii="Arial" w:hAnsi="Arial"/>
          <w:sz w:val="24"/>
        </w:rPr>
      </w:pPr>
      <w:r w:rsidRPr="000D7937">
        <w:rPr>
          <w:rFonts w:ascii="Arial" w:hAnsi="Arial"/>
          <w:sz w:val="24"/>
        </w:rPr>
        <w:t>In Greater Manchester, the ten local authorities, with the support of Greater Manchester Combined Authority (GMCA) and Transport for Greater Manchester (TfGM), are working together to develop a Greater Manchester Clean Air Plan (GM CAP) to tackle NO2 exceedances at the roadside.</w:t>
      </w:r>
    </w:p>
    <w:p w14:paraId="744F9BAF" w14:textId="77777777" w:rsidR="00D15D90" w:rsidRPr="000D7937" w:rsidRDefault="00D15D90" w:rsidP="00D15D90">
      <w:pPr>
        <w:pStyle w:val="8TfGMStandardDocumentText"/>
        <w:spacing w:line="360" w:lineRule="auto"/>
        <w:contextualSpacing/>
        <w:jc w:val="left"/>
        <w:rPr>
          <w:rFonts w:ascii="Arial" w:hAnsi="Arial"/>
          <w:sz w:val="24"/>
        </w:rPr>
      </w:pPr>
    </w:p>
    <w:p w14:paraId="2D1487E1" w14:textId="77777777" w:rsidR="00D15D90" w:rsidRPr="000D7937" w:rsidRDefault="00D15D90" w:rsidP="00D15D90">
      <w:pPr>
        <w:pStyle w:val="8TfGMStandardDocumentText"/>
        <w:spacing w:line="360" w:lineRule="auto"/>
        <w:contextualSpacing/>
        <w:jc w:val="left"/>
        <w:rPr>
          <w:rFonts w:ascii="Arial" w:hAnsi="Arial"/>
          <w:sz w:val="24"/>
        </w:rPr>
      </w:pPr>
      <w:r w:rsidRPr="000D7937">
        <w:rPr>
          <w:rFonts w:ascii="Arial" w:hAnsi="Arial"/>
          <w:sz w:val="24"/>
        </w:rPr>
        <w:t>In June 2021 the GMCA endorsed a final GM Clean Air Plan and policy following a review of the information from the GM CAP consultation and wider data, evidence and modelling work. The plan was then agreed by the ten GM local authorities. This included a Greater Manchester-wide category C charging Clean Air Zone (CAZ), where only the most polluting vehicles which don’t meet emission standards would have been charged to drive in the Zone.</w:t>
      </w:r>
    </w:p>
    <w:p w14:paraId="07AD8D98" w14:textId="77777777" w:rsidR="00D15D90" w:rsidRPr="000D7937" w:rsidRDefault="00D15D90" w:rsidP="00D15D90">
      <w:pPr>
        <w:pStyle w:val="8TfGMStandardDocumentText"/>
        <w:spacing w:line="360" w:lineRule="auto"/>
        <w:contextualSpacing/>
        <w:jc w:val="left"/>
        <w:rPr>
          <w:rFonts w:ascii="Arial" w:hAnsi="Arial"/>
          <w:sz w:val="24"/>
        </w:rPr>
      </w:pPr>
    </w:p>
    <w:p w14:paraId="281DC54E" w14:textId="77777777" w:rsidR="00D15D90" w:rsidRDefault="00D15D90" w:rsidP="00D15D90">
      <w:pPr>
        <w:pStyle w:val="8TfGMStandardDocumentText"/>
        <w:spacing w:line="360" w:lineRule="auto"/>
        <w:contextualSpacing/>
        <w:jc w:val="left"/>
        <w:rPr>
          <w:rFonts w:ascii="Arial" w:hAnsi="Arial"/>
          <w:sz w:val="24"/>
        </w:rPr>
      </w:pPr>
      <w:r w:rsidRPr="000D7937">
        <w:rPr>
          <w:rFonts w:ascii="Arial" w:hAnsi="Arial"/>
          <w:sz w:val="24"/>
        </w:rPr>
        <w:t>It was originally intended that the CAZ would go live from 30 May 2022, affecting non-compliant HGVs, buses and non-GM-registered taxi and private hire vehicles. Work to install the CAZ signage and Automatic Number Plate Recognition (ANPR) cameras for monitoring the CAZ began in summer 2021, alongside the development of back office systems.</w:t>
      </w:r>
    </w:p>
    <w:p w14:paraId="192706F2" w14:textId="77777777" w:rsidR="00D15D90" w:rsidRPr="000D7937" w:rsidRDefault="00D15D90" w:rsidP="00D15D90">
      <w:pPr>
        <w:pStyle w:val="8TfGMStandardDocumentText"/>
        <w:spacing w:line="360" w:lineRule="auto"/>
        <w:contextualSpacing/>
        <w:jc w:val="left"/>
        <w:rPr>
          <w:rFonts w:ascii="Arial" w:hAnsi="Arial"/>
          <w:sz w:val="24"/>
        </w:rPr>
      </w:pPr>
    </w:p>
    <w:p w14:paraId="094241F1" w14:textId="77777777" w:rsidR="00D15D90" w:rsidRDefault="00D15D90" w:rsidP="00D15D90">
      <w:pPr>
        <w:pStyle w:val="8TfGMStandardDocumentText"/>
        <w:spacing w:line="360" w:lineRule="auto"/>
        <w:contextualSpacing/>
        <w:jc w:val="left"/>
        <w:rPr>
          <w:rFonts w:ascii="Arial" w:hAnsi="Arial"/>
          <w:sz w:val="24"/>
        </w:rPr>
      </w:pPr>
      <w:r w:rsidRPr="000D7937">
        <w:rPr>
          <w:rFonts w:ascii="Arial" w:hAnsi="Arial"/>
          <w:sz w:val="24"/>
        </w:rPr>
        <w:t>The CAZ was designed to comply with a legal direction from government issued before the coronavirus pandemic, to deliver compliance with NO2 legal limits on the local road network by 2024. However, since then there have been significant vehicle supply chain issues and the cost of living has increased leading to concerns about the availability of compliant vehicles and financial hardship for local people.</w:t>
      </w:r>
    </w:p>
    <w:p w14:paraId="4DE86DBA" w14:textId="77777777" w:rsidR="00D15D90" w:rsidRPr="000D7937" w:rsidRDefault="00D15D90" w:rsidP="00D15D90">
      <w:pPr>
        <w:pStyle w:val="8TfGMStandardDocumentText"/>
        <w:spacing w:line="360" w:lineRule="auto"/>
        <w:contextualSpacing/>
        <w:rPr>
          <w:rFonts w:ascii="Arial" w:hAnsi="Arial"/>
          <w:sz w:val="24"/>
        </w:rPr>
      </w:pPr>
    </w:p>
    <w:p w14:paraId="68C654BB" w14:textId="77777777" w:rsidR="00D15D90" w:rsidRPr="000D7937" w:rsidRDefault="00D15D90" w:rsidP="00D15D90">
      <w:pPr>
        <w:pStyle w:val="8TfGMStandardDocumentText"/>
        <w:spacing w:line="360" w:lineRule="auto"/>
        <w:contextualSpacing/>
        <w:jc w:val="left"/>
        <w:rPr>
          <w:rFonts w:ascii="Arial" w:hAnsi="Arial"/>
          <w:sz w:val="24"/>
        </w:rPr>
      </w:pPr>
      <w:r w:rsidRPr="000D7937">
        <w:rPr>
          <w:rFonts w:ascii="Arial" w:hAnsi="Arial"/>
          <w:sz w:val="24"/>
        </w:rPr>
        <w:t xml:space="preserve">Late in 2021, Greater Manchester commissioned an independent review of emerging global supply chain issues and the impact this could have on the cost and availability of vehicles. </w:t>
      </w:r>
    </w:p>
    <w:p w14:paraId="1BAD73CF" w14:textId="77777777" w:rsidR="00D15D90" w:rsidRDefault="00D15D90" w:rsidP="00D15D90">
      <w:pPr>
        <w:pStyle w:val="8TfGMStandardDocumentText"/>
        <w:spacing w:line="360" w:lineRule="auto"/>
        <w:contextualSpacing/>
        <w:jc w:val="left"/>
        <w:rPr>
          <w:rFonts w:ascii="Arial" w:hAnsi="Arial"/>
          <w:sz w:val="24"/>
        </w:rPr>
      </w:pPr>
      <w:r w:rsidRPr="000D7937">
        <w:rPr>
          <w:rFonts w:ascii="Arial" w:hAnsi="Arial"/>
          <w:sz w:val="24"/>
        </w:rPr>
        <w:t xml:space="preserve">Based on this the Greater Manchester Mayor and Leaders determined that the original Clean Air Plan was unworkable. Government agreed in February 2022 to lift the </w:t>
      </w:r>
      <w:r w:rsidRPr="000D7937">
        <w:rPr>
          <w:rFonts w:ascii="Arial" w:hAnsi="Arial"/>
          <w:sz w:val="24"/>
        </w:rPr>
        <w:lastRenderedPageBreak/>
        <w:t>previous legal direction requiring GM to achieve compliance with legal NO</w:t>
      </w:r>
      <w:r w:rsidRPr="000D7937">
        <w:rPr>
          <w:rFonts w:ascii="Cambria Math" w:hAnsi="Cambria Math" w:cs="Cambria Math"/>
          <w:sz w:val="24"/>
        </w:rPr>
        <w:t>₂</w:t>
      </w:r>
      <w:r w:rsidRPr="000D7937">
        <w:rPr>
          <w:rFonts w:ascii="Arial" w:hAnsi="Arial"/>
          <w:sz w:val="24"/>
        </w:rPr>
        <w:t xml:space="preserve"> limits by 2024.</w:t>
      </w:r>
    </w:p>
    <w:p w14:paraId="12628A27" w14:textId="77777777" w:rsidR="00A63D82" w:rsidRPr="000D7937" w:rsidRDefault="00A63D82" w:rsidP="00D15D90">
      <w:pPr>
        <w:pStyle w:val="8TfGMStandardDocumentText"/>
        <w:spacing w:line="360" w:lineRule="auto"/>
        <w:contextualSpacing/>
        <w:jc w:val="left"/>
        <w:rPr>
          <w:rFonts w:ascii="Arial" w:hAnsi="Arial"/>
          <w:sz w:val="24"/>
        </w:rPr>
      </w:pPr>
    </w:p>
    <w:p w14:paraId="684098EC" w14:textId="77777777" w:rsidR="00D15D90" w:rsidRDefault="00D15D90" w:rsidP="00D15D90">
      <w:pPr>
        <w:pStyle w:val="8TfGMStandardDocumentText"/>
        <w:spacing w:line="360" w:lineRule="auto"/>
        <w:contextualSpacing/>
        <w:jc w:val="left"/>
        <w:rPr>
          <w:rFonts w:ascii="Arial" w:hAnsi="Arial"/>
          <w:sz w:val="24"/>
        </w:rPr>
      </w:pPr>
      <w:r w:rsidRPr="000D7937">
        <w:rPr>
          <w:rFonts w:ascii="Arial" w:hAnsi="Arial"/>
          <w:sz w:val="24"/>
        </w:rPr>
        <w:t>Government gave Greater Manchester until July 2022 to present a revised plan to achieve compliance with legal levels of NO</w:t>
      </w:r>
      <w:r w:rsidRPr="000D7937">
        <w:rPr>
          <w:rFonts w:ascii="Cambria Math" w:hAnsi="Cambria Math" w:cs="Cambria Math"/>
          <w:sz w:val="24"/>
        </w:rPr>
        <w:t>₂</w:t>
      </w:r>
      <w:r w:rsidRPr="000D7937">
        <w:rPr>
          <w:rFonts w:ascii="Arial" w:hAnsi="Arial"/>
          <w:sz w:val="24"/>
        </w:rPr>
        <w:t xml:space="preserve"> on the local road network in the shortest time possible and by no later than 2026.  </w:t>
      </w:r>
    </w:p>
    <w:p w14:paraId="5631CB35" w14:textId="77777777" w:rsidR="00A63D82" w:rsidRPr="000D7937" w:rsidRDefault="00A63D82" w:rsidP="00D15D90">
      <w:pPr>
        <w:pStyle w:val="8TfGMStandardDocumentText"/>
        <w:spacing w:line="360" w:lineRule="auto"/>
        <w:contextualSpacing/>
        <w:jc w:val="left"/>
        <w:rPr>
          <w:rFonts w:ascii="Arial" w:hAnsi="Arial"/>
          <w:sz w:val="24"/>
        </w:rPr>
      </w:pPr>
    </w:p>
    <w:p w14:paraId="113795F1" w14:textId="77777777" w:rsidR="00D15D90" w:rsidRPr="000D7937" w:rsidRDefault="00D15D90" w:rsidP="00D15D90">
      <w:pPr>
        <w:pStyle w:val="8TfGMStandardDocumentText"/>
        <w:spacing w:line="360" w:lineRule="auto"/>
        <w:contextualSpacing/>
        <w:jc w:val="left"/>
        <w:rPr>
          <w:rFonts w:ascii="Arial" w:hAnsi="Arial"/>
          <w:sz w:val="24"/>
        </w:rPr>
      </w:pPr>
      <w:r w:rsidRPr="000D7937">
        <w:rPr>
          <w:rFonts w:ascii="Arial" w:hAnsi="Arial"/>
          <w:sz w:val="24"/>
        </w:rPr>
        <w:t xml:space="preserve">The 'Case for a new Greater Manchester Clean Air Plan’ was submitted to the Secretary of State in July 2022. </w:t>
      </w:r>
    </w:p>
    <w:p w14:paraId="1C7FE9DD" w14:textId="77777777" w:rsidR="00D15D90" w:rsidRPr="000D7937" w:rsidRDefault="00D15D90" w:rsidP="00D15D90">
      <w:pPr>
        <w:pStyle w:val="8TfGMStandardDocumentText"/>
        <w:spacing w:line="360" w:lineRule="auto"/>
        <w:contextualSpacing/>
        <w:rPr>
          <w:rFonts w:ascii="Arial" w:hAnsi="Arial"/>
          <w:sz w:val="24"/>
        </w:rPr>
      </w:pPr>
    </w:p>
    <w:p w14:paraId="723B764F" w14:textId="77777777" w:rsidR="00D15D90" w:rsidRPr="000D7937" w:rsidRDefault="00D15D90" w:rsidP="00D15D90">
      <w:pPr>
        <w:pStyle w:val="8TfGMStandardDocumentText"/>
        <w:spacing w:line="360" w:lineRule="auto"/>
        <w:contextualSpacing/>
        <w:jc w:val="left"/>
        <w:rPr>
          <w:rFonts w:ascii="Arial" w:hAnsi="Arial"/>
          <w:sz w:val="24"/>
        </w:rPr>
      </w:pPr>
      <w:r w:rsidRPr="000D7937">
        <w:rPr>
          <w:rFonts w:ascii="Arial" w:hAnsi="Arial"/>
          <w:sz w:val="24"/>
        </w:rPr>
        <w:t xml:space="preserve">In January 2023, government asked GM for additional evidence including modelling how its investment-led approach performs (in terms of delivering compliance with legal nitrogen dioxide levels) against the ‘benchmark’ of a charging clean air zone to address the nitrogen dioxide exceedances identified in central Manchester and Salford. </w:t>
      </w:r>
    </w:p>
    <w:p w14:paraId="6E36A949" w14:textId="77777777" w:rsidR="00D15D90" w:rsidRPr="000D7937" w:rsidRDefault="00D15D90" w:rsidP="00D15D90">
      <w:pPr>
        <w:pStyle w:val="8TfGMStandardDocumentText"/>
        <w:spacing w:line="360" w:lineRule="auto"/>
        <w:contextualSpacing/>
        <w:rPr>
          <w:rFonts w:ascii="Arial" w:hAnsi="Arial"/>
          <w:sz w:val="24"/>
        </w:rPr>
      </w:pPr>
      <w:r w:rsidRPr="000D7937">
        <w:rPr>
          <w:rFonts w:ascii="Arial" w:hAnsi="Arial"/>
          <w:sz w:val="24"/>
        </w:rPr>
        <w:t xml:space="preserve">In April 2023, the government advised of a review of its bus retrofit programme as it had evidence that retrofitted buses have poor and highly variable performance in real-world conditions. Due to the bus retrofit review the requested evidence needed further work. </w:t>
      </w:r>
    </w:p>
    <w:p w14:paraId="420947A3" w14:textId="77777777" w:rsidR="00D15D90" w:rsidRPr="0019085A" w:rsidRDefault="00D15D90" w:rsidP="00D15D90">
      <w:pPr>
        <w:spacing w:line="360" w:lineRule="auto"/>
        <w:rPr>
          <w:rFonts w:ascii="Arial" w:eastAsia="Calibri" w:hAnsi="Arial" w:cs="Arial"/>
        </w:rPr>
      </w:pPr>
      <w:r w:rsidRPr="000D7937">
        <w:rPr>
          <w:rFonts w:ascii="Arial" w:hAnsi="Arial"/>
        </w:rPr>
        <w:t>In December 2023, GM submitted an update to the Secretary of State on the Case for a new Greater Manchester Clean Air Plan and confirmed that an appraisal of GM’s proposed investment-led plan has been undertaken against a benchmark charging Clean Air Zone (CAZ) in the centre of Manchester and Salford. GM’s evidence shows that the investment-led, non-charging plan can achieve compliance in 2025. However, it is for government to determine what measures GM is to implement – only the Investment-led Plan complies with the requirement placed on the 10 GM local authorities to deliver compliance in the shortest possible time and by 2026 at the latest.</w:t>
      </w:r>
    </w:p>
    <w:p w14:paraId="790E0444" w14:textId="77777777" w:rsidR="00D15D90" w:rsidRPr="00B15622" w:rsidRDefault="00D15D90" w:rsidP="00D15D90">
      <w:pPr>
        <w:spacing w:line="360" w:lineRule="auto"/>
        <w:rPr>
          <w:rFonts w:ascii="Arial" w:eastAsia="Calibri" w:hAnsi="Arial" w:cs="Arial"/>
          <w:highlight w:val="yellow"/>
        </w:rPr>
      </w:pPr>
    </w:p>
    <w:p w14:paraId="29C68C8E" w14:textId="77777777" w:rsidR="00D15D90" w:rsidRDefault="00D15D90" w:rsidP="00D15D90">
      <w:pPr>
        <w:spacing w:line="360" w:lineRule="auto"/>
        <w:rPr>
          <w:rFonts w:ascii="Arial" w:hAnsi="Arial" w:cs="Arial"/>
        </w:rPr>
      </w:pPr>
      <w:r w:rsidRPr="00E8328B">
        <w:rPr>
          <w:rFonts w:ascii="Arial" w:hAnsi="Arial" w:cs="Arial"/>
        </w:rPr>
        <w:t>Further information on Transport is provided in the Transport for Greater Manchester Statement of Accounts for 2023/24.</w:t>
      </w:r>
    </w:p>
    <w:p w14:paraId="6F668D7B" w14:textId="77777777" w:rsidR="00A63D82" w:rsidRPr="00E8328B" w:rsidRDefault="00A63D82" w:rsidP="00D15D90">
      <w:pPr>
        <w:spacing w:line="360" w:lineRule="auto"/>
        <w:rPr>
          <w:rFonts w:ascii="Arial" w:hAnsi="Arial" w:cs="Arial"/>
        </w:rPr>
      </w:pPr>
    </w:p>
    <w:p w14:paraId="410AF422" w14:textId="3756DE58" w:rsidR="00D15D90" w:rsidRPr="003A2B5A" w:rsidRDefault="001F072F" w:rsidP="00D15D90">
      <w:pPr>
        <w:pStyle w:val="Heading3"/>
        <w:spacing w:after="120" w:line="360" w:lineRule="auto"/>
        <w:rPr>
          <w:sz w:val="24"/>
          <w:szCs w:val="24"/>
        </w:rPr>
      </w:pPr>
      <w:bookmarkStart w:id="30" w:name="_Toc109922588"/>
      <w:bookmarkStart w:id="31" w:name="_Hlk172543660"/>
      <w:bookmarkStart w:id="32" w:name="_Hlk172301833"/>
      <w:bookmarkEnd w:id="22"/>
      <w:bookmarkEnd w:id="27"/>
      <w:bookmarkEnd w:id="29"/>
      <w:r w:rsidRPr="003A2B5A">
        <w:rPr>
          <w:sz w:val="24"/>
          <w:szCs w:val="24"/>
        </w:rPr>
        <w:t>GM Business Board</w:t>
      </w:r>
      <w:r w:rsidR="00D15D90" w:rsidRPr="003A2B5A">
        <w:rPr>
          <w:sz w:val="24"/>
          <w:szCs w:val="24"/>
        </w:rPr>
        <w:t xml:space="preserve"> (LEP)</w:t>
      </w:r>
      <w:bookmarkEnd w:id="30"/>
      <w:r w:rsidR="00D15D90" w:rsidRPr="003A2B5A">
        <w:rPr>
          <w:sz w:val="24"/>
          <w:szCs w:val="24"/>
        </w:rPr>
        <w:t xml:space="preserve"> </w:t>
      </w:r>
    </w:p>
    <w:p w14:paraId="5C44A04E" w14:textId="6E099D10" w:rsidR="00D15D90" w:rsidRPr="003A2B5A" w:rsidRDefault="00D15D90" w:rsidP="00D15D90">
      <w:pPr>
        <w:pStyle w:val="Normal0"/>
        <w:spacing w:after="120" w:line="360" w:lineRule="auto"/>
        <w:rPr>
          <w:rFonts w:ascii="Arial" w:hAnsi="Arial" w:cs="Arial"/>
          <w:sz w:val="24"/>
          <w:szCs w:val="24"/>
          <w:lang w:val="en-GB"/>
        </w:rPr>
      </w:pPr>
      <w:bookmarkStart w:id="33" w:name="_Hlk106981449"/>
      <w:r w:rsidRPr="003A2B5A">
        <w:rPr>
          <w:rFonts w:ascii="Arial" w:hAnsi="Arial" w:cs="Arial"/>
          <w:sz w:val="24"/>
          <w:szCs w:val="24"/>
          <w:lang w:val="en-GB"/>
        </w:rPr>
        <w:t>The Authority act</w:t>
      </w:r>
      <w:r w:rsidR="00776993" w:rsidRPr="003A2B5A">
        <w:rPr>
          <w:rFonts w:ascii="Arial" w:hAnsi="Arial" w:cs="Arial"/>
          <w:sz w:val="24"/>
          <w:szCs w:val="24"/>
          <w:lang w:val="en-GB"/>
        </w:rPr>
        <w:t>ed</w:t>
      </w:r>
      <w:r w:rsidRPr="003A2B5A">
        <w:rPr>
          <w:rFonts w:ascii="Arial" w:hAnsi="Arial" w:cs="Arial"/>
          <w:sz w:val="24"/>
          <w:szCs w:val="24"/>
          <w:lang w:val="en-GB"/>
        </w:rPr>
        <w:t xml:space="preserve"> as the accountable body for the Greater Manchester LEP</w:t>
      </w:r>
      <w:r w:rsidR="00776993" w:rsidRPr="003A2B5A">
        <w:rPr>
          <w:rFonts w:ascii="Arial" w:hAnsi="Arial" w:cs="Arial"/>
          <w:sz w:val="24"/>
          <w:szCs w:val="24"/>
          <w:lang w:val="en-GB"/>
        </w:rPr>
        <w:t xml:space="preserve"> until 31 March 2024</w:t>
      </w:r>
      <w:r w:rsidRPr="003A2B5A">
        <w:rPr>
          <w:rFonts w:ascii="Arial" w:hAnsi="Arial" w:cs="Arial"/>
          <w:sz w:val="24"/>
          <w:szCs w:val="24"/>
          <w:lang w:val="en-GB"/>
        </w:rPr>
        <w:t xml:space="preserve">, with funds such as, Growth Deal, LEP Capacity and Business Growth Hub </w:t>
      </w:r>
      <w:r w:rsidRPr="003A2B5A">
        <w:rPr>
          <w:rFonts w:ascii="Arial" w:hAnsi="Arial" w:cs="Arial"/>
          <w:sz w:val="24"/>
          <w:szCs w:val="24"/>
          <w:lang w:val="en-GB"/>
        </w:rPr>
        <w:lastRenderedPageBreak/>
        <w:t xml:space="preserve">being awarded to it. The tables below show Income and Expenditure activity within 2023/24, along with funds held in reserves on behalf of the LEP. </w:t>
      </w:r>
    </w:p>
    <w:bookmarkEnd w:id="31"/>
    <w:tbl>
      <w:tblPr>
        <w:tblStyle w:val="TableGrid1"/>
        <w:tblW w:w="0" w:type="auto"/>
        <w:tblLook w:val="04A0" w:firstRow="1" w:lastRow="0" w:firstColumn="1" w:lastColumn="0" w:noHBand="0" w:noVBand="1"/>
      </w:tblPr>
      <w:tblGrid>
        <w:gridCol w:w="4213"/>
        <w:gridCol w:w="1355"/>
        <w:gridCol w:w="1703"/>
        <w:gridCol w:w="1505"/>
      </w:tblGrid>
      <w:tr w:rsidR="00D15D90" w:rsidRPr="003A2B5A" w14:paraId="565F383E" w14:textId="77777777" w:rsidTr="00012E0D">
        <w:trPr>
          <w:trHeight w:val="464"/>
        </w:trPr>
        <w:tc>
          <w:tcPr>
            <w:tcW w:w="4213" w:type="dxa"/>
            <w:tcBorders>
              <w:bottom w:val="single" w:sz="4" w:space="0" w:color="auto"/>
            </w:tcBorders>
          </w:tcPr>
          <w:p w14:paraId="4FC6B603" w14:textId="77777777" w:rsidR="00D15D90" w:rsidRPr="003A2B5A" w:rsidRDefault="00D15D90" w:rsidP="00012E0D">
            <w:pPr>
              <w:pStyle w:val="NoSpacing"/>
              <w:spacing w:line="360" w:lineRule="auto"/>
              <w:rPr>
                <w:rFonts w:ascii="Arial" w:hAnsi="Arial" w:cs="Arial"/>
                <w:sz w:val="20"/>
                <w:szCs w:val="20"/>
                <w:lang w:val="en-GB"/>
              </w:rPr>
            </w:pPr>
          </w:p>
        </w:tc>
        <w:tc>
          <w:tcPr>
            <w:tcW w:w="1355" w:type="dxa"/>
            <w:tcBorders>
              <w:bottom w:val="single" w:sz="4" w:space="0" w:color="auto"/>
            </w:tcBorders>
          </w:tcPr>
          <w:p w14:paraId="15417D97" w14:textId="77777777" w:rsidR="00D15D90" w:rsidRPr="003A2B5A" w:rsidRDefault="00D15D90" w:rsidP="00012E0D">
            <w:pPr>
              <w:pStyle w:val="NoSpacing"/>
              <w:spacing w:line="360" w:lineRule="auto"/>
              <w:jc w:val="center"/>
              <w:rPr>
                <w:rFonts w:ascii="Arial" w:hAnsi="Arial" w:cs="Arial"/>
                <w:b/>
                <w:bCs/>
                <w:sz w:val="20"/>
                <w:szCs w:val="20"/>
                <w:lang w:val="en-GB"/>
              </w:rPr>
            </w:pPr>
            <w:r w:rsidRPr="003A2B5A">
              <w:rPr>
                <w:rFonts w:ascii="Arial" w:hAnsi="Arial" w:cs="Arial"/>
                <w:b/>
                <w:bCs/>
                <w:sz w:val="20"/>
                <w:szCs w:val="20"/>
                <w:lang w:val="en-GB"/>
              </w:rPr>
              <w:t>Income</w:t>
            </w:r>
          </w:p>
          <w:p w14:paraId="0C7BBDEF" w14:textId="77777777" w:rsidR="00D15D90" w:rsidRPr="003A2B5A" w:rsidRDefault="00D15D90" w:rsidP="00012E0D">
            <w:pPr>
              <w:pStyle w:val="NoSpacing"/>
              <w:spacing w:line="360" w:lineRule="auto"/>
              <w:jc w:val="center"/>
              <w:rPr>
                <w:rFonts w:ascii="Arial" w:hAnsi="Arial" w:cs="Arial"/>
                <w:b/>
                <w:bCs/>
                <w:sz w:val="20"/>
                <w:szCs w:val="20"/>
                <w:lang w:val="en-GB"/>
              </w:rPr>
            </w:pPr>
            <w:r w:rsidRPr="003A2B5A">
              <w:rPr>
                <w:rFonts w:ascii="Arial" w:hAnsi="Arial" w:cs="Arial"/>
                <w:b/>
                <w:bCs/>
                <w:sz w:val="20"/>
                <w:szCs w:val="20"/>
                <w:lang w:val="en-GB"/>
              </w:rPr>
              <w:t>£000s</w:t>
            </w:r>
          </w:p>
        </w:tc>
        <w:tc>
          <w:tcPr>
            <w:tcW w:w="1703" w:type="dxa"/>
            <w:tcBorders>
              <w:bottom w:val="single" w:sz="4" w:space="0" w:color="auto"/>
            </w:tcBorders>
          </w:tcPr>
          <w:p w14:paraId="02323685" w14:textId="77777777" w:rsidR="00D15D90" w:rsidRPr="003A2B5A" w:rsidRDefault="00D15D90" w:rsidP="00012E0D">
            <w:pPr>
              <w:pStyle w:val="NoSpacing"/>
              <w:spacing w:line="360" w:lineRule="auto"/>
              <w:jc w:val="center"/>
              <w:rPr>
                <w:rFonts w:ascii="Arial" w:hAnsi="Arial" w:cs="Arial"/>
                <w:b/>
                <w:bCs/>
                <w:sz w:val="20"/>
                <w:szCs w:val="20"/>
                <w:lang w:val="en-GB"/>
              </w:rPr>
            </w:pPr>
            <w:r w:rsidRPr="003A2B5A">
              <w:rPr>
                <w:rFonts w:ascii="Arial" w:hAnsi="Arial" w:cs="Arial"/>
                <w:b/>
                <w:bCs/>
                <w:sz w:val="20"/>
                <w:szCs w:val="20"/>
                <w:lang w:val="en-GB"/>
              </w:rPr>
              <w:t>Expenditure</w:t>
            </w:r>
          </w:p>
          <w:p w14:paraId="5B6244BC" w14:textId="77777777" w:rsidR="00D15D90" w:rsidRPr="003A2B5A" w:rsidRDefault="00D15D90" w:rsidP="00012E0D">
            <w:pPr>
              <w:pStyle w:val="NoSpacing"/>
              <w:spacing w:line="360" w:lineRule="auto"/>
              <w:jc w:val="center"/>
              <w:rPr>
                <w:rFonts w:ascii="Arial" w:hAnsi="Arial" w:cs="Arial"/>
                <w:b/>
                <w:bCs/>
                <w:sz w:val="20"/>
                <w:szCs w:val="20"/>
                <w:lang w:val="en-GB"/>
              </w:rPr>
            </w:pPr>
            <w:r w:rsidRPr="003A2B5A">
              <w:rPr>
                <w:rFonts w:ascii="Arial" w:hAnsi="Arial" w:cs="Arial"/>
                <w:b/>
                <w:bCs/>
                <w:sz w:val="20"/>
                <w:szCs w:val="20"/>
                <w:lang w:val="en-GB"/>
              </w:rPr>
              <w:t>£000s</w:t>
            </w:r>
          </w:p>
        </w:tc>
        <w:tc>
          <w:tcPr>
            <w:tcW w:w="1505" w:type="dxa"/>
            <w:tcBorders>
              <w:bottom w:val="single" w:sz="4" w:space="0" w:color="auto"/>
            </w:tcBorders>
          </w:tcPr>
          <w:p w14:paraId="63F3D7E2" w14:textId="77777777" w:rsidR="00D15D90" w:rsidRPr="003A2B5A" w:rsidRDefault="00D15D90" w:rsidP="00012E0D">
            <w:pPr>
              <w:pStyle w:val="NoSpacing"/>
              <w:spacing w:line="360" w:lineRule="auto"/>
              <w:jc w:val="center"/>
              <w:rPr>
                <w:rFonts w:ascii="Arial" w:hAnsi="Arial" w:cs="Arial"/>
                <w:b/>
                <w:bCs/>
                <w:sz w:val="20"/>
                <w:szCs w:val="20"/>
                <w:lang w:val="en-GB"/>
              </w:rPr>
            </w:pPr>
            <w:r w:rsidRPr="003A2B5A">
              <w:rPr>
                <w:rFonts w:ascii="Arial" w:hAnsi="Arial" w:cs="Arial"/>
                <w:b/>
                <w:bCs/>
                <w:sz w:val="20"/>
                <w:szCs w:val="20"/>
                <w:lang w:val="en-GB"/>
              </w:rPr>
              <w:t>Variance</w:t>
            </w:r>
          </w:p>
          <w:p w14:paraId="1CADE60D" w14:textId="77777777" w:rsidR="00D15D90" w:rsidRPr="003A2B5A" w:rsidRDefault="00D15D90" w:rsidP="00012E0D">
            <w:pPr>
              <w:pStyle w:val="NoSpacing"/>
              <w:spacing w:line="360" w:lineRule="auto"/>
              <w:jc w:val="center"/>
              <w:rPr>
                <w:rFonts w:ascii="Arial" w:hAnsi="Arial" w:cs="Arial"/>
                <w:b/>
                <w:bCs/>
                <w:sz w:val="20"/>
                <w:szCs w:val="20"/>
                <w:lang w:val="en-GB"/>
              </w:rPr>
            </w:pPr>
            <w:r w:rsidRPr="003A2B5A">
              <w:rPr>
                <w:rFonts w:ascii="Arial" w:hAnsi="Arial" w:cs="Arial"/>
                <w:b/>
                <w:bCs/>
                <w:sz w:val="20"/>
                <w:szCs w:val="20"/>
                <w:lang w:val="en-GB"/>
              </w:rPr>
              <w:t>£000s</w:t>
            </w:r>
          </w:p>
        </w:tc>
      </w:tr>
      <w:tr w:rsidR="00D15D90" w:rsidRPr="003A2B5A" w14:paraId="7110D92B" w14:textId="77777777" w:rsidTr="00012E0D">
        <w:trPr>
          <w:trHeight w:val="232"/>
        </w:trPr>
        <w:tc>
          <w:tcPr>
            <w:tcW w:w="4213" w:type="dxa"/>
            <w:tcBorders>
              <w:top w:val="single" w:sz="4" w:space="0" w:color="auto"/>
              <w:left w:val="single" w:sz="4" w:space="0" w:color="auto"/>
              <w:bottom w:val="nil"/>
              <w:right w:val="single" w:sz="4" w:space="0" w:color="auto"/>
            </w:tcBorders>
          </w:tcPr>
          <w:p w14:paraId="1DFD9338" w14:textId="77777777" w:rsidR="00D15D90" w:rsidRPr="003A2B5A" w:rsidRDefault="00D15D90" w:rsidP="00012E0D">
            <w:pPr>
              <w:pStyle w:val="NoSpacing"/>
              <w:spacing w:line="360" w:lineRule="auto"/>
              <w:rPr>
                <w:rFonts w:ascii="Arial" w:hAnsi="Arial" w:cs="Arial"/>
                <w:b/>
                <w:bCs/>
                <w:sz w:val="20"/>
                <w:szCs w:val="20"/>
                <w:lang w:val="en-GB"/>
              </w:rPr>
            </w:pPr>
            <w:r w:rsidRPr="003A2B5A">
              <w:rPr>
                <w:rFonts w:ascii="Arial" w:hAnsi="Arial" w:cs="Arial"/>
                <w:b/>
                <w:bCs/>
                <w:sz w:val="20"/>
                <w:szCs w:val="20"/>
                <w:lang w:val="en-GB"/>
              </w:rPr>
              <w:t>Revenue Funds</w:t>
            </w:r>
          </w:p>
        </w:tc>
        <w:tc>
          <w:tcPr>
            <w:tcW w:w="1355" w:type="dxa"/>
            <w:tcBorders>
              <w:top w:val="single" w:sz="4" w:space="0" w:color="auto"/>
              <w:left w:val="single" w:sz="4" w:space="0" w:color="auto"/>
              <w:bottom w:val="nil"/>
              <w:right w:val="single" w:sz="4" w:space="0" w:color="auto"/>
            </w:tcBorders>
          </w:tcPr>
          <w:p w14:paraId="24058604" w14:textId="77777777" w:rsidR="00D15D90" w:rsidRPr="003A2B5A" w:rsidRDefault="00D15D90" w:rsidP="00012E0D">
            <w:pPr>
              <w:pStyle w:val="NoSpacing"/>
              <w:spacing w:line="360" w:lineRule="auto"/>
              <w:rPr>
                <w:rFonts w:ascii="Arial" w:hAnsi="Arial" w:cs="Arial"/>
                <w:sz w:val="20"/>
                <w:szCs w:val="20"/>
                <w:lang w:val="en-GB"/>
              </w:rPr>
            </w:pPr>
          </w:p>
        </w:tc>
        <w:tc>
          <w:tcPr>
            <w:tcW w:w="1703" w:type="dxa"/>
            <w:tcBorders>
              <w:top w:val="single" w:sz="4" w:space="0" w:color="auto"/>
              <w:left w:val="single" w:sz="4" w:space="0" w:color="auto"/>
              <w:bottom w:val="nil"/>
              <w:right w:val="single" w:sz="4" w:space="0" w:color="auto"/>
            </w:tcBorders>
          </w:tcPr>
          <w:p w14:paraId="02F3038D" w14:textId="77777777" w:rsidR="00D15D90" w:rsidRPr="003A2B5A" w:rsidRDefault="00D15D90" w:rsidP="00012E0D">
            <w:pPr>
              <w:pStyle w:val="NoSpacing"/>
              <w:spacing w:line="360" w:lineRule="auto"/>
              <w:rPr>
                <w:rFonts w:ascii="Arial" w:hAnsi="Arial" w:cs="Arial"/>
                <w:sz w:val="20"/>
                <w:szCs w:val="20"/>
                <w:lang w:val="en-GB"/>
              </w:rPr>
            </w:pPr>
          </w:p>
        </w:tc>
        <w:tc>
          <w:tcPr>
            <w:tcW w:w="1505" w:type="dxa"/>
            <w:tcBorders>
              <w:top w:val="single" w:sz="4" w:space="0" w:color="auto"/>
              <w:left w:val="single" w:sz="4" w:space="0" w:color="auto"/>
              <w:bottom w:val="nil"/>
              <w:right w:val="single" w:sz="4" w:space="0" w:color="auto"/>
            </w:tcBorders>
          </w:tcPr>
          <w:p w14:paraId="3FDBDF43" w14:textId="77777777" w:rsidR="00D15D90" w:rsidRPr="003A2B5A" w:rsidRDefault="00D15D90" w:rsidP="00012E0D">
            <w:pPr>
              <w:pStyle w:val="NoSpacing"/>
              <w:spacing w:line="360" w:lineRule="auto"/>
              <w:rPr>
                <w:rFonts w:ascii="Arial" w:hAnsi="Arial" w:cs="Arial"/>
                <w:sz w:val="20"/>
                <w:szCs w:val="20"/>
                <w:lang w:val="en-GB"/>
              </w:rPr>
            </w:pPr>
          </w:p>
        </w:tc>
      </w:tr>
      <w:tr w:rsidR="00D15D90" w:rsidRPr="003A2B5A" w14:paraId="59D98983" w14:textId="77777777" w:rsidTr="00012E0D">
        <w:trPr>
          <w:trHeight w:val="232"/>
        </w:trPr>
        <w:tc>
          <w:tcPr>
            <w:tcW w:w="4213" w:type="dxa"/>
            <w:tcBorders>
              <w:top w:val="nil"/>
              <w:left w:val="single" w:sz="4" w:space="0" w:color="auto"/>
              <w:bottom w:val="nil"/>
              <w:right w:val="single" w:sz="4" w:space="0" w:color="auto"/>
            </w:tcBorders>
          </w:tcPr>
          <w:p w14:paraId="2E683092" w14:textId="77777777" w:rsidR="00D15D90" w:rsidRPr="003A2B5A" w:rsidRDefault="00D15D90" w:rsidP="00012E0D">
            <w:pPr>
              <w:pStyle w:val="NoSpacing"/>
              <w:spacing w:line="360" w:lineRule="auto"/>
              <w:rPr>
                <w:rFonts w:ascii="Arial" w:hAnsi="Arial" w:cs="Arial"/>
                <w:sz w:val="20"/>
                <w:szCs w:val="20"/>
                <w:lang w:val="en-GB"/>
              </w:rPr>
            </w:pPr>
            <w:r w:rsidRPr="003A2B5A">
              <w:rPr>
                <w:rFonts w:ascii="Arial" w:hAnsi="Arial" w:cs="Arial"/>
                <w:sz w:val="20"/>
                <w:szCs w:val="20"/>
                <w:lang w:val="en-GB"/>
              </w:rPr>
              <w:t>LEP Capacity</w:t>
            </w:r>
          </w:p>
        </w:tc>
        <w:tc>
          <w:tcPr>
            <w:tcW w:w="1355" w:type="dxa"/>
            <w:tcBorders>
              <w:top w:val="nil"/>
              <w:left w:val="single" w:sz="4" w:space="0" w:color="auto"/>
              <w:bottom w:val="nil"/>
              <w:right w:val="single" w:sz="4" w:space="0" w:color="auto"/>
            </w:tcBorders>
          </w:tcPr>
          <w:p w14:paraId="6E1C24E2" w14:textId="77777777" w:rsidR="00D15D90" w:rsidRPr="003A2B5A" w:rsidRDefault="00D15D90" w:rsidP="00012E0D">
            <w:pPr>
              <w:pStyle w:val="NoSpacing"/>
              <w:spacing w:line="360" w:lineRule="auto"/>
              <w:jc w:val="right"/>
              <w:rPr>
                <w:rFonts w:ascii="Arial" w:hAnsi="Arial" w:cs="Arial"/>
                <w:sz w:val="20"/>
                <w:szCs w:val="20"/>
                <w:lang w:val="en-GB"/>
              </w:rPr>
            </w:pPr>
            <w:r w:rsidRPr="003A2B5A">
              <w:rPr>
                <w:rFonts w:ascii="Arial" w:hAnsi="Arial" w:cs="Arial"/>
                <w:sz w:val="20"/>
                <w:szCs w:val="20"/>
                <w:lang w:val="en-GB"/>
              </w:rPr>
              <w:t>(250)</w:t>
            </w:r>
          </w:p>
        </w:tc>
        <w:tc>
          <w:tcPr>
            <w:tcW w:w="1703" w:type="dxa"/>
            <w:tcBorders>
              <w:top w:val="nil"/>
              <w:left w:val="single" w:sz="4" w:space="0" w:color="auto"/>
              <w:bottom w:val="nil"/>
              <w:right w:val="single" w:sz="4" w:space="0" w:color="auto"/>
            </w:tcBorders>
          </w:tcPr>
          <w:p w14:paraId="48BFD5C2" w14:textId="77777777" w:rsidR="00D15D90" w:rsidRPr="003A2B5A" w:rsidRDefault="00D15D90" w:rsidP="00012E0D">
            <w:pPr>
              <w:pStyle w:val="NoSpacing"/>
              <w:spacing w:line="360" w:lineRule="auto"/>
              <w:jc w:val="right"/>
              <w:rPr>
                <w:rFonts w:ascii="Arial" w:hAnsi="Arial" w:cs="Arial"/>
                <w:sz w:val="20"/>
                <w:szCs w:val="20"/>
                <w:lang w:val="en-GB"/>
              </w:rPr>
            </w:pPr>
            <w:r w:rsidRPr="003A2B5A">
              <w:rPr>
                <w:rFonts w:ascii="Arial" w:hAnsi="Arial" w:cs="Arial"/>
                <w:sz w:val="20"/>
                <w:szCs w:val="20"/>
                <w:lang w:val="en-GB"/>
              </w:rPr>
              <w:t>250</w:t>
            </w:r>
          </w:p>
        </w:tc>
        <w:tc>
          <w:tcPr>
            <w:tcW w:w="1505" w:type="dxa"/>
            <w:tcBorders>
              <w:top w:val="nil"/>
              <w:left w:val="single" w:sz="4" w:space="0" w:color="auto"/>
              <w:bottom w:val="nil"/>
              <w:right w:val="single" w:sz="4" w:space="0" w:color="auto"/>
            </w:tcBorders>
          </w:tcPr>
          <w:p w14:paraId="02783D6F" w14:textId="77777777" w:rsidR="00D15D90" w:rsidRPr="003A2B5A" w:rsidRDefault="00D15D90" w:rsidP="00012E0D">
            <w:pPr>
              <w:pStyle w:val="NoSpacing"/>
              <w:spacing w:line="360" w:lineRule="auto"/>
              <w:jc w:val="right"/>
              <w:rPr>
                <w:rFonts w:ascii="Arial" w:hAnsi="Arial" w:cs="Arial"/>
                <w:sz w:val="20"/>
                <w:szCs w:val="20"/>
                <w:lang w:val="en-GB"/>
              </w:rPr>
            </w:pPr>
            <w:r w:rsidRPr="003A2B5A">
              <w:rPr>
                <w:rFonts w:ascii="Arial" w:hAnsi="Arial" w:cs="Arial"/>
                <w:sz w:val="20"/>
                <w:szCs w:val="20"/>
                <w:lang w:val="en-GB"/>
              </w:rPr>
              <w:t>0</w:t>
            </w:r>
          </w:p>
        </w:tc>
      </w:tr>
      <w:tr w:rsidR="00D15D90" w:rsidRPr="003A2B5A" w14:paraId="66CE72BC" w14:textId="77777777" w:rsidTr="00012E0D">
        <w:trPr>
          <w:trHeight w:val="232"/>
        </w:trPr>
        <w:tc>
          <w:tcPr>
            <w:tcW w:w="4213" w:type="dxa"/>
            <w:tcBorders>
              <w:top w:val="nil"/>
              <w:left w:val="single" w:sz="4" w:space="0" w:color="auto"/>
              <w:bottom w:val="nil"/>
              <w:right w:val="single" w:sz="4" w:space="0" w:color="auto"/>
            </w:tcBorders>
          </w:tcPr>
          <w:p w14:paraId="097D5DA8" w14:textId="77777777" w:rsidR="00D15D90" w:rsidRPr="003A2B5A" w:rsidRDefault="00D15D90" w:rsidP="00012E0D">
            <w:pPr>
              <w:pStyle w:val="NoSpacing"/>
              <w:spacing w:line="360" w:lineRule="auto"/>
              <w:rPr>
                <w:rFonts w:ascii="Arial" w:hAnsi="Arial" w:cs="Arial"/>
                <w:sz w:val="20"/>
                <w:szCs w:val="20"/>
                <w:lang w:val="en-GB"/>
              </w:rPr>
            </w:pPr>
            <w:r w:rsidRPr="003A2B5A">
              <w:rPr>
                <w:rFonts w:ascii="Arial" w:hAnsi="Arial" w:cs="Arial"/>
                <w:sz w:val="20"/>
                <w:szCs w:val="20"/>
                <w:lang w:val="en-GB"/>
              </w:rPr>
              <w:t>Business Growth Hub</w:t>
            </w:r>
          </w:p>
        </w:tc>
        <w:tc>
          <w:tcPr>
            <w:tcW w:w="1355" w:type="dxa"/>
            <w:tcBorders>
              <w:top w:val="nil"/>
              <w:left w:val="single" w:sz="4" w:space="0" w:color="auto"/>
              <w:bottom w:val="nil"/>
              <w:right w:val="single" w:sz="4" w:space="0" w:color="auto"/>
            </w:tcBorders>
          </w:tcPr>
          <w:p w14:paraId="297EB233" w14:textId="77777777" w:rsidR="00D15D90" w:rsidRPr="003A2B5A" w:rsidRDefault="00D15D90" w:rsidP="00012E0D">
            <w:pPr>
              <w:pStyle w:val="NoSpacing"/>
              <w:spacing w:line="360" w:lineRule="auto"/>
              <w:jc w:val="right"/>
              <w:rPr>
                <w:rFonts w:ascii="Arial" w:hAnsi="Arial" w:cs="Arial"/>
                <w:sz w:val="20"/>
                <w:szCs w:val="20"/>
                <w:lang w:val="en-GB"/>
              </w:rPr>
            </w:pPr>
            <w:r w:rsidRPr="003A2B5A">
              <w:rPr>
                <w:rFonts w:ascii="Arial" w:hAnsi="Arial" w:cs="Arial"/>
                <w:sz w:val="20"/>
                <w:szCs w:val="20"/>
                <w:lang w:val="en-GB"/>
              </w:rPr>
              <w:t>(420)</w:t>
            </w:r>
          </w:p>
        </w:tc>
        <w:tc>
          <w:tcPr>
            <w:tcW w:w="1703" w:type="dxa"/>
            <w:tcBorders>
              <w:top w:val="nil"/>
              <w:left w:val="single" w:sz="4" w:space="0" w:color="auto"/>
              <w:bottom w:val="nil"/>
              <w:right w:val="single" w:sz="4" w:space="0" w:color="auto"/>
            </w:tcBorders>
          </w:tcPr>
          <w:p w14:paraId="7C8722E5" w14:textId="77777777" w:rsidR="00D15D90" w:rsidRPr="003A2B5A" w:rsidRDefault="00D15D90" w:rsidP="00012E0D">
            <w:pPr>
              <w:pStyle w:val="NoSpacing"/>
              <w:spacing w:line="360" w:lineRule="auto"/>
              <w:jc w:val="right"/>
              <w:rPr>
                <w:rFonts w:ascii="Arial" w:hAnsi="Arial" w:cs="Arial"/>
                <w:sz w:val="20"/>
                <w:szCs w:val="20"/>
                <w:lang w:val="en-GB"/>
              </w:rPr>
            </w:pPr>
            <w:r w:rsidRPr="003A2B5A">
              <w:rPr>
                <w:rFonts w:ascii="Arial" w:hAnsi="Arial" w:cs="Arial"/>
                <w:sz w:val="20"/>
                <w:szCs w:val="20"/>
                <w:lang w:val="en-GB"/>
              </w:rPr>
              <w:t>420</w:t>
            </w:r>
          </w:p>
        </w:tc>
        <w:tc>
          <w:tcPr>
            <w:tcW w:w="1505" w:type="dxa"/>
            <w:tcBorders>
              <w:top w:val="nil"/>
              <w:left w:val="single" w:sz="4" w:space="0" w:color="auto"/>
              <w:bottom w:val="nil"/>
              <w:right w:val="single" w:sz="4" w:space="0" w:color="auto"/>
            </w:tcBorders>
          </w:tcPr>
          <w:p w14:paraId="67529942" w14:textId="77777777" w:rsidR="00D15D90" w:rsidRPr="003A2B5A" w:rsidRDefault="00D15D90" w:rsidP="00012E0D">
            <w:pPr>
              <w:pStyle w:val="NoSpacing"/>
              <w:spacing w:line="360" w:lineRule="auto"/>
              <w:jc w:val="right"/>
              <w:rPr>
                <w:rFonts w:ascii="Arial" w:hAnsi="Arial" w:cs="Arial"/>
                <w:sz w:val="20"/>
                <w:szCs w:val="20"/>
                <w:lang w:val="en-GB"/>
              </w:rPr>
            </w:pPr>
            <w:r w:rsidRPr="003A2B5A">
              <w:rPr>
                <w:rFonts w:ascii="Arial" w:hAnsi="Arial" w:cs="Arial"/>
                <w:sz w:val="20"/>
                <w:szCs w:val="20"/>
                <w:lang w:val="en-GB"/>
              </w:rPr>
              <w:t>0</w:t>
            </w:r>
          </w:p>
        </w:tc>
      </w:tr>
      <w:tr w:rsidR="00D15D90" w:rsidRPr="003A2B5A" w14:paraId="646972A3" w14:textId="77777777" w:rsidTr="00012E0D">
        <w:trPr>
          <w:trHeight w:val="232"/>
        </w:trPr>
        <w:tc>
          <w:tcPr>
            <w:tcW w:w="4213" w:type="dxa"/>
            <w:tcBorders>
              <w:top w:val="single" w:sz="4" w:space="0" w:color="auto"/>
              <w:left w:val="single" w:sz="4" w:space="0" w:color="auto"/>
              <w:bottom w:val="single" w:sz="4" w:space="0" w:color="auto"/>
              <w:right w:val="single" w:sz="4" w:space="0" w:color="auto"/>
            </w:tcBorders>
          </w:tcPr>
          <w:p w14:paraId="19147682" w14:textId="77777777" w:rsidR="00D15D90" w:rsidRPr="003A2B5A" w:rsidRDefault="00D15D90" w:rsidP="00012E0D">
            <w:pPr>
              <w:pStyle w:val="NoSpacing"/>
              <w:spacing w:line="360" w:lineRule="auto"/>
              <w:rPr>
                <w:rFonts w:ascii="Arial" w:hAnsi="Arial" w:cs="Arial"/>
                <w:b/>
                <w:bCs/>
                <w:sz w:val="20"/>
                <w:szCs w:val="20"/>
                <w:lang w:val="en-GB"/>
              </w:rPr>
            </w:pPr>
            <w:r w:rsidRPr="003A2B5A">
              <w:rPr>
                <w:rFonts w:ascii="Arial" w:hAnsi="Arial" w:cs="Arial"/>
                <w:b/>
                <w:bCs/>
                <w:sz w:val="20"/>
                <w:szCs w:val="20"/>
                <w:lang w:val="en-GB"/>
              </w:rPr>
              <w:t>Total Revenue</w:t>
            </w:r>
          </w:p>
        </w:tc>
        <w:tc>
          <w:tcPr>
            <w:tcW w:w="1355" w:type="dxa"/>
            <w:tcBorders>
              <w:top w:val="single" w:sz="4" w:space="0" w:color="auto"/>
              <w:left w:val="single" w:sz="4" w:space="0" w:color="auto"/>
              <w:bottom w:val="single" w:sz="4" w:space="0" w:color="auto"/>
              <w:right w:val="single" w:sz="4" w:space="0" w:color="auto"/>
            </w:tcBorders>
          </w:tcPr>
          <w:p w14:paraId="41131565" w14:textId="77777777" w:rsidR="00D15D90" w:rsidRPr="003A2B5A" w:rsidRDefault="00D15D90" w:rsidP="00012E0D">
            <w:pPr>
              <w:pStyle w:val="NoSpacing"/>
              <w:spacing w:line="360" w:lineRule="auto"/>
              <w:jc w:val="right"/>
              <w:rPr>
                <w:rFonts w:ascii="Arial" w:hAnsi="Arial" w:cs="Arial"/>
                <w:b/>
                <w:bCs/>
                <w:sz w:val="20"/>
                <w:szCs w:val="20"/>
                <w:lang w:val="en-GB"/>
              </w:rPr>
            </w:pPr>
            <w:r w:rsidRPr="003A2B5A">
              <w:rPr>
                <w:rFonts w:ascii="Arial" w:hAnsi="Arial" w:cs="Arial"/>
                <w:b/>
                <w:bCs/>
                <w:sz w:val="20"/>
                <w:szCs w:val="20"/>
                <w:lang w:val="en-GB"/>
              </w:rPr>
              <w:t>(670)</w:t>
            </w:r>
          </w:p>
        </w:tc>
        <w:tc>
          <w:tcPr>
            <w:tcW w:w="1703" w:type="dxa"/>
            <w:tcBorders>
              <w:top w:val="single" w:sz="4" w:space="0" w:color="auto"/>
              <w:left w:val="single" w:sz="4" w:space="0" w:color="auto"/>
              <w:bottom w:val="single" w:sz="4" w:space="0" w:color="auto"/>
              <w:right w:val="single" w:sz="4" w:space="0" w:color="auto"/>
            </w:tcBorders>
          </w:tcPr>
          <w:p w14:paraId="14289810" w14:textId="77777777" w:rsidR="00D15D90" w:rsidRPr="003A2B5A" w:rsidRDefault="00D15D90" w:rsidP="00012E0D">
            <w:pPr>
              <w:pStyle w:val="NoSpacing"/>
              <w:spacing w:line="360" w:lineRule="auto"/>
              <w:jc w:val="right"/>
              <w:rPr>
                <w:rFonts w:ascii="Arial" w:hAnsi="Arial" w:cs="Arial"/>
                <w:b/>
                <w:bCs/>
                <w:sz w:val="20"/>
                <w:szCs w:val="20"/>
                <w:lang w:val="en-GB"/>
              </w:rPr>
            </w:pPr>
            <w:r w:rsidRPr="003A2B5A">
              <w:rPr>
                <w:rFonts w:ascii="Arial" w:hAnsi="Arial" w:cs="Arial"/>
                <w:b/>
                <w:bCs/>
                <w:sz w:val="20"/>
                <w:szCs w:val="20"/>
                <w:lang w:val="en-GB"/>
              </w:rPr>
              <w:t>670</w:t>
            </w:r>
          </w:p>
        </w:tc>
        <w:tc>
          <w:tcPr>
            <w:tcW w:w="1505" w:type="dxa"/>
            <w:tcBorders>
              <w:top w:val="single" w:sz="4" w:space="0" w:color="auto"/>
              <w:left w:val="single" w:sz="4" w:space="0" w:color="auto"/>
              <w:bottom w:val="single" w:sz="4" w:space="0" w:color="auto"/>
              <w:right w:val="single" w:sz="4" w:space="0" w:color="auto"/>
            </w:tcBorders>
          </w:tcPr>
          <w:p w14:paraId="745E6584" w14:textId="77777777" w:rsidR="00D15D90" w:rsidRPr="003A2B5A" w:rsidRDefault="00D15D90" w:rsidP="00012E0D">
            <w:pPr>
              <w:pStyle w:val="NoSpacing"/>
              <w:spacing w:line="360" w:lineRule="auto"/>
              <w:jc w:val="right"/>
              <w:rPr>
                <w:rFonts w:ascii="Arial" w:hAnsi="Arial" w:cs="Arial"/>
                <w:b/>
                <w:bCs/>
                <w:sz w:val="20"/>
                <w:szCs w:val="20"/>
                <w:lang w:val="en-GB"/>
              </w:rPr>
            </w:pPr>
            <w:r w:rsidRPr="003A2B5A">
              <w:rPr>
                <w:rFonts w:ascii="Arial" w:hAnsi="Arial" w:cs="Arial"/>
                <w:b/>
                <w:bCs/>
                <w:sz w:val="20"/>
                <w:szCs w:val="20"/>
                <w:lang w:val="en-GB"/>
              </w:rPr>
              <w:t>0</w:t>
            </w:r>
          </w:p>
        </w:tc>
      </w:tr>
      <w:tr w:rsidR="00D15D90" w:rsidRPr="003A2B5A" w14:paraId="2E69C22D" w14:textId="77777777" w:rsidTr="00012E0D">
        <w:trPr>
          <w:trHeight w:val="232"/>
        </w:trPr>
        <w:tc>
          <w:tcPr>
            <w:tcW w:w="4213" w:type="dxa"/>
            <w:tcBorders>
              <w:top w:val="single" w:sz="4" w:space="0" w:color="auto"/>
              <w:left w:val="single" w:sz="4" w:space="0" w:color="auto"/>
              <w:bottom w:val="nil"/>
              <w:right w:val="single" w:sz="4" w:space="0" w:color="auto"/>
            </w:tcBorders>
          </w:tcPr>
          <w:p w14:paraId="3C5FB074" w14:textId="77777777" w:rsidR="00D15D90" w:rsidRPr="003A2B5A" w:rsidRDefault="00D15D90" w:rsidP="00012E0D">
            <w:pPr>
              <w:pStyle w:val="NoSpacing"/>
              <w:spacing w:line="360" w:lineRule="auto"/>
              <w:rPr>
                <w:rFonts w:ascii="Arial" w:hAnsi="Arial" w:cs="Arial"/>
                <w:sz w:val="20"/>
                <w:szCs w:val="20"/>
                <w:lang w:val="en-GB"/>
              </w:rPr>
            </w:pPr>
          </w:p>
        </w:tc>
        <w:tc>
          <w:tcPr>
            <w:tcW w:w="1355" w:type="dxa"/>
            <w:tcBorders>
              <w:top w:val="single" w:sz="4" w:space="0" w:color="auto"/>
              <w:left w:val="single" w:sz="4" w:space="0" w:color="auto"/>
              <w:bottom w:val="nil"/>
              <w:right w:val="single" w:sz="4" w:space="0" w:color="auto"/>
            </w:tcBorders>
          </w:tcPr>
          <w:p w14:paraId="3E0138CB" w14:textId="77777777" w:rsidR="00D15D90" w:rsidRPr="003A2B5A" w:rsidRDefault="00D15D90" w:rsidP="00012E0D">
            <w:pPr>
              <w:pStyle w:val="NoSpacing"/>
              <w:spacing w:line="360" w:lineRule="auto"/>
              <w:jc w:val="right"/>
              <w:rPr>
                <w:rFonts w:ascii="Arial" w:hAnsi="Arial" w:cs="Arial"/>
                <w:sz w:val="20"/>
                <w:szCs w:val="20"/>
                <w:lang w:val="en-GB"/>
              </w:rPr>
            </w:pPr>
          </w:p>
        </w:tc>
        <w:tc>
          <w:tcPr>
            <w:tcW w:w="1703" w:type="dxa"/>
            <w:tcBorders>
              <w:top w:val="single" w:sz="4" w:space="0" w:color="auto"/>
              <w:left w:val="single" w:sz="4" w:space="0" w:color="auto"/>
              <w:bottom w:val="nil"/>
              <w:right w:val="single" w:sz="4" w:space="0" w:color="auto"/>
            </w:tcBorders>
          </w:tcPr>
          <w:p w14:paraId="4FEC97BD" w14:textId="77777777" w:rsidR="00D15D90" w:rsidRPr="003A2B5A" w:rsidRDefault="00D15D90" w:rsidP="00012E0D">
            <w:pPr>
              <w:pStyle w:val="NoSpacing"/>
              <w:spacing w:line="360" w:lineRule="auto"/>
              <w:jc w:val="right"/>
              <w:rPr>
                <w:rFonts w:ascii="Arial" w:hAnsi="Arial" w:cs="Arial"/>
                <w:sz w:val="20"/>
                <w:szCs w:val="20"/>
                <w:lang w:val="en-GB"/>
              </w:rPr>
            </w:pPr>
          </w:p>
        </w:tc>
        <w:tc>
          <w:tcPr>
            <w:tcW w:w="1505" w:type="dxa"/>
            <w:tcBorders>
              <w:top w:val="single" w:sz="4" w:space="0" w:color="auto"/>
              <w:left w:val="single" w:sz="4" w:space="0" w:color="auto"/>
              <w:bottom w:val="nil"/>
              <w:right w:val="single" w:sz="4" w:space="0" w:color="auto"/>
            </w:tcBorders>
          </w:tcPr>
          <w:p w14:paraId="42861F40" w14:textId="77777777" w:rsidR="00D15D90" w:rsidRPr="003A2B5A" w:rsidRDefault="00D15D90" w:rsidP="00012E0D">
            <w:pPr>
              <w:pStyle w:val="NoSpacing"/>
              <w:spacing w:line="360" w:lineRule="auto"/>
              <w:jc w:val="right"/>
              <w:rPr>
                <w:rFonts w:ascii="Arial" w:hAnsi="Arial" w:cs="Arial"/>
                <w:sz w:val="20"/>
                <w:szCs w:val="20"/>
                <w:lang w:val="en-GB"/>
              </w:rPr>
            </w:pPr>
          </w:p>
        </w:tc>
      </w:tr>
      <w:tr w:rsidR="00D15D90" w:rsidRPr="003A2B5A" w14:paraId="5F33B4B5" w14:textId="77777777" w:rsidTr="00012E0D">
        <w:trPr>
          <w:trHeight w:val="232"/>
        </w:trPr>
        <w:tc>
          <w:tcPr>
            <w:tcW w:w="4213" w:type="dxa"/>
            <w:tcBorders>
              <w:top w:val="nil"/>
              <w:left w:val="single" w:sz="4" w:space="0" w:color="auto"/>
              <w:bottom w:val="nil"/>
              <w:right w:val="single" w:sz="4" w:space="0" w:color="auto"/>
            </w:tcBorders>
          </w:tcPr>
          <w:p w14:paraId="2A4B0FB7" w14:textId="77777777" w:rsidR="00D15D90" w:rsidRPr="003A2B5A" w:rsidRDefault="00D15D90" w:rsidP="00012E0D">
            <w:pPr>
              <w:pStyle w:val="NoSpacing"/>
              <w:spacing w:line="360" w:lineRule="auto"/>
              <w:rPr>
                <w:rFonts w:ascii="Arial" w:hAnsi="Arial" w:cs="Arial"/>
                <w:b/>
                <w:bCs/>
                <w:sz w:val="20"/>
                <w:szCs w:val="20"/>
                <w:lang w:val="en-GB"/>
              </w:rPr>
            </w:pPr>
            <w:r w:rsidRPr="003A2B5A">
              <w:rPr>
                <w:rFonts w:ascii="Arial" w:hAnsi="Arial" w:cs="Arial"/>
                <w:b/>
                <w:bCs/>
                <w:sz w:val="20"/>
                <w:szCs w:val="20"/>
                <w:lang w:val="en-GB"/>
              </w:rPr>
              <w:t>Capital Funds</w:t>
            </w:r>
          </w:p>
        </w:tc>
        <w:tc>
          <w:tcPr>
            <w:tcW w:w="1355" w:type="dxa"/>
            <w:tcBorders>
              <w:top w:val="nil"/>
              <w:left w:val="single" w:sz="4" w:space="0" w:color="auto"/>
              <w:bottom w:val="nil"/>
              <w:right w:val="single" w:sz="4" w:space="0" w:color="auto"/>
            </w:tcBorders>
          </w:tcPr>
          <w:p w14:paraId="1CA6B161" w14:textId="77777777" w:rsidR="00D15D90" w:rsidRPr="003A2B5A" w:rsidRDefault="00D15D90" w:rsidP="00012E0D">
            <w:pPr>
              <w:pStyle w:val="NoSpacing"/>
              <w:spacing w:line="360" w:lineRule="auto"/>
              <w:jc w:val="right"/>
              <w:rPr>
                <w:rFonts w:ascii="Arial" w:hAnsi="Arial" w:cs="Arial"/>
                <w:sz w:val="20"/>
                <w:szCs w:val="20"/>
                <w:lang w:val="en-GB"/>
              </w:rPr>
            </w:pPr>
          </w:p>
        </w:tc>
        <w:tc>
          <w:tcPr>
            <w:tcW w:w="1703" w:type="dxa"/>
            <w:tcBorders>
              <w:top w:val="nil"/>
              <w:left w:val="single" w:sz="4" w:space="0" w:color="auto"/>
              <w:bottom w:val="nil"/>
              <w:right w:val="single" w:sz="4" w:space="0" w:color="auto"/>
            </w:tcBorders>
          </w:tcPr>
          <w:p w14:paraId="41EF9E2B" w14:textId="77777777" w:rsidR="00D15D90" w:rsidRPr="003A2B5A" w:rsidRDefault="00D15D90" w:rsidP="00012E0D">
            <w:pPr>
              <w:pStyle w:val="NoSpacing"/>
              <w:spacing w:line="360" w:lineRule="auto"/>
              <w:jc w:val="right"/>
              <w:rPr>
                <w:rFonts w:ascii="Arial" w:hAnsi="Arial" w:cs="Arial"/>
                <w:sz w:val="20"/>
                <w:szCs w:val="20"/>
                <w:lang w:val="en-GB"/>
              </w:rPr>
            </w:pPr>
          </w:p>
        </w:tc>
        <w:tc>
          <w:tcPr>
            <w:tcW w:w="1505" w:type="dxa"/>
            <w:tcBorders>
              <w:top w:val="nil"/>
              <w:left w:val="single" w:sz="4" w:space="0" w:color="auto"/>
              <w:bottom w:val="nil"/>
              <w:right w:val="single" w:sz="4" w:space="0" w:color="auto"/>
            </w:tcBorders>
          </w:tcPr>
          <w:p w14:paraId="2093BFD9" w14:textId="77777777" w:rsidR="00D15D90" w:rsidRPr="003A2B5A" w:rsidRDefault="00D15D90" w:rsidP="00012E0D">
            <w:pPr>
              <w:pStyle w:val="NoSpacing"/>
              <w:spacing w:line="360" w:lineRule="auto"/>
              <w:jc w:val="right"/>
              <w:rPr>
                <w:rFonts w:ascii="Arial" w:hAnsi="Arial" w:cs="Arial"/>
                <w:sz w:val="20"/>
                <w:szCs w:val="20"/>
                <w:lang w:val="en-GB"/>
              </w:rPr>
            </w:pPr>
          </w:p>
        </w:tc>
      </w:tr>
      <w:tr w:rsidR="00D15D90" w:rsidRPr="003A2B5A" w14:paraId="644D5A6C" w14:textId="77777777" w:rsidTr="00012E0D">
        <w:trPr>
          <w:trHeight w:val="232"/>
        </w:trPr>
        <w:tc>
          <w:tcPr>
            <w:tcW w:w="4213" w:type="dxa"/>
            <w:tcBorders>
              <w:top w:val="nil"/>
              <w:left w:val="single" w:sz="4" w:space="0" w:color="auto"/>
              <w:bottom w:val="single" w:sz="4" w:space="0" w:color="auto"/>
              <w:right w:val="single" w:sz="4" w:space="0" w:color="auto"/>
            </w:tcBorders>
          </w:tcPr>
          <w:p w14:paraId="5DA86B87" w14:textId="77777777" w:rsidR="00D15D90" w:rsidRPr="003A2B5A" w:rsidRDefault="00D15D90" w:rsidP="00012E0D">
            <w:pPr>
              <w:pStyle w:val="NoSpacing"/>
              <w:spacing w:line="360" w:lineRule="auto"/>
              <w:rPr>
                <w:rFonts w:ascii="Arial" w:hAnsi="Arial" w:cs="Arial"/>
                <w:sz w:val="20"/>
                <w:szCs w:val="20"/>
              </w:rPr>
            </w:pPr>
            <w:r w:rsidRPr="003A2B5A">
              <w:rPr>
                <w:rFonts w:ascii="Arial" w:hAnsi="Arial" w:cs="Arial"/>
                <w:sz w:val="20"/>
                <w:szCs w:val="20"/>
              </w:rPr>
              <w:t>Growing Places Fund</w:t>
            </w:r>
          </w:p>
        </w:tc>
        <w:tc>
          <w:tcPr>
            <w:tcW w:w="1355" w:type="dxa"/>
            <w:tcBorders>
              <w:top w:val="nil"/>
              <w:left w:val="single" w:sz="4" w:space="0" w:color="auto"/>
              <w:bottom w:val="single" w:sz="4" w:space="0" w:color="auto"/>
              <w:right w:val="single" w:sz="4" w:space="0" w:color="auto"/>
            </w:tcBorders>
          </w:tcPr>
          <w:p w14:paraId="213209D7" w14:textId="77777777" w:rsidR="00D15D90" w:rsidRPr="003A2B5A" w:rsidRDefault="00D15D90" w:rsidP="00012E0D">
            <w:pPr>
              <w:pStyle w:val="NoSpacing"/>
              <w:spacing w:line="360" w:lineRule="auto"/>
              <w:jc w:val="right"/>
              <w:rPr>
                <w:rFonts w:ascii="Arial" w:hAnsi="Arial" w:cs="Arial"/>
                <w:sz w:val="20"/>
                <w:szCs w:val="20"/>
              </w:rPr>
            </w:pPr>
            <w:r w:rsidRPr="003A2B5A">
              <w:rPr>
                <w:rFonts w:ascii="Arial" w:hAnsi="Arial" w:cs="Arial"/>
                <w:sz w:val="20"/>
                <w:szCs w:val="20"/>
              </w:rPr>
              <w:t>(39,989)</w:t>
            </w:r>
          </w:p>
        </w:tc>
        <w:tc>
          <w:tcPr>
            <w:tcW w:w="1703" w:type="dxa"/>
            <w:tcBorders>
              <w:top w:val="nil"/>
              <w:left w:val="single" w:sz="4" w:space="0" w:color="auto"/>
              <w:bottom w:val="single" w:sz="4" w:space="0" w:color="auto"/>
              <w:right w:val="single" w:sz="4" w:space="0" w:color="auto"/>
            </w:tcBorders>
          </w:tcPr>
          <w:p w14:paraId="17B030E2" w14:textId="77777777" w:rsidR="00D15D90" w:rsidRPr="003A2B5A" w:rsidRDefault="00D15D90" w:rsidP="00012E0D">
            <w:pPr>
              <w:pStyle w:val="NoSpacing"/>
              <w:spacing w:line="360" w:lineRule="auto"/>
              <w:jc w:val="right"/>
              <w:rPr>
                <w:rFonts w:ascii="Arial" w:hAnsi="Arial" w:cs="Arial"/>
                <w:sz w:val="20"/>
                <w:szCs w:val="20"/>
              </w:rPr>
            </w:pPr>
            <w:r w:rsidRPr="003A2B5A">
              <w:rPr>
                <w:rFonts w:ascii="Arial" w:hAnsi="Arial" w:cs="Arial"/>
                <w:sz w:val="20"/>
                <w:szCs w:val="20"/>
              </w:rPr>
              <w:t>39,989</w:t>
            </w:r>
          </w:p>
        </w:tc>
        <w:tc>
          <w:tcPr>
            <w:tcW w:w="1505" w:type="dxa"/>
            <w:tcBorders>
              <w:top w:val="nil"/>
              <w:left w:val="single" w:sz="4" w:space="0" w:color="auto"/>
              <w:bottom w:val="single" w:sz="4" w:space="0" w:color="auto"/>
              <w:right w:val="single" w:sz="4" w:space="0" w:color="auto"/>
            </w:tcBorders>
          </w:tcPr>
          <w:p w14:paraId="5D501548" w14:textId="77777777" w:rsidR="00D15D90" w:rsidRPr="003A2B5A" w:rsidRDefault="00D15D90" w:rsidP="00012E0D">
            <w:pPr>
              <w:pStyle w:val="NoSpacing"/>
              <w:spacing w:line="360" w:lineRule="auto"/>
              <w:jc w:val="right"/>
              <w:rPr>
                <w:rFonts w:ascii="Arial" w:hAnsi="Arial" w:cs="Arial"/>
                <w:sz w:val="20"/>
                <w:szCs w:val="20"/>
              </w:rPr>
            </w:pPr>
            <w:r w:rsidRPr="003A2B5A">
              <w:rPr>
                <w:rFonts w:ascii="Arial" w:hAnsi="Arial" w:cs="Arial"/>
                <w:sz w:val="20"/>
                <w:szCs w:val="20"/>
              </w:rPr>
              <w:t>0</w:t>
            </w:r>
          </w:p>
        </w:tc>
      </w:tr>
      <w:tr w:rsidR="00D15D90" w:rsidRPr="003A2B5A" w14:paraId="7E20D851" w14:textId="77777777" w:rsidTr="00012E0D">
        <w:trPr>
          <w:trHeight w:val="232"/>
        </w:trPr>
        <w:tc>
          <w:tcPr>
            <w:tcW w:w="4213" w:type="dxa"/>
            <w:tcBorders>
              <w:top w:val="single" w:sz="4" w:space="0" w:color="auto"/>
              <w:left w:val="single" w:sz="4" w:space="0" w:color="auto"/>
              <w:bottom w:val="single" w:sz="4" w:space="0" w:color="auto"/>
              <w:right w:val="single" w:sz="4" w:space="0" w:color="auto"/>
            </w:tcBorders>
          </w:tcPr>
          <w:p w14:paraId="0692D753" w14:textId="77777777" w:rsidR="00D15D90" w:rsidRPr="003A2B5A" w:rsidRDefault="00D15D90" w:rsidP="00012E0D">
            <w:pPr>
              <w:pStyle w:val="NoSpacing"/>
              <w:spacing w:line="360" w:lineRule="auto"/>
              <w:rPr>
                <w:rFonts w:ascii="Arial" w:hAnsi="Arial" w:cs="Arial"/>
                <w:b/>
                <w:bCs/>
                <w:sz w:val="20"/>
                <w:szCs w:val="20"/>
              </w:rPr>
            </w:pPr>
            <w:r w:rsidRPr="003A2B5A">
              <w:rPr>
                <w:rFonts w:ascii="Arial" w:hAnsi="Arial" w:cs="Arial"/>
                <w:b/>
                <w:bCs/>
                <w:sz w:val="20"/>
                <w:szCs w:val="20"/>
              </w:rPr>
              <w:t>Total Capital</w:t>
            </w:r>
          </w:p>
        </w:tc>
        <w:tc>
          <w:tcPr>
            <w:tcW w:w="1355" w:type="dxa"/>
            <w:tcBorders>
              <w:top w:val="single" w:sz="4" w:space="0" w:color="auto"/>
              <w:left w:val="single" w:sz="4" w:space="0" w:color="auto"/>
              <w:bottom w:val="single" w:sz="4" w:space="0" w:color="auto"/>
              <w:right w:val="single" w:sz="4" w:space="0" w:color="auto"/>
            </w:tcBorders>
          </w:tcPr>
          <w:p w14:paraId="4A5B48D1" w14:textId="77777777" w:rsidR="00D15D90" w:rsidRPr="003A2B5A" w:rsidRDefault="00D15D90" w:rsidP="00012E0D">
            <w:pPr>
              <w:pStyle w:val="NoSpacing"/>
              <w:spacing w:line="360" w:lineRule="auto"/>
              <w:jc w:val="right"/>
              <w:rPr>
                <w:rFonts w:ascii="Arial" w:hAnsi="Arial" w:cs="Arial"/>
                <w:b/>
                <w:bCs/>
                <w:sz w:val="20"/>
                <w:szCs w:val="20"/>
              </w:rPr>
            </w:pPr>
            <w:r w:rsidRPr="003A2B5A">
              <w:rPr>
                <w:rFonts w:ascii="Arial" w:hAnsi="Arial" w:cs="Arial"/>
                <w:b/>
                <w:bCs/>
                <w:sz w:val="20"/>
                <w:szCs w:val="20"/>
              </w:rPr>
              <w:t>(39,989)</w:t>
            </w:r>
          </w:p>
        </w:tc>
        <w:tc>
          <w:tcPr>
            <w:tcW w:w="1703" w:type="dxa"/>
            <w:tcBorders>
              <w:top w:val="single" w:sz="4" w:space="0" w:color="auto"/>
              <w:left w:val="single" w:sz="4" w:space="0" w:color="auto"/>
              <w:bottom w:val="single" w:sz="4" w:space="0" w:color="auto"/>
              <w:right w:val="single" w:sz="4" w:space="0" w:color="auto"/>
            </w:tcBorders>
          </w:tcPr>
          <w:p w14:paraId="2B056693" w14:textId="77777777" w:rsidR="00D15D90" w:rsidRPr="003A2B5A" w:rsidRDefault="00D15D90" w:rsidP="00012E0D">
            <w:pPr>
              <w:pStyle w:val="NoSpacing"/>
              <w:spacing w:line="360" w:lineRule="auto"/>
              <w:jc w:val="right"/>
              <w:rPr>
                <w:rFonts w:ascii="Arial" w:hAnsi="Arial" w:cs="Arial"/>
                <w:b/>
                <w:bCs/>
                <w:sz w:val="20"/>
                <w:szCs w:val="20"/>
              </w:rPr>
            </w:pPr>
            <w:r w:rsidRPr="003A2B5A">
              <w:rPr>
                <w:rFonts w:ascii="Arial" w:hAnsi="Arial" w:cs="Arial"/>
                <w:b/>
                <w:bCs/>
                <w:sz w:val="20"/>
                <w:szCs w:val="20"/>
              </w:rPr>
              <w:t>39,989</w:t>
            </w:r>
          </w:p>
        </w:tc>
        <w:tc>
          <w:tcPr>
            <w:tcW w:w="1505" w:type="dxa"/>
            <w:tcBorders>
              <w:top w:val="single" w:sz="4" w:space="0" w:color="auto"/>
              <w:left w:val="single" w:sz="4" w:space="0" w:color="auto"/>
              <w:bottom w:val="single" w:sz="4" w:space="0" w:color="auto"/>
              <w:right w:val="single" w:sz="4" w:space="0" w:color="auto"/>
            </w:tcBorders>
          </w:tcPr>
          <w:p w14:paraId="093CD76B" w14:textId="77777777" w:rsidR="00D15D90" w:rsidRPr="003A2B5A" w:rsidRDefault="00D15D90" w:rsidP="00012E0D">
            <w:pPr>
              <w:pStyle w:val="NoSpacing"/>
              <w:spacing w:line="360" w:lineRule="auto"/>
              <w:jc w:val="right"/>
              <w:rPr>
                <w:rFonts w:ascii="Arial" w:hAnsi="Arial" w:cs="Arial"/>
                <w:b/>
                <w:bCs/>
                <w:sz w:val="20"/>
                <w:szCs w:val="20"/>
              </w:rPr>
            </w:pPr>
            <w:r w:rsidRPr="003A2B5A">
              <w:rPr>
                <w:rFonts w:ascii="Arial" w:hAnsi="Arial" w:cs="Arial"/>
                <w:b/>
                <w:bCs/>
                <w:sz w:val="20"/>
                <w:szCs w:val="20"/>
              </w:rPr>
              <w:t>0</w:t>
            </w:r>
          </w:p>
        </w:tc>
      </w:tr>
      <w:tr w:rsidR="00D15D90" w:rsidRPr="003A2B5A" w14:paraId="67E46462" w14:textId="77777777" w:rsidTr="00012E0D">
        <w:trPr>
          <w:trHeight w:val="232"/>
        </w:trPr>
        <w:tc>
          <w:tcPr>
            <w:tcW w:w="4213" w:type="dxa"/>
            <w:tcBorders>
              <w:top w:val="single" w:sz="4" w:space="0" w:color="auto"/>
              <w:left w:val="single" w:sz="4" w:space="0" w:color="auto"/>
              <w:bottom w:val="single" w:sz="4" w:space="0" w:color="auto"/>
              <w:right w:val="single" w:sz="4" w:space="0" w:color="auto"/>
            </w:tcBorders>
          </w:tcPr>
          <w:p w14:paraId="4D17A152" w14:textId="77777777" w:rsidR="00D15D90" w:rsidRPr="003A2B5A" w:rsidRDefault="00D15D90" w:rsidP="00012E0D">
            <w:pPr>
              <w:pStyle w:val="NoSpacing"/>
              <w:spacing w:line="360" w:lineRule="auto"/>
              <w:rPr>
                <w:rFonts w:ascii="Arial" w:hAnsi="Arial" w:cs="Arial"/>
                <w:b/>
                <w:bCs/>
                <w:sz w:val="20"/>
                <w:szCs w:val="20"/>
              </w:rPr>
            </w:pPr>
          </w:p>
        </w:tc>
        <w:tc>
          <w:tcPr>
            <w:tcW w:w="1355" w:type="dxa"/>
            <w:tcBorders>
              <w:top w:val="single" w:sz="4" w:space="0" w:color="auto"/>
              <w:left w:val="single" w:sz="4" w:space="0" w:color="auto"/>
              <w:bottom w:val="single" w:sz="4" w:space="0" w:color="auto"/>
              <w:right w:val="single" w:sz="4" w:space="0" w:color="auto"/>
            </w:tcBorders>
          </w:tcPr>
          <w:p w14:paraId="1E94B769" w14:textId="77777777" w:rsidR="00D15D90" w:rsidRPr="003A2B5A" w:rsidRDefault="00D15D90" w:rsidP="00012E0D">
            <w:pPr>
              <w:pStyle w:val="NoSpacing"/>
              <w:spacing w:line="360" w:lineRule="auto"/>
              <w:jc w:val="right"/>
              <w:rPr>
                <w:rFonts w:ascii="Arial" w:hAnsi="Arial" w:cs="Arial"/>
                <w:b/>
                <w:bCs/>
                <w:sz w:val="20"/>
                <w:szCs w:val="20"/>
              </w:rPr>
            </w:pPr>
          </w:p>
        </w:tc>
        <w:tc>
          <w:tcPr>
            <w:tcW w:w="1703" w:type="dxa"/>
            <w:tcBorders>
              <w:top w:val="single" w:sz="4" w:space="0" w:color="auto"/>
              <w:left w:val="single" w:sz="4" w:space="0" w:color="auto"/>
              <w:bottom w:val="single" w:sz="4" w:space="0" w:color="auto"/>
              <w:right w:val="single" w:sz="4" w:space="0" w:color="auto"/>
            </w:tcBorders>
          </w:tcPr>
          <w:p w14:paraId="4A4CEAD8" w14:textId="77777777" w:rsidR="00D15D90" w:rsidRPr="003A2B5A" w:rsidRDefault="00D15D90" w:rsidP="00012E0D">
            <w:pPr>
              <w:pStyle w:val="NoSpacing"/>
              <w:spacing w:line="360" w:lineRule="auto"/>
              <w:jc w:val="right"/>
              <w:rPr>
                <w:rFonts w:ascii="Arial" w:hAnsi="Arial" w:cs="Arial"/>
                <w:b/>
                <w:bCs/>
                <w:sz w:val="20"/>
                <w:szCs w:val="20"/>
              </w:rPr>
            </w:pPr>
          </w:p>
        </w:tc>
        <w:tc>
          <w:tcPr>
            <w:tcW w:w="1505" w:type="dxa"/>
            <w:tcBorders>
              <w:top w:val="single" w:sz="4" w:space="0" w:color="auto"/>
              <w:left w:val="single" w:sz="4" w:space="0" w:color="auto"/>
              <w:bottom w:val="single" w:sz="4" w:space="0" w:color="auto"/>
              <w:right w:val="single" w:sz="4" w:space="0" w:color="auto"/>
            </w:tcBorders>
          </w:tcPr>
          <w:p w14:paraId="03DA470D" w14:textId="77777777" w:rsidR="00D15D90" w:rsidRPr="003A2B5A" w:rsidRDefault="00D15D90" w:rsidP="00012E0D">
            <w:pPr>
              <w:pStyle w:val="NoSpacing"/>
              <w:spacing w:line="360" w:lineRule="auto"/>
              <w:jc w:val="right"/>
              <w:rPr>
                <w:rFonts w:ascii="Arial" w:hAnsi="Arial" w:cs="Arial"/>
                <w:b/>
                <w:bCs/>
                <w:sz w:val="20"/>
                <w:szCs w:val="20"/>
              </w:rPr>
            </w:pPr>
          </w:p>
        </w:tc>
      </w:tr>
      <w:tr w:rsidR="00D15D90" w:rsidRPr="003A2B5A" w14:paraId="56558438" w14:textId="77777777" w:rsidTr="00012E0D">
        <w:trPr>
          <w:trHeight w:val="232"/>
        </w:trPr>
        <w:tc>
          <w:tcPr>
            <w:tcW w:w="4213" w:type="dxa"/>
            <w:tcBorders>
              <w:top w:val="single" w:sz="4" w:space="0" w:color="auto"/>
            </w:tcBorders>
          </w:tcPr>
          <w:p w14:paraId="3FEBF950" w14:textId="77777777" w:rsidR="00D15D90" w:rsidRPr="003A2B5A" w:rsidRDefault="00D15D90" w:rsidP="00012E0D">
            <w:pPr>
              <w:pStyle w:val="NoSpacing"/>
              <w:spacing w:line="360" w:lineRule="auto"/>
              <w:rPr>
                <w:rFonts w:ascii="Arial" w:hAnsi="Arial" w:cs="Arial"/>
                <w:b/>
                <w:bCs/>
                <w:sz w:val="20"/>
                <w:szCs w:val="20"/>
              </w:rPr>
            </w:pPr>
            <w:r w:rsidRPr="003A2B5A">
              <w:rPr>
                <w:rFonts w:ascii="Arial" w:hAnsi="Arial" w:cs="Arial"/>
                <w:b/>
                <w:bCs/>
                <w:sz w:val="20"/>
                <w:szCs w:val="20"/>
              </w:rPr>
              <w:t>Grand Total</w:t>
            </w:r>
          </w:p>
        </w:tc>
        <w:tc>
          <w:tcPr>
            <w:tcW w:w="1355" w:type="dxa"/>
            <w:tcBorders>
              <w:top w:val="single" w:sz="4" w:space="0" w:color="auto"/>
            </w:tcBorders>
          </w:tcPr>
          <w:p w14:paraId="5AC8599D" w14:textId="77777777" w:rsidR="00D15D90" w:rsidRPr="003A2B5A" w:rsidRDefault="00D15D90" w:rsidP="00012E0D">
            <w:pPr>
              <w:pStyle w:val="NoSpacing"/>
              <w:spacing w:line="360" w:lineRule="auto"/>
              <w:jc w:val="right"/>
              <w:rPr>
                <w:rFonts w:ascii="Arial" w:hAnsi="Arial" w:cs="Arial"/>
                <w:b/>
                <w:bCs/>
                <w:sz w:val="20"/>
                <w:szCs w:val="20"/>
              </w:rPr>
            </w:pPr>
            <w:r w:rsidRPr="003A2B5A">
              <w:rPr>
                <w:rFonts w:ascii="Arial" w:hAnsi="Arial" w:cs="Arial"/>
                <w:b/>
                <w:bCs/>
                <w:sz w:val="20"/>
                <w:szCs w:val="20"/>
              </w:rPr>
              <w:t>(40,659)</w:t>
            </w:r>
          </w:p>
        </w:tc>
        <w:tc>
          <w:tcPr>
            <w:tcW w:w="1703" w:type="dxa"/>
            <w:tcBorders>
              <w:top w:val="single" w:sz="4" w:space="0" w:color="auto"/>
            </w:tcBorders>
          </w:tcPr>
          <w:p w14:paraId="5322B6EC" w14:textId="77777777" w:rsidR="00D15D90" w:rsidRPr="003A2B5A" w:rsidRDefault="00D15D90" w:rsidP="00012E0D">
            <w:pPr>
              <w:pStyle w:val="NoSpacing"/>
              <w:spacing w:line="360" w:lineRule="auto"/>
              <w:jc w:val="right"/>
              <w:rPr>
                <w:rFonts w:ascii="Arial" w:hAnsi="Arial" w:cs="Arial"/>
                <w:b/>
                <w:bCs/>
                <w:sz w:val="20"/>
                <w:szCs w:val="20"/>
              </w:rPr>
            </w:pPr>
            <w:r w:rsidRPr="003A2B5A">
              <w:rPr>
                <w:rFonts w:ascii="Arial" w:hAnsi="Arial" w:cs="Arial"/>
                <w:b/>
                <w:bCs/>
                <w:sz w:val="20"/>
                <w:szCs w:val="20"/>
              </w:rPr>
              <w:t>40,659</w:t>
            </w:r>
          </w:p>
        </w:tc>
        <w:tc>
          <w:tcPr>
            <w:tcW w:w="1505" w:type="dxa"/>
            <w:tcBorders>
              <w:top w:val="single" w:sz="4" w:space="0" w:color="auto"/>
            </w:tcBorders>
          </w:tcPr>
          <w:p w14:paraId="75D0623C" w14:textId="743371C9" w:rsidR="00D15D90" w:rsidRPr="003A2B5A" w:rsidRDefault="00CD0137" w:rsidP="00012E0D">
            <w:pPr>
              <w:pStyle w:val="NoSpacing"/>
              <w:spacing w:line="360" w:lineRule="auto"/>
              <w:jc w:val="right"/>
              <w:rPr>
                <w:rFonts w:ascii="Arial" w:hAnsi="Arial" w:cs="Arial"/>
                <w:b/>
                <w:bCs/>
                <w:sz w:val="20"/>
                <w:szCs w:val="20"/>
              </w:rPr>
            </w:pPr>
            <w:r w:rsidRPr="003A2B5A">
              <w:rPr>
                <w:rFonts w:ascii="Arial" w:hAnsi="Arial" w:cs="Arial"/>
                <w:b/>
                <w:bCs/>
                <w:sz w:val="20"/>
                <w:szCs w:val="20"/>
              </w:rPr>
              <w:t>0</w:t>
            </w:r>
          </w:p>
        </w:tc>
      </w:tr>
    </w:tbl>
    <w:p w14:paraId="29BE2BE4" w14:textId="77777777" w:rsidR="00D15D90" w:rsidRPr="003A2B5A" w:rsidRDefault="00D15D90" w:rsidP="00D15D90">
      <w:pPr>
        <w:spacing w:line="360" w:lineRule="auto"/>
        <w:rPr>
          <w:rFonts w:ascii="Arial" w:hAnsi="Arial" w:cs="Arial"/>
          <w:sz w:val="20"/>
          <w:szCs w:val="20"/>
        </w:rPr>
      </w:pPr>
    </w:p>
    <w:tbl>
      <w:tblPr>
        <w:tblStyle w:val="TableGrid"/>
        <w:tblW w:w="0" w:type="auto"/>
        <w:tblLook w:val="04A0" w:firstRow="1" w:lastRow="0" w:firstColumn="1" w:lastColumn="0" w:noHBand="0" w:noVBand="1"/>
      </w:tblPr>
      <w:tblGrid>
        <w:gridCol w:w="4246"/>
        <w:gridCol w:w="1366"/>
        <w:gridCol w:w="1669"/>
        <w:gridCol w:w="1517"/>
      </w:tblGrid>
      <w:tr w:rsidR="00D15D90" w:rsidRPr="003A2B5A" w14:paraId="66F56444" w14:textId="77777777" w:rsidTr="00012E0D">
        <w:trPr>
          <w:trHeight w:val="445"/>
        </w:trPr>
        <w:tc>
          <w:tcPr>
            <w:tcW w:w="4246" w:type="dxa"/>
            <w:tcBorders>
              <w:top w:val="single" w:sz="4" w:space="0" w:color="auto"/>
              <w:left w:val="single" w:sz="4" w:space="0" w:color="auto"/>
              <w:bottom w:val="nil"/>
              <w:right w:val="single" w:sz="4" w:space="0" w:color="auto"/>
            </w:tcBorders>
            <w:noWrap/>
            <w:hideMark/>
          </w:tcPr>
          <w:p w14:paraId="7FA6919B" w14:textId="77777777" w:rsidR="00D15D90" w:rsidRPr="003A2B5A" w:rsidRDefault="00D15D90" w:rsidP="00012E0D">
            <w:pPr>
              <w:pStyle w:val="Normal0"/>
              <w:spacing w:line="360" w:lineRule="auto"/>
              <w:rPr>
                <w:rFonts w:ascii="Arial" w:hAnsi="Arial" w:cs="Arial"/>
                <w:b/>
                <w:bCs/>
              </w:rPr>
            </w:pPr>
            <w:r w:rsidRPr="003A2B5A">
              <w:rPr>
                <w:rFonts w:ascii="Arial" w:hAnsi="Arial" w:cs="Arial"/>
                <w:b/>
                <w:bCs/>
              </w:rPr>
              <w:t>LEP Reserves</w:t>
            </w:r>
          </w:p>
        </w:tc>
        <w:tc>
          <w:tcPr>
            <w:tcW w:w="1366" w:type="dxa"/>
            <w:tcBorders>
              <w:top w:val="single" w:sz="4" w:space="0" w:color="auto"/>
              <w:left w:val="single" w:sz="4" w:space="0" w:color="auto"/>
              <w:bottom w:val="nil"/>
              <w:right w:val="single" w:sz="4" w:space="0" w:color="auto"/>
            </w:tcBorders>
            <w:hideMark/>
          </w:tcPr>
          <w:p w14:paraId="342CE7F6" w14:textId="77777777" w:rsidR="00D15D90" w:rsidRPr="003A2B5A" w:rsidRDefault="00D15D90" w:rsidP="00012E0D">
            <w:pPr>
              <w:pStyle w:val="NoSpacing"/>
              <w:spacing w:line="360" w:lineRule="auto"/>
              <w:jc w:val="center"/>
              <w:rPr>
                <w:rFonts w:ascii="Arial" w:hAnsi="Arial" w:cs="Arial"/>
                <w:b/>
                <w:bCs/>
              </w:rPr>
            </w:pPr>
            <w:r w:rsidRPr="003A2B5A">
              <w:rPr>
                <w:rFonts w:ascii="Arial" w:hAnsi="Arial" w:cs="Arial"/>
                <w:b/>
                <w:bCs/>
              </w:rPr>
              <w:t>31 March 2023</w:t>
            </w:r>
          </w:p>
        </w:tc>
        <w:tc>
          <w:tcPr>
            <w:tcW w:w="1669" w:type="dxa"/>
            <w:tcBorders>
              <w:top w:val="single" w:sz="4" w:space="0" w:color="auto"/>
              <w:left w:val="single" w:sz="4" w:space="0" w:color="auto"/>
              <w:bottom w:val="nil"/>
              <w:right w:val="single" w:sz="4" w:space="0" w:color="auto"/>
            </w:tcBorders>
            <w:hideMark/>
          </w:tcPr>
          <w:p w14:paraId="39CB9D90" w14:textId="77777777" w:rsidR="00D15D90" w:rsidRPr="003A2B5A" w:rsidRDefault="00D15D90" w:rsidP="00012E0D">
            <w:pPr>
              <w:pStyle w:val="NoSpacing"/>
              <w:spacing w:line="360" w:lineRule="auto"/>
              <w:jc w:val="center"/>
              <w:rPr>
                <w:rFonts w:ascii="Arial" w:hAnsi="Arial" w:cs="Arial"/>
                <w:b/>
                <w:bCs/>
              </w:rPr>
            </w:pPr>
            <w:r w:rsidRPr="003A2B5A">
              <w:rPr>
                <w:rFonts w:ascii="Arial" w:hAnsi="Arial" w:cs="Arial"/>
                <w:b/>
                <w:bCs/>
              </w:rPr>
              <w:t>Transfers in/out</w:t>
            </w:r>
          </w:p>
        </w:tc>
        <w:tc>
          <w:tcPr>
            <w:tcW w:w="1517" w:type="dxa"/>
            <w:tcBorders>
              <w:top w:val="single" w:sz="4" w:space="0" w:color="auto"/>
              <w:left w:val="single" w:sz="4" w:space="0" w:color="auto"/>
              <w:bottom w:val="nil"/>
              <w:right w:val="single" w:sz="4" w:space="0" w:color="auto"/>
            </w:tcBorders>
            <w:hideMark/>
          </w:tcPr>
          <w:p w14:paraId="536864F1" w14:textId="77777777" w:rsidR="00D15D90" w:rsidRPr="003A2B5A" w:rsidRDefault="00D15D90" w:rsidP="00012E0D">
            <w:pPr>
              <w:pStyle w:val="NoSpacing"/>
              <w:spacing w:line="360" w:lineRule="auto"/>
              <w:jc w:val="center"/>
              <w:rPr>
                <w:rFonts w:ascii="Arial" w:hAnsi="Arial" w:cs="Arial"/>
                <w:b/>
                <w:bCs/>
              </w:rPr>
            </w:pPr>
            <w:r w:rsidRPr="003A2B5A">
              <w:rPr>
                <w:rFonts w:ascii="Arial" w:hAnsi="Arial" w:cs="Arial"/>
                <w:b/>
                <w:bCs/>
              </w:rPr>
              <w:t>31 March 2024</w:t>
            </w:r>
          </w:p>
        </w:tc>
      </w:tr>
      <w:tr w:rsidR="00D15D90" w:rsidRPr="003A2B5A" w14:paraId="46B03F48" w14:textId="77777777" w:rsidTr="00012E0D">
        <w:trPr>
          <w:trHeight w:val="262"/>
        </w:trPr>
        <w:tc>
          <w:tcPr>
            <w:tcW w:w="4246" w:type="dxa"/>
            <w:tcBorders>
              <w:top w:val="nil"/>
            </w:tcBorders>
            <w:noWrap/>
            <w:hideMark/>
          </w:tcPr>
          <w:p w14:paraId="6F146210" w14:textId="77777777" w:rsidR="00D15D90" w:rsidRPr="003A2B5A" w:rsidRDefault="00D15D90" w:rsidP="00012E0D">
            <w:pPr>
              <w:pStyle w:val="NoSpacing"/>
              <w:spacing w:line="360" w:lineRule="auto"/>
              <w:rPr>
                <w:rFonts w:ascii="Arial" w:eastAsiaTheme="minorHAnsi" w:hAnsi="Arial" w:cs="Arial"/>
                <w:b/>
                <w:bCs/>
              </w:rPr>
            </w:pPr>
          </w:p>
        </w:tc>
        <w:tc>
          <w:tcPr>
            <w:tcW w:w="1366" w:type="dxa"/>
            <w:tcBorders>
              <w:top w:val="nil"/>
            </w:tcBorders>
            <w:noWrap/>
            <w:hideMark/>
          </w:tcPr>
          <w:p w14:paraId="7C02E616" w14:textId="77777777" w:rsidR="00D15D90" w:rsidRPr="003A2B5A" w:rsidRDefault="00D15D90" w:rsidP="00012E0D">
            <w:pPr>
              <w:pStyle w:val="NoSpacing"/>
              <w:spacing w:line="360" w:lineRule="auto"/>
              <w:jc w:val="center"/>
              <w:rPr>
                <w:rFonts w:ascii="Arial" w:eastAsiaTheme="minorHAnsi" w:hAnsi="Arial" w:cs="Arial"/>
                <w:b/>
                <w:bCs/>
              </w:rPr>
            </w:pPr>
            <w:r w:rsidRPr="003A2B5A">
              <w:rPr>
                <w:rFonts w:ascii="Arial" w:eastAsiaTheme="minorHAnsi" w:hAnsi="Arial" w:cs="Arial"/>
                <w:b/>
                <w:bCs/>
              </w:rPr>
              <w:t>£000s</w:t>
            </w:r>
          </w:p>
        </w:tc>
        <w:tc>
          <w:tcPr>
            <w:tcW w:w="1669" w:type="dxa"/>
            <w:tcBorders>
              <w:top w:val="nil"/>
            </w:tcBorders>
            <w:noWrap/>
            <w:hideMark/>
          </w:tcPr>
          <w:p w14:paraId="1641D7F3" w14:textId="77777777" w:rsidR="00D15D90" w:rsidRPr="003A2B5A" w:rsidRDefault="00D15D90" w:rsidP="00012E0D">
            <w:pPr>
              <w:pStyle w:val="NoSpacing"/>
              <w:spacing w:line="360" w:lineRule="auto"/>
              <w:jc w:val="center"/>
              <w:rPr>
                <w:rFonts w:ascii="Arial" w:eastAsiaTheme="minorHAnsi" w:hAnsi="Arial" w:cs="Arial"/>
                <w:b/>
                <w:bCs/>
              </w:rPr>
            </w:pPr>
            <w:r w:rsidRPr="003A2B5A">
              <w:rPr>
                <w:rFonts w:ascii="Arial" w:eastAsiaTheme="minorHAnsi" w:hAnsi="Arial" w:cs="Arial"/>
                <w:b/>
                <w:bCs/>
              </w:rPr>
              <w:t>£000s</w:t>
            </w:r>
          </w:p>
        </w:tc>
        <w:tc>
          <w:tcPr>
            <w:tcW w:w="1517" w:type="dxa"/>
            <w:tcBorders>
              <w:top w:val="nil"/>
            </w:tcBorders>
            <w:noWrap/>
            <w:hideMark/>
          </w:tcPr>
          <w:p w14:paraId="770645CA" w14:textId="77777777" w:rsidR="00D15D90" w:rsidRPr="003A2B5A" w:rsidRDefault="00D15D90" w:rsidP="00012E0D">
            <w:pPr>
              <w:pStyle w:val="NoSpacing"/>
              <w:spacing w:line="360" w:lineRule="auto"/>
              <w:jc w:val="center"/>
              <w:rPr>
                <w:rFonts w:ascii="Arial" w:eastAsiaTheme="minorHAnsi" w:hAnsi="Arial" w:cs="Arial"/>
                <w:b/>
                <w:bCs/>
              </w:rPr>
            </w:pPr>
            <w:r w:rsidRPr="003A2B5A">
              <w:rPr>
                <w:rFonts w:ascii="Arial" w:eastAsiaTheme="minorHAnsi" w:hAnsi="Arial" w:cs="Arial"/>
                <w:b/>
                <w:bCs/>
              </w:rPr>
              <w:t>£000s</w:t>
            </w:r>
          </w:p>
        </w:tc>
      </w:tr>
      <w:tr w:rsidR="00D15D90" w:rsidRPr="003A2B5A" w14:paraId="2677D1C1" w14:textId="77777777" w:rsidTr="00012E0D">
        <w:trPr>
          <w:trHeight w:val="187"/>
        </w:trPr>
        <w:tc>
          <w:tcPr>
            <w:tcW w:w="4246" w:type="dxa"/>
            <w:noWrap/>
            <w:hideMark/>
          </w:tcPr>
          <w:p w14:paraId="72789262" w14:textId="77777777" w:rsidR="00D15D90" w:rsidRPr="003A2B5A" w:rsidRDefault="00D15D90" w:rsidP="00012E0D">
            <w:pPr>
              <w:pStyle w:val="NoSpacing"/>
              <w:spacing w:line="360" w:lineRule="auto"/>
              <w:rPr>
                <w:rFonts w:ascii="Arial" w:eastAsiaTheme="minorHAnsi" w:hAnsi="Arial" w:cs="Arial"/>
              </w:rPr>
            </w:pPr>
            <w:r w:rsidRPr="003A2B5A">
              <w:rPr>
                <w:rFonts w:ascii="Arial" w:eastAsiaTheme="minorHAnsi" w:hAnsi="Arial" w:cs="Arial"/>
              </w:rPr>
              <w:t>LEP Capacity</w:t>
            </w:r>
          </w:p>
        </w:tc>
        <w:tc>
          <w:tcPr>
            <w:tcW w:w="1366" w:type="dxa"/>
            <w:noWrap/>
            <w:hideMark/>
          </w:tcPr>
          <w:p w14:paraId="1694A2A7" w14:textId="77777777" w:rsidR="00D15D90" w:rsidRPr="003A2B5A" w:rsidRDefault="00D15D90" w:rsidP="00012E0D">
            <w:pPr>
              <w:pStyle w:val="NoSpacing"/>
              <w:spacing w:line="360" w:lineRule="auto"/>
              <w:jc w:val="right"/>
              <w:rPr>
                <w:rFonts w:ascii="Arial" w:eastAsiaTheme="minorHAnsi" w:hAnsi="Arial" w:cs="Arial"/>
              </w:rPr>
            </w:pPr>
            <w:r w:rsidRPr="003A2B5A">
              <w:rPr>
                <w:rFonts w:ascii="Arial" w:eastAsiaTheme="minorHAnsi" w:hAnsi="Arial" w:cs="Arial"/>
              </w:rPr>
              <w:t>(457)</w:t>
            </w:r>
          </w:p>
        </w:tc>
        <w:tc>
          <w:tcPr>
            <w:tcW w:w="1669" w:type="dxa"/>
            <w:noWrap/>
            <w:hideMark/>
          </w:tcPr>
          <w:p w14:paraId="5F30AD9E" w14:textId="77777777" w:rsidR="00D15D90" w:rsidRPr="003A2B5A" w:rsidRDefault="00D15D90" w:rsidP="00012E0D">
            <w:pPr>
              <w:pStyle w:val="NoSpacing"/>
              <w:spacing w:line="360" w:lineRule="auto"/>
              <w:jc w:val="right"/>
              <w:rPr>
                <w:rFonts w:ascii="Arial" w:eastAsiaTheme="minorHAnsi" w:hAnsi="Arial" w:cs="Arial"/>
              </w:rPr>
            </w:pPr>
            <w:r w:rsidRPr="003A2B5A">
              <w:rPr>
                <w:rFonts w:ascii="Arial" w:eastAsiaTheme="minorHAnsi" w:hAnsi="Arial" w:cs="Arial"/>
              </w:rPr>
              <w:t>(3)</w:t>
            </w:r>
          </w:p>
        </w:tc>
        <w:tc>
          <w:tcPr>
            <w:tcW w:w="1517" w:type="dxa"/>
            <w:noWrap/>
          </w:tcPr>
          <w:p w14:paraId="69817524" w14:textId="77777777" w:rsidR="00D15D90" w:rsidRPr="003A2B5A" w:rsidRDefault="00D15D90" w:rsidP="00012E0D">
            <w:pPr>
              <w:pStyle w:val="NoSpacing"/>
              <w:spacing w:line="360" w:lineRule="auto"/>
              <w:jc w:val="right"/>
              <w:rPr>
                <w:rFonts w:ascii="Arial" w:eastAsiaTheme="minorHAnsi" w:hAnsi="Arial" w:cs="Arial"/>
                <w:b/>
                <w:bCs/>
              </w:rPr>
            </w:pPr>
            <w:r w:rsidRPr="003A2B5A">
              <w:rPr>
                <w:rFonts w:ascii="Arial" w:eastAsiaTheme="minorHAnsi" w:hAnsi="Arial" w:cs="Arial"/>
                <w:b/>
                <w:bCs/>
              </w:rPr>
              <w:t>(460)</w:t>
            </w:r>
          </w:p>
        </w:tc>
      </w:tr>
      <w:tr w:rsidR="00D15D90" w:rsidRPr="003A2B5A" w14:paraId="56F5694C" w14:textId="77777777" w:rsidTr="00012E0D">
        <w:trPr>
          <w:trHeight w:val="89"/>
        </w:trPr>
        <w:tc>
          <w:tcPr>
            <w:tcW w:w="4246" w:type="dxa"/>
            <w:noWrap/>
            <w:hideMark/>
          </w:tcPr>
          <w:p w14:paraId="5DB68D43" w14:textId="77777777" w:rsidR="00D15D90" w:rsidRPr="003A2B5A" w:rsidRDefault="00D15D90" w:rsidP="00012E0D">
            <w:pPr>
              <w:pStyle w:val="NoSpacing"/>
              <w:spacing w:line="360" w:lineRule="auto"/>
              <w:rPr>
                <w:rFonts w:ascii="Arial" w:eastAsiaTheme="minorHAnsi" w:hAnsi="Arial" w:cs="Arial"/>
              </w:rPr>
            </w:pPr>
            <w:r w:rsidRPr="003A2B5A">
              <w:rPr>
                <w:rFonts w:ascii="Arial" w:eastAsiaTheme="minorHAnsi" w:hAnsi="Arial" w:cs="Arial"/>
              </w:rPr>
              <w:t>Business Rates (Enterprise Zones)</w:t>
            </w:r>
          </w:p>
        </w:tc>
        <w:tc>
          <w:tcPr>
            <w:tcW w:w="1366" w:type="dxa"/>
            <w:noWrap/>
            <w:hideMark/>
          </w:tcPr>
          <w:p w14:paraId="3F562D5D" w14:textId="77777777" w:rsidR="00D15D90" w:rsidRPr="003A2B5A" w:rsidRDefault="00D15D90" w:rsidP="00012E0D">
            <w:pPr>
              <w:pStyle w:val="NoSpacing"/>
              <w:spacing w:line="360" w:lineRule="auto"/>
              <w:jc w:val="right"/>
              <w:rPr>
                <w:rFonts w:ascii="Arial" w:eastAsiaTheme="minorHAnsi" w:hAnsi="Arial" w:cs="Arial"/>
              </w:rPr>
            </w:pPr>
            <w:r w:rsidRPr="003A2B5A">
              <w:rPr>
                <w:rFonts w:ascii="Arial" w:eastAsiaTheme="minorHAnsi" w:hAnsi="Arial" w:cs="Arial"/>
              </w:rPr>
              <w:t>(340)</w:t>
            </w:r>
          </w:p>
        </w:tc>
        <w:tc>
          <w:tcPr>
            <w:tcW w:w="1669" w:type="dxa"/>
            <w:noWrap/>
            <w:hideMark/>
          </w:tcPr>
          <w:p w14:paraId="68172372" w14:textId="77777777" w:rsidR="00D15D90" w:rsidRPr="003A2B5A" w:rsidRDefault="00D15D90" w:rsidP="00012E0D">
            <w:pPr>
              <w:pStyle w:val="NoSpacing"/>
              <w:spacing w:line="360" w:lineRule="auto"/>
              <w:jc w:val="right"/>
              <w:rPr>
                <w:rFonts w:ascii="Arial" w:eastAsiaTheme="minorHAnsi" w:hAnsi="Arial" w:cs="Arial"/>
              </w:rPr>
            </w:pPr>
            <w:r w:rsidRPr="003A2B5A">
              <w:rPr>
                <w:rFonts w:ascii="Arial" w:eastAsiaTheme="minorHAnsi" w:hAnsi="Arial" w:cs="Arial"/>
              </w:rPr>
              <w:t xml:space="preserve">0 </w:t>
            </w:r>
          </w:p>
        </w:tc>
        <w:tc>
          <w:tcPr>
            <w:tcW w:w="1517" w:type="dxa"/>
            <w:noWrap/>
          </w:tcPr>
          <w:p w14:paraId="5AB7C45F" w14:textId="77777777" w:rsidR="00D15D90" w:rsidRPr="003A2B5A" w:rsidRDefault="00D15D90" w:rsidP="00012E0D">
            <w:pPr>
              <w:pStyle w:val="NoSpacing"/>
              <w:spacing w:line="360" w:lineRule="auto"/>
              <w:jc w:val="right"/>
              <w:rPr>
                <w:rFonts w:ascii="Arial" w:eastAsiaTheme="minorHAnsi" w:hAnsi="Arial" w:cs="Arial"/>
                <w:b/>
                <w:bCs/>
              </w:rPr>
            </w:pPr>
            <w:r w:rsidRPr="003A2B5A">
              <w:rPr>
                <w:rFonts w:ascii="Arial" w:eastAsiaTheme="minorHAnsi" w:hAnsi="Arial" w:cs="Arial"/>
                <w:b/>
                <w:bCs/>
              </w:rPr>
              <w:t>(340)</w:t>
            </w:r>
          </w:p>
        </w:tc>
      </w:tr>
      <w:tr w:rsidR="00D15D90" w:rsidRPr="003A2B5A" w14:paraId="3131D2B0" w14:textId="77777777" w:rsidTr="00012E0D">
        <w:trPr>
          <w:trHeight w:val="187"/>
        </w:trPr>
        <w:tc>
          <w:tcPr>
            <w:tcW w:w="4246" w:type="dxa"/>
            <w:noWrap/>
            <w:hideMark/>
          </w:tcPr>
          <w:p w14:paraId="1FD55AF5" w14:textId="77777777" w:rsidR="00D15D90" w:rsidRPr="003A2B5A" w:rsidRDefault="00D15D90" w:rsidP="00012E0D">
            <w:pPr>
              <w:pStyle w:val="NoSpacing"/>
              <w:spacing w:line="360" w:lineRule="auto"/>
              <w:rPr>
                <w:rFonts w:ascii="Arial" w:eastAsiaTheme="minorHAnsi" w:hAnsi="Arial" w:cs="Arial"/>
                <w:b/>
                <w:bCs/>
              </w:rPr>
            </w:pPr>
            <w:r w:rsidRPr="003A2B5A">
              <w:rPr>
                <w:rFonts w:ascii="Arial" w:eastAsiaTheme="minorHAnsi" w:hAnsi="Arial" w:cs="Arial"/>
                <w:b/>
                <w:bCs/>
              </w:rPr>
              <w:t>Total Reserves</w:t>
            </w:r>
          </w:p>
        </w:tc>
        <w:tc>
          <w:tcPr>
            <w:tcW w:w="1366" w:type="dxa"/>
            <w:noWrap/>
            <w:hideMark/>
          </w:tcPr>
          <w:p w14:paraId="570F3461" w14:textId="77777777" w:rsidR="00D15D90" w:rsidRPr="003A2B5A" w:rsidRDefault="00D15D90" w:rsidP="00012E0D">
            <w:pPr>
              <w:pStyle w:val="NoSpacing"/>
              <w:spacing w:line="360" w:lineRule="auto"/>
              <w:jc w:val="right"/>
              <w:rPr>
                <w:rFonts w:ascii="Arial" w:eastAsiaTheme="minorHAnsi" w:hAnsi="Arial" w:cs="Arial"/>
                <w:b/>
                <w:bCs/>
              </w:rPr>
            </w:pPr>
            <w:r w:rsidRPr="003A2B5A">
              <w:rPr>
                <w:rFonts w:ascii="Arial" w:eastAsiaTheme="minorHAnsi" w:hAnsi="Arial" w:cs="Arial"/>
                <w:b/>
                <w:bCs/>
              </w:rPr>
              <w:t>(797)</w:t>
            </w:r>
          </w:p>
        </w:tc>
        <w:tc>
          <w:tcPr>
            <w:tcW w:w="1669" w:type="dxa"/>
            <w:noWrap/>
            <w:hideMark/>
          </w:tcPr>
          <w:p w14:paraId="7D596319" w14:textId="77777777" w:rsidR="00D15D90" w:rsidRPr="003A2B5A" w:rsidRDefault="00D15D90" w:rsidP="00012E0D">
            <w:pPr>
              <w:pStyle w:val="NoSpacing"/>
              <w:spacing w:line="360" w:lineRule="auto"/>
              <w:jc w:val="right"/>
              <w:rPr>
                <w:rFonts w:ascii="Arial" w:eastAsiaTheme="minorHAnsi" w:hAnsi="Arial" w:cs="Arial"/>
                <w:b/>
                <w:bCs/>
              </w:rPr>
            </w:pPr>
            <w:r w:rsidRPr="003A2B5A">
              <w:rPr>
                <w:rFonts w:ascii="Arial" w:eastAsiaTheme="minorHAnsi" w:hAnsi="Arial" w:cs="Arial"/>
                <w:b/>
                <w:bCs/>
              </w:rPr>
              <w:t>(3)</w:t>
            </w:r>
          </w:p>
        </w:tc>
        <w:tc>
          <w:tcPr>
            <w:tcW w:w="1517" w:type="dxa"/>
            <w:noWrap/>
          </w:tcPr>
          <w:p w14:paraId="693BAB91" w14:textId="77777777" w:rsidR="00D15D90" w:rsidRPr="003A2B5A" w:rsidRDefault="00D15D90" w:rsidP="00012E0D">
            <w:pPr>
              <w:pStyle w:val="NoSpacing"/>
              <w:spacing w:line="360" w:lineRule="auto"/>
              <w:jc w:val="right"/>
              <w:rPr>
                <w:rFonts w:ascii="Arial" w:eastAsiaTheme="minorHAnsi" w:hAnsi="Arial" w:cs="Arial"/>
                <w:b/>
                <w:bCs/>
              </w:rPr>
            </w:pPr>
            <w:r w:rsidRPr="003A2B5A">
              <w:rPr>
                <w:rFonts w:ascii="Arial" w:eastAsiaTheme="minorHAnsi" w:hAnsi="Arial" w:cs="Arial"/>
                <w:b/>
                <w:bCs/>
              </w:rPr>
              <w:t>(800)</w:t>
            </w:r>
          </w:p>
        </w:tc>
      </w:tr>
    </w:tbl>
    <w:p w14:paraId="5F6C6AD3" w14:textId="77777777" w:rsidR="00D15D90" w:rsidRPr="003A2B5A" w:rsidRDefault="00D15D90" w:rsidP="00D15D90">
      <w:pPr>
        <w:spacing w:line="360" w:lineRule="auto"/>
        <w:rPr>
          <w:rFonts w:ascii="Arial" w:hAnsi="Arial" w:cs="Arial"/>
          <w:b/>
        </w:rPr>
      </w:pPr>
      <w:bookmarkStart w:id="34" w:name="_Toc109922589"/>
      <w:bookmarkEnd w:id="33"/>
      <w:bookmarkEnd w:id="32"/>
    </w:p>
    <w:p w14:paraId="6163C54A" w14:textId="52156872" w:rsidR="00387156" w:rsidRDefault="00776993" w:rsidP="00D15D90">
      <w:pPr>
        <w:spacing w:line="360" w:lineRule="auto"/>
        <w:rPr>
          <w:rFonts w:ascii="Arial" w:hAnsi="Arial" w:cs="Arial"/>
          <w:bCs/>
        </w:rPr>
      </w:pPr>
      <w:bookmarkStart w:id="35" w:name="_Hlk172543668"/>
      <w:r w:rsidRPr="003A2B5A">
        <w:rPr>
          <w:rFonts w:ascii="Arial" w:hAnsi="Arial" w:cs="Arial"/>
          <w:bCs/>
        </w:rPr>
        <w:t>The GM LEP evolved into the</w:t>
      </w:r>
      <w:r w:rsidR="00387156" w:rsidRPr="003A2B5A">
        <w:rPr>
          <w:rFonts w:ascii="Arial" w:hAnsi="Arial" w:cs="Arial"/>
          <w:bCs/>
        </w:rPr>
        <w:t xml:space="preserve"> GM Business Board </w:t>
      </w:r>
      <w:r w:rsidRPr="003A2B5A">
        <w:rPr>
          <w:rFonts w:ascii="Arial" w:hAnsi="Arial" w:cs="Arial"/>
          <w:bCs/>
        </w:rPr>
        <w:t xml:space="preserve">in October 2023, </w:t>
      </w:r>
      <w:r w:rsidR="00387156" w:rsidRPr="003A2B5A">
        <w:rPr>
          <w:rFonts w:ascii="Arial" w:hAnsi="Arial" w:cs="Arial"/>
          <w:bCs/>
        </w:rPr>
        <w:t xml:space="preserve">with responsibilities moving to the GMCA </w:t>
      </w:r>
      <w:r w:rsidRPr="003A2B5A">
        <w:rPr>
          <w:rFonts w:ascii="Arial" w:hAnsi="Arial" w:cs="Arial"/>
          <w:bCs/>
        </w:rPr>
        <w:t xml:space="preserve">from </w:t>
      </w:r>
      <w:r w:rsidR="00713682" w:rsidRPr="003A2B5A">
        <w:rPr>
          <w:rFonts w:ascii="Arial" w:hAnsi="Arial" w:cs="Arial"/>
          <w:bCs/>
        </w:rPr>
        <w:t>1</w:t>
      </w:r>
      <w:r w:rsidRPr="003A2B5A">
        <w:rPr>
          <w:rFonts w:ascii="Arial" w:hAnsi="Arial" w:cs="Arial"/>
          <w:bCs/>
        </w:rPr>
        <w:t xml:space="preserve"> April 202</w:t>
      </w:r>
      <w:r w:rsidR="00713682" w:rsidRPr="003A2B5A">
        <w:rPr>
          <w:rFonts w:ascii="Arial" w:hAnsi="Arial" w:cs="Arial"/>
          <w:bCs/>
        </w:rPr>
        <w:t>4</w:t>
      </w:r>
      <w:r w:rsidR="00387156" w:rsidRPr="003A2B5A">
        <w:rPr>
          <w:rFonts w:ascii="Arial" w:hAnsi="Arial" w:cs="Arial"/>
          <w:bCs/>
        </w:rPr>
        <w:t>.</w:t>
      </w:r>
    </w:p>
    <w:p w14:paraId="1BAD98B4" w14:textId="77777777" w:rsidR="00A63D82" w:rsidRPr="003A2B5A" w:rsidRDefault="00A63D82" w:rsidP="00D15D90">
      <w:pPr>
        <w:spacing w:line="360" w:lineRule="auto"/>
        <w:rPr>
          <w:rFonts w:ascii="Arial" w:hAnsi="Arial" w:cs="Arial"/>
          <w:bCs/>
        </w:rPr>
      </w:pPr>
    </w:p>
    <w:p w14:paraId="5D4B0607" w14:textId="77777777" w:rsidR="00D15D90" w:rsidRDefault="00D15D90" w:rsidP="00D15D90">
      <w:pPr>
        <w:pStyle w:val="Heading3"/>
        <w:spacing w:after="160" w:line="360" w:lineRule="auto"/>
      </w:pPr>
      <w:bookmarkStart w:id="36" w:name="_Toc109922591"/>
      <w:bookmarkEnd w:id="34"/>
      <w:bookmarkEnd w:id="35"/>
      <w:r w:rsidRPr="00B15622">
        <w:t xml:space="preserve">Treasury Management Performance in </w:t>
      </w:r>
      <w:bookmarkEnd w:id="36"/>
      <w:r w:rsidRPr="00B15622">
        <w:t>2023/24</w:t>
      </w:r>
    </w:p>
    <w:p w14:paraId="25CAEDB4" w14:textId="77777777" w:rsidR="00A63D82" w:rsidRPr="00A63D82" w:rsidRDefault="00A63D82" w:rsidP="00A63D82"/>
    <w:p w14:paraId="22333188" w14:textId="77777777" w:rsidR="00D15D90" w:rsidRPr="00B15622" w:rsidRDefault="00D15D90" w:rsidP="00D15D90">
      <w:pPr>
        <w:pStyle w:val="Heading3"/>
        <w:spacing w:after="160" w:line="360" w:lineRule="auto"/>
      </w:pPr>
      <w:bookmarkStart w:id="37" w:name="_Toc109922592"/>
      <w:r w:rsidRPr="00B15622">
        <w:t>Borrowing and Borrowing Limits</w:t>
      </w:r>
      <w:bookmarkEnd w:id="37"/>
    </w:p>
    <w:p w14:paraId="20FFF2F8" w14:textId="77777777" w:rsidR="00D15D90" w:rsidRPr="00B15622" w:rsidRDefault="00D15D90" w:rsidP="00D15D90">
      <w:pPr>
        <w:pStyle w:val="Normal0"/>
        <w:spacing w:after="160" w:line="360" w:lineRule="auto"/>
        <w:rPr>
          <w:rFonts w:ascii="Arial" w:hAnsi="Arial" w:cs="Arial"/>
          <w:sz w:val="24"/>
          <w:szCs w:val="24"/>
          <w:highlight w:val="yellow"/>
          <w:lang w:val="en-GB"/>
        </w:rPr>
      </w:pPr>
      <w:r w:rsidRPr="00B15622">
        <w:rPr>
          <w:rFonts w:ascii="Arial" w:hAnsi="Arial" w:cs="Arial"/>
          <w:sz w:val="24"/>
          <w:szCs w:val="24"/>
          <w:lang w:val="en-GB"/>
        </w:rPr>
        <w:t xml:space="preserve">In 2023/24, the </w:t>
      </w:r>
      <w:r w:rsidRPr="00407389">
        <w:rPr>
          <w:rFonts w:ascii="Arial" w:hAnsi="Arial" w:cs="Arial"/>
          <w:sz w:val="24"/>
          <w:szCs w:val="24"/>
          <w:lang w:val="en-GB"/>
        </w:rPr>
        <w:t>Authority had an authorised limit for external debt of £2.631 billion, which compares to the actual level of debt outstanding at 31 March 2023 of £1.4 billion. Debt</w:t>
      </w:r>
      <w:r w:rsidRPr="00B15622">
        <w:rPr>
          <w:rFonts w:ascii="Arial" w:hAnsi="Arial" w:cs="Arial"/>
          <w:sz w:val="24"/>
          <w:szCs w:val="24"/>
          <w:lang w:val="en-GB"/>
        </w:rPr>
        <w:t xml:space="preserve"> outstanding (including accounting adjustments) is made up of the following figures:</w:t>
      </w:r>
    </w:p>
    <w:p w14:paraId="1618CF4A" w14:textId="77777777" w:rsidR="00D15D90" w:rsidRDefault="00D15D90" w:rsidP="00D15D90">
      <w:pPr>
        <w:pStyle w:val="Normal0"/>
        <w:spacing w:after="160" w:line="360" w:lineRule="auto"/>
        <w:rPr>
          <w:rFonts w:ascii="Arial" w:hAnsi="Arial" w:cs="Arial"/>
          <w:sz w:val="24"/>
          <w:szCs w:val="24"/>
          <w:highlight w:val="yellow"/>
          <w:lang w:val="en-GB"/>
        </w:rPr>
      </w:pPr>
    </w:p>
    <w:p w14:paraId="3201470C" w14:textId="77777777" w:rsidR="00A63D82" w:rsidRPr="00B15622" w:rsidRDefault="00A63D82" w:rsidP="00D15D90">
      <w:pPr>
        <w:pStyle w:val="Normal0"/>
        <w:spacing w:after="160" w:line="360" w:lineRule="auto"/>
        <w:rPr>
          <w:rFonts w:ascii="Arial" w:hAnsi="Arial" w:cs="Arial"/>
          <w:sz w:val="24"/>
          <w:szCs w:val="24"/>
          <w:highlight w:val="yellow"/>
          <w:lang w:val="en-GB"/>
        </w:rPr>
      </w:pPr>
    </w:p>
    <w:tbl>
      <w:tblPr>
        <w:tblStyle w:val="TableGrid"/>
        <w:tblW w:w="5783" w:type="dxa"/>
        <w:tblInd w:w="-5" w:type="dxa"/>
        <w:tblLook w:val="04A0" w:firstRow="1" w:lastRow="0" w:firstColumn="1" w:lastColumn="0" w:noHBand="0" w:noVBand="1"/>
      </w:tblPr>
      <w:tblGrid>
        <w:gridCol w:w="1064"/>
        <w:gridCol w:w="3656"/>
        <w:gridCol w:w="1063"/>
      </w:tblGrid>
      <w:tr w:rsidR="00D15D90" w:rsidRPr="00B15622" w14:paraId="0298756B" w14:textId="77777777" w:rsidTr="00012E0D">
        <w:trPr>
          <w:trHeight w:val="575"/>
        </w:trPr>
        <w:tc>
          <w:tcPr>
            <w:tcW w:w="0" w:type="auto"/>
          </w:tcPr>
          <w:p w14:paraId="50D51064" w14:textId="77777777" w:rsidR="00D15D90" w:rsidRPr="00B15622" w:rsidRDefault="00D15D90" w:rsidP="00012E0D">
            <w:pPr>
              <w:pStyle w:val="Normal0"/>
              <w:spacing w:after="160" w:line="360" w:lineRule="auto"/>
              <w:jc w:val="center"/>
              <w:rPr>
                <w:rFonts w:ascii="Arial" w:hAnsi="Arial" w:cs="Arial"/>
                <w:b/>
                <w:lang w:val="en-GB"/>
              </w:rPr>
            </w:pPr>
            <w:r w:rsidRPr="00B15622">
              <w:rPr>
                <w:rFonts w:ascii="Arial" w:hAnsi="Arial" w:cs="Arial"/>
                <w:b/>
                <w:lang w:val="en-GB"/>
              </w:rPr>
              <w:lastRenderedPageBreak/>
              <w:t>2022/23</w:t>
            </w:r>
          </w:p>
          <w:p w14:paraId="18E2A33F" w14:textId="77777777" w:rsidR="00D15D90" w:rsidRPr="00B15622" w:rsidRDefault="00D15D90" w:rsidP="00012E0D">
            <w:pPr>
              <w:pStyle w:val="Normal0"/>
              <w:spacing w:after="160" w:line="360" w:lineRule="auto"/>
              <w:jc w:val="center"/>
              <w:rPr>
                <w:rFonts w:ascii="Arial" w:hAnsi="Arial" w:cs="Arial"/>
                <w:b/>
                <w:lang w:val="en-GB"/>
              </w:rPr>
            </w:pPr>
            <w:r w:rsidRPr="00B15622">
              <w:rPr>
                <w:rFonts w:ascii="Arial" w:hAnsi="Arial" w:cs="Arial"/>
                <w:b/>
                <w:lang w:val="en-GB"/>
              </w:rPr>
              <w:t>£m</w:t>
            </w:r>
          </w:p>
        </w:tc>
        <w:tc>
          <w:tcPr>
            <w:tcW w:w="0" w:type="auto"/>
          </w:tcPr>
          <w:p w14:paraId="499D7656" w14:textId="77777777" w:rsidR="00D15D90" w:rsidRPr="00B15622" w:rsidRDefault="00D15D90" w:rsidP="00012E0D">
            <w:pPr>
              <w:pStyle w:val="Normal0"/>
              <w:spacing w:after="160" w:line="360" w:lineRule="auto"/>
              <w:jc w:val="center"/>
              <w:rPr>
                <w:rFonts w:ascii="Arial" w:hAnsi="Arial" w:cs="Arial"/>
                <w:b/>
                <w:lang w:val="en-GB"/>
              </w:rPr>
            </w:pPr>
            <w:bookmarkStart w:id="38" w:name="_Hlk75956512"/>
            <w:bookmarkStart w:id="39" w:name="_Hlk108528000"/>
          </w:p>
        </w:tc>
        <w:tc>
          <w:tcPr>
            <w:tcW w:w="0" w:type="auto"/>
          </w:tcPr>
          <w:p w14:paraId="38D1A1E7" w14:textId="77777777" w:rsidR="00D15D90" w:rsidRPr="00B15622" w:rsidRDefault="00D15D90" w:rsidP="00012E0D">
            <w:pPr>
              <w:pStyle w:val="Normal0"/>
              <w:spacing w:after="160" w:line="360" w:lineRule="auto"/>
              <w:jc w:val="center"/>
              <w:rPr>
                <w:rFonts w:ascii="Arial" w:hAnsi="Arial" w:cs="Arial"/>
                <w:b/>
                <w:lang w:val="en-GB"/>
              </w:rPr>
            </w:pPr>
            <w:r w:rsidRPr="00B15622">
              <w:rPr>
                <w:rFonts w:ascii="Arial" w:hAnsi="Arial" w:cs="Arial"/>
                <w:b/>
                <w:lang w:val="en-GB"/>
              </w:rPr>
              <w:t>2023/24</w:t>
            </w:r>
          </w:p>
          <w:p w14:paraId="5D3CDA88" w14:textId="77777777" w:rsidR="00D15D90" w:rsidRPr="00B15622" w:rsidRDefault="00D15D90" w:rsidP="00012E0D">
            <w:pPr>
              <w:pStyle w:val="Normal0"/>
              <w:spacing w:after="160" w:line="360" w:lineRule="auto"/>
              <w:jc w:val="center"/>
              <w:rPr>
                <w:rFonts w:ascii="Arial" w:hAnsi="Arial" w:cs="Arial"/>
                <w:b/>
                <w:highlight w:val="yellow"/>
                <w:lang w:val="en-GB"/>
              </w:rPr>
            </w:pPr>
            <w:r w:rsidRPr="00B15622">
              <w:rPr>
                <w:rFonts w:ascii="Arial" w:hAnsi="Arial" w:cs="Arial"/>
                <w:b/>
                <w:lang w:val="en-GB"/>
              </w:rPr>
              <w:t>£m</w:t>
            </w:r>
          </w:p>
        </w:tc>
      </w:tr>
      <w:bookmarkEnd w:id="38"/>
      <w:tr w:rsidR="00D15D90" w:rsidRPr="00407389" w14:paraId="180803A7" w14:textId="77777777" w:rsidTr="00012E0D">
        <w:trPr>
          <w:trHeight w:val="245"/>
        </w:trPr>
        <w:tc>
          <w:tcPr>
            <w:tcW w:w="0" w:type="auto"/>
            <w:tcBorders>
              <w:bottom w:val="nil"/>
            </w:tcBorders>
          </w:tcPr>
          <w:p w14:paraId="2DDD2D77" w14:textId="77777777" w:rsidR="00D15D90" w:rsidRPr="00B15622" w:rsidRDefault="00D15D90" w:rsidP="00012E0D">
            <w:pPr>
              <w:pStyle w:val="Normal0"/>
              <w:spacing w:after="160" w:line="360" w:lineRule="auto"/>
              <w:jc w:val="right"/>
              <w:rPr>
                <w:rFonts w:ascii="Arial" w:hAnsi="Arial" w:cs="Arial"/>
                <w:lang w:val="en-GB"/>
              </w:rPr>
            </w:pPr>
            <w:r w:rsidRPr="00B15622">
              <w:rPr>
                <w:rFonts w:ascii="Arial" w:hAnsi="Arial" w:cs="Arial"/>
                <w:lang w:val="en-GB"/>
              </w:rPr>
              <w:t>527.6</w:t>
            </w:r>
          </w:p>
        </w:tc>
        <w:tc>
          <w:tcPr>
            <w:tcW w:w="0" w:type="auto"/>
            <w:tcBorders>
              <w:bottom w:val="nil"/>
            </w:tcBorders>
          </w:tcPr>
          <w:p w14:paraId="1925EC6D" w14:textId="77777777" w:rsidR="00D15D90" w:rsidRPr="00B15622" w:rsidRDefault="00D15D90" w:rsidP="00012E0D">
            <w:pPr>
              <w:pStyle w:val="Normal0"/>
              <w:spacing w:after="160" w:line="360" w:lineRule="auto"/>
              <w:rPr>
                <w:rFonts w:ascii="Arial" w:hAnsi="Arial" w:cs="Arial"/>
                <w:lang w:val="en-GB"/>
              </w:rPr>
            </w:pPr>
            <w:r w:rsidRPr="00B15622">
              <w:rPr>
                <w:rFonts w:ascii="Arial" w:hAnsi="Arial" w:cs="Arial"/>
                <w:lang w:val="en-GB"/>
              </w:rPr>
              <w:t>Public Works Loan Board (PWLB)</w:t>
            </w:r>
          </w:p>
        </w:tc>
        <w:tc>
          <w:tcPr>
            <w:tcW w:w="0" w:type="auto"/>
            <w:tcBorders>
              <w:bottom w:val="nil"/>
            </w:tcBorders>
            <w:shd w:val="clear" w:color="auto" w:fill="auto"/>
          </w:tcPr>
          <w:p w14:paraId="5EEBD2EF" w14:textId="77777777" w:rsidR="00D15D90" w:rsidRPr="00407389" w:rsidRDefault="00D15D90" w:rsidP="00012E0D">
            <w:pPr>
              <w:pStyle w:val="Normal0"/>
              <w:spacing w:after="160" w:line="360" w:lineRule="auto"/>
              <w:jc w:val="right"/>
              <w:rPr>
                <w:rFonts w:ascii="Arial" w:hAnsi="Arial" w:cs="Arial"/>
                <w:lang w:val="en-GB"/>
              </w:rPr>
            </w:pPr>
            <w:r w:rsidRPr="00407389">
              <w:rPr>
                <w:rFonts w:ascii="Arial" w:hAnsi="Arial" w:cs="Arial"/>
                <w:lang w:val="en-GB"/>
              </w:rPr>
              <w:t>514.0</w:t>
            </w:r>
          </w:p>
        </w:tc>
      </w:tr>
      <w:tr w:rsidR="00D15D90" w:rsidRPr="00407389" w14:paraId="7A2BB548" w14:textId="77777777" w:rsidTr="00012E0D">
        <w:trPr>
          <w:trHeight w:val="245"/>
        </w:trPr>
        <w:tc>
          <w:tcPr>
            <w:tcW w:w="0" w:type="auto"/>
            <w:tcBorders>
              <w:top w:val="nil"/>
              <w:bottom w:val="nil"/>
            </w:tcBorders>
          </w:tcPr>
          <w:p w14:paraId="0680D591" w14:textId="77777777" w:rsidR="00D15D90" w:rsidRPr="00B15622" w:rsidRDefault="00D15D90" w:rsidP="00012E0D">
            <w:pPr>
              <w:pStyle w:val="Normal0"/>
              <w:spacing w:after="160" w:line="360" w:lineRule="auto"/>
              <w:jc w:val="right"/>
              <w:rPr>
                <w:rFonts w:ascii="Arial" w:hAnsi="Arial" w:cs="Arial"/>
                <w:lang w:val="en-GB"/>
              </w:rPr>
            </w:pPr>
            <w:r w:rsidRPr="00B15622">
              <w:rPr>
                <w:rFonts w:ascii="Arial" w:hAnsi="Arial" w:cs="Arial"/>
                <w:lang w:val="en-GB"/>
              </w:rPr>
              <w:t>547.7</w:t>
            </w:r>
          </w:p>
        </w:tc>
        <w:tc>
          <w:tcPr>
            <w:tcW w:w="0" w:type="auto"/>
            <w:tcBorders>
              <w:top w:val="nil"/>
              <w:bottom w:val="nil"/>
            </w:tcBorders>
          </w:tcPr>
          <w:p w14:paraId="178DE27C" w14:textId="77777777" w:rsidR="00D15D90" w:rsidRPr="00B15622" w:rsidRDefault="00D15D90" w:rsidP="00012E0D">
            <w:pPr>
              <w:pStyle w:val="Normal0"/>
              <w:spacing w:after="160" w:line="360" w:lineRule="auto"/>
              <w:rPr>
                <w:rFonts w:ascii="Arial" w:hAnsi="Arial" w:cs="Arial"/>
                <w:lang w:val="en-GB"/>
              </w:rPr>
            </w:pPr>
            <w:r w:rsidRPr="00B15622">
              <w:rPr>
                <w:rFonts w:ascii="Arial" w:hAnsi="Arial" w:cs="Arial"/>
                <w:lang w:val="en-GB"/>
              </w:rPr>
              <w:t>European Investment Bank (EIB)</w:t>
            </w:r>
          </w:p>
        </w:tc>
        <w:tc>
          <w:tcPr>
            <w:tcW w:w="0" w:type="auto"/>
            <w:tcBorders>
              <w:top w:val="nil"/>
              <w:bottom w:val="nil"/>
            </w:tcBorders>
            <w:shd w:val="clear" w:color="auto" w:fill="auto"/>
          </w:tcPr>
          <w:p w14:paraId="39367B79" w14:textId="77777777" w:rsidR="00D15D90" w:rsidRPr="00407389" w:rsidRDefault="00D15D90" w:rsidP="00012E0D">
            <w:pPr>
              <w:pStyle w:val="Normal0"/>
              <w:spacing w:after="160" w:line="360" w:lineRule="auto"/>
              <w:jc w:val="right"/>
              <w:rPr>
                <w:rFonts w:ascii="Arial" w:hAnsi="Arial" w:cs="Arial"/>
                <w:lang w:val="en-GB"/>
              </w:rPr>
            </w:pPr>
            <w:r w:rsidRPr="00407389">
              <w:rPr>
                <w:rFonts w:ascii="Arial" w:hAnsi="Arial" w:cs="Arial"/>
                <w:lang w:val="en-GB"/>
              </w:rPr>
              <w:t>543.5</w:t>
            </w:r>
          </w:p>
        </w:tc>
      </w:tr>
      <w:tr w:rsidR="00D15D90" w:rsidRPr="00407389" w14:paraId="4BB84E8E" w14:textId="77777777" w:rsidTr="00012E0D">
        <w:trPr>
          <w:trHeight w:val="245"/>
        </w:trPr>
        <w:tc>
          <w:tcPr>
            <w:tcW w:w="0" w:type="auto"/>
            <w:tcBorders>
              <w:top w:val="nil"/>
              <w:bottom w:val="nil"/>
            </w:tcBorders>
          </w:tcPr>
          <w:p w14:paraId="79D693AC" w14:textId="77777777" w:rsidR="00D15D90" w:rsidRPr="00B15622" w:rsidRDefault="00D15D90" w:rsidP="00012E0D">
            <w:pPr>
              <w:pStyle w:val="Normal0"/>
              <w:spacing w:after="160" w:line="360" w:lineRule="auto"/>
              <w:jc w:val="right"/>
              <w:rPr>
                <w:rFonts w:ascii="Arial" w:hAnsi="Arial" w:cs="Arial"/>
                <w:lang w:val="en-GB"/>
              </w:rPr>
            </w:pPr>
            <w:r w:rsidRPr="00B15622">
              <w:rPr>
                <w:rFonts w:ascii="Arial" w:hAnsi="Arial" w:cs="Arial"/>
                <w:lang w:val="en-GB"/>
              </w:rPr>
              <w:t>106.2</w:t>
            </w:r>
          </w:p>
        </w:tc>
        <w:tc>
          <w:tcPr>
            <w:tcW w:w="0" w:type="auto"/>
            <w:tcBorders>
              <w:top w:val="nil"/>
              <w:bottom w:val="nil"/>
            </w:tcBorders>
          </w:tcPr>
          <w:p w14:paraId="37EC2BE4" w14:textId="77777777" w:rsidR="00D15D90" w:rsidRPr="00B15622" w:rsidRDefault="00D15D90" w:rsidP="00012E0D">
            <w:pPr>
              <w:pStyle w:val="Normal0"/>
              <w:spacing w:after="160" w:line="360" w:lineRule="auto"/>
              <w:rPr>
                <w:rFonts w:ascii="Arial" w:hAnsi="Arial" w:cs="Arial"/>
                <w:lang w:val="en-GB"/>
              </w:rPr>
            </w:pPr>
            <w:r w:rsidRPr="00B15622">
              <w:rPr>
                <w:rFonts w:ascii="Arial" w:hAnsi="Arial" w:cs="Arial"/>
                <w:lang w:val="en-GB"/>
              </w:rPr>
              <w:t>Market</w:t>
            </w:r>
          </w:p>
        </w:tc>
        <w:tc>
          <w:tcPr>
            <w:tcW w:w="0" w:type="auto"/>
            <w:tcBorders>
              <w:top w:val="nil"/>
              <w:bottom w:val="nil"/>
            </w:tcBorders>
            <w:shd w:val="clear" w:color="auto" w:fill="auto"/>
          </w:tcPr>
          <w:p w14:paraId="7A5C8DC9" w14:textId="77777777" w:rsidR="00D15D90" w:rsidRPr="00407389" w:rsidRDefault="00D15D90" w:rsidP="00012E0D">
            <w:pPr>
              <w:pStyle w:val="Normal0"/>
              <w:spacing w:after="160" w:line="360" w:lineRule="auto"/>
              <w:jc w:val="right"/>
              <w:rPr>
                <w:rFonts w:ascii="Arial" w:hAnsi="Arial" w:cs="Arial"/>
                <w:lang w:val="en-GB"/>
              </w:rPr>
            </w:pPr>
            <w:r w:rsidRPr="00407389">
              <w:rPr>
                <w:rFonts w:ascii="Arial" w:hAnsi="Arial" w:cs="Arial"/>
                <w:lang w:val="en-GB"/>
              </w:rPr>
              <w:t>106.2</w:t>
            </w:r>
          </w:p>
        </w:tc>
      </w:tr>
      <w:tr w:rsidR="00D15D90" w:rsidRPr="00407389" w14:paraId="48851DC7" w14:textId="77777777" w:rsidTr="00012E0D">
        <w:trPr>
          <w:trHeight w:val="245"/>
        </w:trPr>
        <w:tc>
          <w:tcPr>
            <w:tcW w:w="0" w:type="auto"/>
            <w:tcBorders>
              <w:top w:val="nil"/>
              <w:bottom w:val="nil"/>
            </w:tcBorders>
          </w:tcPr>
          <w:p w14:paraId="78AA8535" w14:textId="77777777" w:rsidR="00D15D90" w:rsidRPr="00B15622" w:rsidRDefault="00D15D90" w:rsidP="00012E0D">
            <w:pPr>
              <w:pStyle w:val="Normal0"/>
              <w:spacing w:after="160" w:line="360" w:lineRule="auto"/>
              <w:jc w:val="right"/>
              <w:rPr>
                <w:rFonts w:ascii="Arial" w:hAnsi="Arial" w:cs="Arial"/>
                <w:lang w:val="en-GB"/>
              </w:rPr>
            </w:pPr>
            <w:r w:rsidRPr="00B15622">
              <w:rPr>
                <w:rFonts w:ascii="Arial" w:hAnsi="Arial" w:cs="Arial"/>
                <w:lang w:val="en-GB"/>
              </w:rPr>
              <w:t>40.3</w:t>
            </w:r>
          </w:p>
        </w:tc>
        <w:tc>
          <w:tcPr>
            <w:tcW w:w="0" w:type="auto"/>
            <w:tcBorders>
              <w:top w:val="nil"/>
              <w:bottom w:val="nil"/>
            </w:tcBorders>
          </w:tcPr>
          <w:p w14:paraId="40C54A79" w14:textId="77777777" w:rsidR="00D15D90" w:rsidRPr="00B15622" w:rsidRDefault="00D15D90" w:rsidP="00012E0D">
            <w:pPr>
              <w:pStyle w:val="Normal0"/>
              <w:spacing w:after="160" w:line="360" w:lineRule="auto"/>
              <w:rPr>
                <w:rFonts w:ascii="Arial" w:hAnsi="Arial" w:cs="Arial"/>
                <w:lang w:val="en-GB"/>
              </w:rPr>
            </w:pPr>
            <w:r w:rsidRPr="00B15622">
              <w:rPr>
                <w:rFonts w:ascii="Arial" w:hAnsi="Arial" w:cs="Arial"/>
                <w:lang w:val="en-GB"/>
              </w:rPr>
              <w:t>Temporary</w:t>
            </w:r>
          </w:p>
        </w:tc>
        <w:tc>
          <w:tcPr>
            <w:tcW w:w="0" w:type="auto"/>
            <w:tcBorders>
              <w:top w:val="nil"/>
              <w:bottom w:val="nil"/>
            </w:tcBorders>
            <w:shd w:val="clear" w:color="auto" w:fill="auto"/>
          </w:tcPr>
          <w:p w14:paraId="6BC6E67C" w14:textId="77777777" w:rsidR="00D15D90" w:rsidRPr="00407389" w:rsidRDefault="00D15D90" w:rsidP="00012E0D">
            <w:pPr>
              <w:pStyle w:val="Normal0"/>
              <w:spacing w:after="160" w:line="360" w:lineRule="auto"/>
              <w:jc w:val="right"/>
              <w:rPr>
                <w:rFonts w:ascii="Arial" w:hAnsi="Arial" w:cs="Arial"/>
                <w:lang w:val="en-GB"/>
              </w:rPr>
            </w:pPr>
            <w:r w:rsidRPr="00407389">
              <w:rPr>
                <w:rFonts w:ascii="Arial" w:hAnsi="Arial" w:cs="Arial"/>
                <w:lang w:val="en-GB"/>
              </w:rPr>
              <w:t>5.1</w:t>
            </w:r>
          </w:p>
        </w:tc>
      </w:tr>
      <w:tr w:rsidR="00D15D90" w:rsidRPr="00407389" w14:paraId="10F00C6B" w14:textId="77777777" w:rsidTr="00012E0D">
        <w:trPr>
          <w:trHeight w:val="245"/>
        </w:trPr>
        <w:tc>
          <w:tcPr>
            <w:tcW w:w="0" w:type="auto"/>
            <w:tcBorders>
              <w:top w:val="nil"/>
              <w:bottom w:val="nil"/>
            </w:tcBorders>
          </w:tcPr>
          <w:p w14:paraId="35D44983" w14:textId="77777777" w:rsidR="00D15D90" w:rsidRPr="00B15622" w:rsidRDefault="00D15D90" w:rsidP="00012E0D">
            <w:pPr>
              <w:pStyle w:val="Normal0"/>
              <w:spacing w:after="160" w:line="360" w:lineRule="auto"/>
              <w:jc w:val="right"/>
              <w:rPr>
                <w:rFonts w:ascii="Arial" w:hAnsi="Arial" w:cs="Arial"/>
                <w:lang w:val="en-GB"/>
              </w:rPr>
            </w:pPr>
            <w:r w:rsidRPr="00B15622">
              <w:rPr>
                <w:rFonts w:ascii="Arial" w:hAnsi="Arial" w:cs="Arial"/>
                <w:lang w:val="en-GB"/>
              </w:rPr>
              <w:t>165.5</w:t>
            </w:r>
          </w:p>
        </w:tc>
        <w:tc>
          <w:tcPr>
            <w:tcW w:w="0" w:type="auto"/>
            <w:tcBorders>
              <w:top w:val="nil"/>
              <w:bottom w:val="nil"/>
            </w:tcBorders>
          </w:tcPr>
          <w:p w14:paraId="2C1507D9" w14:textId="77777777" w:rsidR="00D15D90" w:rsidRPr="00B15622" w:rsidRDefault="00D15D90" w:rsidP="00012E0D">
            <w:pPr>
              <w:pStyle w:val="Normal0"/>
              <w:spacing w:after="160" w:line="360" w:lineRule="auto"/>
              <w:rPr>
                <w:rFonts w:ascii="Arial" w:hAnsi="Arial" w:cs="Arial"/>
                <w:lang w:val="en-GB"/>
              </w:rPr>
            </w:pPr>
            <w:r>
              <w:rPr>
                <w:rFonts w:ascii="Arial" w:hAnsi="Arial" w:cs="Arial"/>
                <w:lang w:val="en-GB"/>
              </w:rPr>
              <w:t>DLUHC</w:t>
            </w:r>
            <w:r w:rsidRPr="00B15622">
              <w:rPr>
                <w:rFonts w:ascii="Arial" w:hAnsi="Arial" w:cs="Arial"/>
                <w:lang w:val="en-GB"/>
              </w:rPr>
              <w:t xml:space="preserve"> – HIF</w:t>
            </w:r>
          </w:p>
        </w:tc>
        <w:tc>
          <w:tcPr>
            <w:tcW w:w="0" w:type="auto"/>
            <w:tcBorders>
              <w:top w:val="nil"/>
              <w:bottom w:val="nil"/>
            </w:tcBorders>
            <w:shd w:val="clear" w:color="auto" w:fill="auto"/>
          </w:tcPr>
          <w:p w14:paraId="3DDAE0D4" w14:textId="77777777" w:rsidR="00D15D90" w:rsidRPr="00407389" w:rsidRDefault="00D15D90" w:rsidP="00012E0D">
            <w:pPr>
              <w:pStyle w:val="Normal0"/>
              <w:spacing w:after="160" w:line="360" w:lineRule="auto"/>
              <w:jc w:val="right"/>
              <w:rPr>
                <w:rFonts w:ascii="Arial" w:hAnsi="Arial" w:cs="Arial"/>
                <w:lang w:val="en-GB"/>
              </w:rPr>
            </w:pPr>
            <w:r w:rsidRPr="00407389">
              <w:rPr>
                <w:rFonts w:ascii="Arial" w:hAnsi="Arial" w:cs="Arial"/>
                <w:lang w:val="en-GB"/>
              </w:rPr>
              <w:t>168.3</w:t>
            </w:r>
          </w:p>
        </w:tc>
      </w:tr>
      <w:tr w:rsidR="00D15D90" w:rsidRPr="00407389" w14:paraId="0465C248" w14:textId="77777777" w:rsidTr="00012E0D">
        <w:trPr>
          <w:trHeight w:val="245"/>
        </w:trPr>
        <w:tc>
          <w:tcPr>
            <w:tcW w:w="0" w:type="auto"/>
            <w:tcBorders>
              <w:top w:val="nil"/>
            </w:tcBorders>
          </w:tcPr>
          <w:p w14:paraId="641931D2" w14:textId="77777777" w:rsidR="00D15D90" w:rsidRPr="00B15622" w:rsidRDefault="00D15D90" w:rsidP="00012E0D">
            <w:pPr>
              <w:pStyle w:val="Normal0"/>
              <w:spacing w:after="160" w:line="360" w:lineRule="auto"/>
              <w:jc w:val="right"/>
              <w:rPr>
                <w:rFonts w:ascii="Arial" w:hAnsi="Arial" w:cs="Arial"/>
                <w:lang w:val="en-GB"/>
              </w:rPr>
            </w:pPr>
            <w:r w:rsidRPr="00B15622">
              <w:rPr>
                <w:rFonts w:ascii="Arial" w:hAnsi="Arial" w:cs="Arial"/>
                <w:lang w:val="en-GB"/>
              </w:rPr>
              <w:t>28.1</w:t>
            </w:r>
          </w:p>
        </w:tc>
        <w:tc>
          <w:tcPr>
            <w:tcW w:w="0" w:type="auto"/>
            <w:tcBorders>
              <w:top w:val="nil"/>
            </w:tcBorders>
          </w:tcPr>
          <w:p w14:paraId="35993409" w14:textId="77777777" w:rsidR="00D15D90" w:rsidRPr="00B15622" w:rsidRDefault="00D15D90" w:rsidP="00012E0D">
            <w:pPr>
              <w:pStyle w:val="Normal0"/>
              <w:spacing w:after="160" w:line="360" w:lineRule="auto"/>
              <w:rPr>
                <w:rFonts w:ascii="Arial" w:hAnsi="Arial" w:cs="Arial"/>
                <w:lang w:val="en-GB"/>
              </w:rPr>
            </w:pPr>
            <w:r w:rsidRPr="00B15622">
              <w:rPr>
                <w:rFonts w:ascii="Arial" w:hAnsi="Arial" w:cs="Arial"/>
                <w:lang w:val="en-GB"/>
              </w:rPr>
              <w:t>Homes England</w:t>
            </w:r>
          </w:p>
        </w:tc>
        <w:tc>
          <w:tcPr>
            <w:tcW w:w="0" w:type="auto"/>
            <w:tcBorders>
              <w:top w:val="nil"/>
            </w:tcBorders>
            <w:shd w:val="clear" w:color="auto" w:fill="auto"/>
          </w:tcPr>
          <w:p w14:paraId="516E0294" w14:textId="77777777" w:rsidR="00D15D90" w:rsidRPr="00407389" w:rsidRDefault="00D15D90" w:rsidP="00012E0D">
            <w:pPr>
              <w:pStyle w:val="Normal0"/>
              <w:spacing w:after="160" w:line="360" w:lineRule="auto"/>
              <w:jc w:val="right"/>
              <w:rPr>
                <w:rFonts w:ascii="Arial" w:hAnsi="Arial" w:cs="Arial"/>
                <w:lang w:val="en-GB"/>
              </w:rPr>
            </w:pPr>
            <w:r w:rsidRPr="00407389">
              <w:rPr>
                <w:rFonts w:ascii="Arial" w:hAnsi="Arial" w:cs="Arial"/>
                <w:lang w:val="en-GB"/>
              </w:rPr>
              <w:t>30.0</w:t>
            </w:r>
          </w:p>
        </w:tc>
      </w:tr>
      <w:tr w:rsidR="00D15D90" w:rsidRPr="00B15622" w14:paraId="6CD44D8F" w14:textId="77777777" w:rsidTr="00012E0D">
        <w:trPr>
          <w:trHeight w:val="245"/>
        </w:trPr>
        <w:tc>
          <w:tcPr>
            <w:tcW w:w="0" w:type="auto"/>
          </w:tcPr>
          <w:p w14:paraId="4EDB07D1" w14:textId="77777777" w:rsidR="00D15D90" w:rsidRPr="00B15622" w:rsidRDefault="00D15D90" w:rsidP="00012E0D">
            <w:pPr>
              <w:pStyle w:val="Normal0"/>
              <w:spacing w:after="160" w:line="360" w:lineRule="auto"/>
              <w:jc w:val="right"/>
              <w:rPr>
                <w:rFonts w:ascii="Arial" w:hAnsi="Arial" w:cs="Arial"/>
                <w:b/>
                <w:lang w:val="en-GB"/>
              </w:rPr>
            </w:pPr>
            <w:r w:rsidRPr="00B15622">
              <w:rPr>
                <w:rFonts w:ascii="Arial" w:hAnsi="Arial" w:cs="Arial"/>
                <w:b/>
                <w:lang w:val="en-GB"/>
              </w:rPr>
              <w:t>1,415.4</w:t>
            </w:r>
          </w:p>
        </w:tc>
        <w:tc>
          <w:tcPr>
            <w:tcW w:w="0" w:type="auto"/>
          </w:tcPr>
          <w:p w14:paraId="43C7B797" w14:textId="77777777" w:rsidR="00D15D90" w:rsidRPr="00B15622" w:rsidRDefault="00D15D90" w:rsidP="00012E0D">
            <w:pPr>
              <w:pStyle w:val="Normal0"/>
              <w:spacing w:after="160" w:line="360" w:lineRule="auto"/>
              <w:rPr>
                <w:rFonts w:ascii="Arial" w:hAnsi="Arial" w:cs="Arial"/>
                <w:b/>
                <w:lang w:val="en-GB"/>
              </w:rPr>
            </w:pPr>
            <w:r w:rsidRPr="00B15622">
              <w:rPr>
                <w:rFonts w:ascii="Arial" w:hAnsi="Arial" w:cs="Arial"/>
                <w:b/>
                <w:lang w:val="en-GB"/>
              </w:rPr>
              <w:t>Total</w:t>
            </w:r>
          </w:p>
        </w:tc>
        <w:tc>
          <w:tcPr>
            <w:tcW w:w="0" w:type="auto"/>
            <w:shd w:val="clear" w:color="auto" w:fill="auto"/>
          </w:tcPr>
          <w:p w14:paraId="5FDAED73" w14:textId="77777777" w:rsidR="00D15D90" w:rsidRPr="00407389" w:rsidRDefault="00D15D90" w:rsidP="00012E0D">
            <w:pPr>
              <w:pStyle w:val="Normal0"/>
              <w:spacing w:after="160" w:line="360" w:lineRule="auto"/>
              <w:jc w:val="right"/>
              <w:rPr>
                <w:rFonts w:ascii="Arial" w:hAnsi="Arial" w:cs="Arial"/>
                <w:b/>
                <w:lang w:val="en-GB"/>
              </w:rPr>
            </w:pPr>
            <w:r w:rsidRPr="00407389">
              <w:rPr>
                <w:rFonts w:ascii="Arial" w:hAnsi="Arial" w:cs="Arial"/>
                <w:b/>
                <w:lang w:val="en-GB"/>
              </w:rPr>
              <w:t>1,367.1</w:t>
            </w:r>
          </w:p>
        </w:tc>
      </w:tr>
      <w:bookmarkEnd w:id="39"/>
    </w:tbl>
    <w:p w14:paraId="27B05FA9" w14:textId="77777777" w:rsidR="00D15D90" w:rsidRPr="00B15622" w:rsidRDefault="00D15D90" w:rsidP="00D15D90">
      <w:pPr>
        <w:pStyle w:val="Normal0"/>
        <w:spacing w:after="160" w:line="360" w:lineRule="auto"/>
        <w:rPr>
          <w:rFonts w:ascii="Arial" w:hAnsi="Arial" w:cs="Arial"/>
          <w:sz w:val="24"/>
          <w:szCs w:val="24"/>
          <w:highlight w:val="yellow"/>
          <w:lang w:val="en-GB"/>
        </w:rPr>
      </w:pPr>
    </w:p>
    <w:p w14:paraId="3452A1D9" w14:textId="77777777" w:rsidR="00D15D90" w:rsidRPr="00407389" w:rsidRDefault="00D15D90" w:rsidP="00D15D90">
      <w:pPr>
        <w:pStyle w:val="Normal0"/>
        <w:spacing w:after="160" w:line="360" w:lineRule="auto"/>
        <w:rPr>
          <w:rFonts w:ascii="Arial" w:hAnsi="Arial" w:cs="Arial"/>
          <w:bCs/>
          <w:sz w:val="24"/>
          <w:szCs w:val="22"/>
        </w:rPr>
      </w:pPr>
      <w:r w:rsidRPr="00407389">
        <w:rPr>
          <w:rFonts w:ascii="Arial" w:hAnsi="Arial" w:cs="Arial"/>
          <w:sz w:val="24"/>
          <w:szCs w:val="22"/>
        </w:rPr>
        <w:t>Total borrowings show a net decrease during the year of £129.7m due to</w:t>
      </w:r>
      <w:r w:rsidRPr="00407389">
        <w:rPr>
          <w:rFonts w:ascii="Arial" w:hAnsi="Arial" w:cs="Arial"/>
          <w:bCs/>
          <w:sz w:val="24"/>
          <w:szCs w:val="22"/>
        </w:rPr>
        <w:t xml:space="preserve"> scheduled repayments to Public Works Loans Board (PWLB) and European Investment Bank (EIB) reduced temporary borrowing and other accounting adjustments.</w:t>
      </w:r>
    </w:p>
    <w:p w14:paraId="6117D84C" w14:textId="77777777" w:rsidR="00D15D90" w:rsidRPr="00407389" w:rsidRDefault="00D15D90" w:rsidP="00D15D90">
      <w:pPr>
        <w:pStyle w:val="Heading3"/>
        <w:spacing w:after="160" w:line="360" w:lineRule="auto"/>
      </w:pPr>
      <w:bookmarkStart w:id="40" w:name="_Toc109922593"/>
      <w:r w:rsidRPr="00407389">
        <w:t>Short Term Investments for Treasury Management Purposes</w:t>
      </w:r>
      <w:bookmarkEnd w:id="40"/>
    </w:p>
    <w:p w14:paraId="6AD1CCF9" w14:textId="77777777" w:rsidR="00D15D90" w:rsidRPr="00407389" w:rsidRDefault="00D15D90" w:rsidP="00D15D90">
      <w:pPr>
        <w:pStyle w:val="Normal0"/>
        <w:spacing w:after="160" w:line="360" w:lineRule="auto"/>
        <w:rPr>
          <w:rFonts w:ascii="Arial" w:hAnsi="Arial" w:cs="Arial"/>
          <w:sz w:val="24"/>
          <w:szCs w:val="24"/>
          <w:lang w:val="en-GB"/>
        </w:rPr>
      </w:pPr>
      <w:r w:rsidRPr="00407389">
        <w:rPr>
          <w:rFonts w:ascii="Arial" w:hAnsi="Arial" w:cs="Arial"/>
          <w:sz w:val="24"/>
          <w:szCs w:val="24"/>
          <w:lang w:val="en-GB"/>
        </w:rPr>
        <w:t>Whilst the Authority held short term borrowing at the end of the financial year, a level of short term cash is always held to cover unexpected cash flow requirements. Short term deposits (excluding bank current accounts) as at 31 March 2024 were £265.5m. This is made up of the following figures:</w:t>
      </w:r>
    </w:p>
    <w:tbl>
      <w:tblPr>
        <w:tblStyle w:val="TableGrid"/>
        <w:tblW w:w="6822" w:type="dxa"/>
        <w:tblInd w:w="-5" w:type="dxa"/>
        <w:tblLook w:val="04A0" w:firstRow="1" w:lastRow="0" w:firstColumn="1" w:lastColumn="0" w:noHBand="0" w:noVBand="1"/>
      </w:tblPr>
      <w:tblGrid>
        <w:gridCol w:w="1260"/>
        <w:gridCol w:w="4302"/>
        <w:gridCol w:w="1260"/>
      </w:tblGrid>
      <w:tr w:rsidR="00D15D90" w:rsidRPr="00B15622" w14:paraId="5DEDE0F9" w14:textId="77777777" w:rsidTr="00012E0D">
        <w:trPr>
          <w:trHeight w:val="721"/>
        </w:trPr>
        <w:tc>
          <w:tcPr>
            <w:tcW w:w="0" w:type="auto"/>
          </w:tcPr>
          <w:p w14:paraId="0DB165D8" w14:textId="77777777" w:rsidR="00D15D90" w:rsidRPr="00B15622" w:rsidRDefault="00D15D90" w:rsidP="00012E0D">
            <w:pPr>
              <w:spacing w:after="160" w:line="360" w:lineRule="auto"/>
              <w:jc w:val="center"/>
              <w:rPr>
                <w:rFonts w:ascii="Arial" w:hAnsi="Arial" w:cs="Arial"/>
                <w:b/>
                <w:sz w:val="20"/>
                <w:szCs w:val="20"/>
              </w:rPr>
            </w:pPr>
            <w:r w:rsidRPr="00B15622">
              <w:rPr>
                <w:rFonts w:ascii="Arial" w:hAnsi="Arial" w:cs="Arial"/>
                <w:b/>
                <w:sz w:val="20"/>
                <w:szCs w:val="20"/>
              </w:rPr>
              <w:t>2022/23</w:t>
            </w:r>
          </w:p>
          <w:p w14:paraId="699CCCD5" w14:textId="77777777" w:rsidR="00D15D90" w:rsidRPr="00B15622" w:rsidRDefault="00D15D90" w:rsidP="00012E0D">
            <w:pPr>
              <w:spacing w:after="160" w:line="360" w:lineRule="auto"/>
              <w:jc w:val="center"/>
              <w:rPr>
                <w:rFonts w:ascii="Arial" w:hAnsi="Arial" w:cs="Arial"/>
                <w:b/>
                <w:sz w:val="20"/>
                <w:szCs w:val="20"/>
              </w:rPr>
            </w:pPr>
            <w:r w:rsidRPr="00B15622">
              <w:rPr>
                <w:rFonts w:ascii="Arial" w:hAnsi="Arial" w:cs="Arial"/>
                <w:b/>
                <w:sz w:val="20"/>
                <w:szCs w:val="20"/>
              </w:rPr>
              <w:t>£m</w:t>
            </w:r>
          </w:p>
        </w:tc>
        <w:tc>
          <w:tcPr>
            <w:tcW w:w="0" w:type="auto"/>
          </w:tcPr>
          <w:p w14:paraId="3F6AFE84" w14:textId="77777777" w:rsidR="00D15D90" w:rsidRPr="00B15622" w:rsidRDefault="00D15D90" w:rsidP="00012E0D">
            <w:pPr>
              <w:spacing w:after="160" w:line="360" w:lineRule="auto"/>
              <w:rPr>
                <w:rFonts w:ascii="Arial" w:hAnsi="Arial" w:cs="Arial"/>
                <w:b/>
                <w:sz w:val="20"/>
                <w:szCs w:val="20"/>
              </w:rPr>
            </w:pPr>
            <w:bookmarkStart w:id="41" w:name="_Hlk75956765"/>
          </w:p>
        </w:tc>
        <w:tc>
          <w:tcPr>
            <w:tcW w:w="0" w:type="auto"/>
          </w:tcPr>
          <w:p w14:paraId="06B2E074" w14:textId="77777777" w:rsidR="00D15D90" w:rsidRPr="00B15622" w:rsidRDefault="00D15D90" w:rsidP="00012E0D">
            <w:pPr>
              <w:spacing w:after="160" w:line="360" w:lineRule="auto"/>
              <w:jc w:val="center"/>
              <w:rPr>
                <w:rFonts w:ascii="Arial" w:hAnsi="Arial" w:cs="Arial"/>
                <w:b/>
                <w:sz w:val="20"/>
                <w:szCs w:val="20"/>
              </w:rPr>
            </w:pPr>
            <w:r w:rsidRPr="00B15622">
              <w:rPr>
                <w:rFonts w:ascii="Arial" w:hAnsi="Arial" w:cs="Arial"/>
                <w:b/>
                <w:sz w:val="20"/>
                <w:szCs w:val="20"/>
              </w:rPr>
              <w:t>2023/24</w:t>
            </w:r>
          </w:p>
          <w:p w14:paraId="17597518" w14:textId="77777777" w:rsidR="00D15D90" w:rsidRPr="00B15622" w:rsidRDefault="00D15D90" w:rsidP="00012E0D">
            <w:pPr>
              <w:spacing w:after="160" w:line="360" w:lineRule="auto"/>
              <w:jc w:val="center"/>
              <w:rPr>
                <w:rFonts w:ascii="Arial" w:hAnsi="Arial" w:cs="Arial"/>
                <w:b/>
                <w:sz w:val="20"/>
                <w:szCs w:val="20"/>
              </w:rPr>
            </w:pPr>
            <w:r w:rsidRPr="00B15622">
              <w:rPr>
                <w:rFonts w:ascii="Arial" w:hAnsi="Arial" w:cs="Arial"/>
                <w:b/>
                <w:sz w:val="20"/>
                <w:szCs w:val="20"/>
              </w:rPr>
              <w:t>£m</w:t>
            </w:r>
          </w:p>
        </w:tc>
      </w:tr>
      <w:tr w:rsidR="00D15D90" w:rsidRPr="00B15622" w14:paraId="42260BEF" w14:textId="77777777" w:rsidTr="00012E0D">
        <w:trPr>
          <w:trHeight w:val="360"/>
        </w:trPr>
        <w:tc>
          <w:tcPr>
            <w:tcW w:w="0" w:type="auto"/>
            <w:tcBorders>
              <w:bottom w:val="nil"/>
            </w:tcBorders>
          </w:tcPr>
          <w:p w14:paraId="09DCA6B3" w14:textId="77777777" w:rsidR="00D15D90" w:rsidRPr="00407389" w:rsidRDefault="00D15D90" w:rsidP="00012E0D">
            <w:pPr>
              <w:spacing w:after="160" w:line="360" w:lineRule="auto"/>
              <w:jc w:val="right"/>
              <w:rPr>
                <w:rFonts w:ascii="Arial" w:hAnsi="Arial" w:cs="Arial"/>
                <w:sz w:val="20"/>
                <w:szCs w:val="20"/>
              </w:rPr>
            </w:pPr>
            <w:r w:rsidRPr="00407389">
              <w:rPr>
                <w:rFonts w:ascii="Arial" w:hAnsi="Arial" w:cs="Arial"/>
                <w:sz w:val="20"/>
                <w:szCs w:val="20"/>
              </w:rPr>
              <w:t>9.6</w:t>
            </w:r>
          </w:p>
        </w:tc>
        <w:tc>
          <w:tcPr>
            <w:tcW w:w="0" w:type="auto"/>
            <w:tcBorders>
              <w:bottom w:val="nil"/>
            </w:tcBorders>
          </w:tcPr>
          <w:p w14:paraId="70F3C644" w14:textId="77777777" w:rsidR="00D15D90" w:rsidRPr="00407389" w:rsidRDefault="00D15D90" w:rsidP="00012E0D">
            <w:pPr>
              <w:spacing w:after="160" w:line="360" w:lineRule="auto"/>
              <w:rPr>
                <w:rFonts w:ascii="Arial" w:hAnsi="Arial" w:cs="Arial"/>
                <w:sz w:val="20"/>
                <w:szCs w:val="20"/>
              </w:rPr>
            </w:pPr>
            <w:r w:rsidRPr="00407389">
              <w:rPr>
                <w:rFonts w:ascii="Arial" w:hAnsi="Arial" w:cs="Arial"/>
                <w:sz w:val="20"/>
                <w:szCs w:val="20"/>
              </w:rPr>
              <w:t>Bank Deposits</w:t>
            </w:r>
          </w:p>
        </w:tc>
        <w:tc>
          <w:tcPr>
            <w:tcW w:w="0" w:type="auto"/>
            <w:tcBorders>
              <w:bottom w:val="nil"/>
            </w:tcBorders>
          </w:tcPr>
          <w:p w14:paraId="530A031B" w14:textId="77777777" w:rsidR="00D15D90" w:rsidRPr="00407389" w:rsidRDefault="00D15D90" w:rsidP="00012E0D">
            <w:pPr>
              <w:spacing w:after="160" w:line="360" w:lineRule="auto"/>
              <w:jc w:val="right"/>
              <w:rPr>
                <w:rFonts w:ascii="Arial" w:hAnsi="Arial" w:cs="Arial"/>
                <w:sz w:val="20"/>
                <w:szCs w:val="20"/>
              </w:rPr>
            </w:pPr>
            <w:r w:rsidRPr="00407389">
              <w:rPr>
                <w:rFonts w:ascii="Arial" w:hAnsi="Arial" w:cs="Arial"/>
                <w:sz w:val="20"/>
                <w:szCs w:val="20"/>
              </w:rPr>
              <w:t>5.1</w:t>
            </w:r>
          </w:p>
        </w:tc>
      </w:tr>
      <w:tr w:rsidR="00D15D90" w:rsidRPr="00B15622" w14:paraId="29E9FB80" w14:textId="77777777" w:rsidTr="00012E0D">
        <w:trPr>
          <w:trHeight w:val="360"/>
        </w:trPr>
        <w:tc>
          <w:tcPr>
            <w:tcW w:w="0" w:type="auto"/>
            <w:tcBorders>
              <w:top w:val="nil"/>
              <w:bottom w:val="nil"/>
            </w:tcBorders>
          </w:tcPr>
          <w:p w14:paraId="48A4A398" w14:textId="77777777" w:rsidR="00D15D90" w:rsidRPr="00407389" w:rsidRDefault="00D15D90" w:rsidP="00012E0D">
            <w:pPr>
              <w:spacing w:after="160" w:line="360" w:lineRule="auto"/>
              <w:jc w:val="right"/>
              <w:rPr>
                <w:rFonts w:ascii="Arial" w:hAnsi="Arial" w:cs="Arial"/>
                <w:sz w:val="20"/>
                <w:szCs w:val="20"/>
              </w:rPr>
            </w:pPr>
            <w:r w:rsidRPr="00407389">
              <w:rPr>
                <w:rFonts w:ascii="Arial" w:hAnsi="Arial" w:cs="Arial"/>
                <w:sz w:val="20"/>
                <w:szCs w:val="20"/>
              </w:rPr>
              <w:t>242.7</w:t>
            </w:r>
          </w:p>
        </w:tc>
        <w:tc>
          <w:tcPr>
            <w:tcW w:w="0" w:type="auto"/>
            <w:tcBorders>
              <w:top w:val="nil"/>
              <w:bottom w:val="nil"/>
            </w:tcBorders>
          </w:tcPr>
          <w:p w14:paraId="6F24DAE7" w14:textId="77777777" w:rsidR="00D15D90" w:rsidRPr="00407389" w:rsidRDefault="00D15D90" w:rsidP="00012E0D">
            <w:pPr>
              <w:spacing w:after="160" w:line="360" w:lineRule="auto"/>
              <w:rPr>
                <w:rFonts w:ascii="Arial" w:hAnsi="Arial" w:cs="Arial"/>
                <w:sz w:val="20"/>
                <w:szCs w:val="20"/>
              </w:rPr>
            </w:pPr>
            <w:r w:rsidRPr="00407389">
              <w:rPr>
                <w:rFonts w:ascii="Arial" w:hAnsi="Arial" w:cs="Arial"/>
                <w:sz w:val="20"/>
                <w:szCs w:val="20"/>
              </w:rPr>
              <w:t>UK Government Backed Deposits</w:t>
            </w:r>
          </w:p>
        </w:tc>
        <w:tc>
          <w:tcPr>
            <w:tcW w:w="0" w:type="auto"/>
            <w:tcBorders>
              <w:top w:val="nil"/>
              <w:bottom w:val="nil"/>
            </w:tcBorders>
          </w:tcPr>
          <w:p w14:paraId="73EEC434" w14:textId="77777777" w:rsidR="00D15D90" w:rsidRPr="00407389" w:rsidRDefault="00D15D90" w:rsidP="00012E0D">
            <w:pPr>
              <w:spacing w:after="160" w:line="360" w:lineRule="auto"/>
              <w:jc w:val="right"/>
              <w:rPr>
                <w:rFonts w:ascii="Arial" w:hAnsi="Arial" w:cs="Arial"/>
                <w:sz w:val="20"/>
                <w:szCs w:val="20"/>
              </w:rPr>
            </w:pPr>
            <w:r w:rsidRPr="00407389">
              <w:rPr>
                <w:rFonts w:ascii="Arial" w:hAnsi="Arial" w:cs="Arial"/>
                <w:sz w:val="20"/>
                <w:szCs w:val="20"/>
              </w:rPr>
              <w:t>260.4</w:t>
            </w:r>
          </w:p>
        </w:tc>
      </w:tr>
      <w:tr w:rsidR="00D15D90" w:rsidRPr="00B15622" w14:paraId="722427C8" w14:textId="77777777" w:rsidTr="00012E0D">
        <w:trPr>
          <w:trHeight w:val="360"/>
        </w:trPr>
        <w:tc>
          <w:tcPr>
            <w:tcW w:w="0" w:type="auto"/>
          </w:tcPr>
          <w:p w14:paraId="106213AD" w14:textId="77777777" w:rsidR="00D15D90" w:rsidRPr="00407389" w:rsidRDefault="00D15D90" w:rsidP="00012E0D">
            <w:pPr>
              <w:spacing w:after="160" w:line="360" w:lineRule="auto"/>
              <w:jc w:val="right"/>
              <w:rPr>
                <w:rFonts w:ascii="Arial" w:hAnsi="Arial" w:cs="Arial"/>
                <w:b/>
                <w:sz w:val="20"/>
                <w:szCs w:val="20"/>
              </w:rPr>
            </w:pPr>
            <w:r w:rsidRPr="00407389">
              <w:rPr>
                <w:rFonts w:ascii="Arial" w:hAnsi="Arial" w:cs="Arial"/>
                <w:b/>
                <w:sz w:val="20"/>
                <w:szCs w:val="20"/>
              </w:rPr>
              <w:t>252.3</w:t>
            </w:r>
          </w:p>
        </w:tc>
        <w:tc>
          <w:tcPr>
            <w:tcW w:w="0" w:type="auto"/>
          </w:tcPr>
          <w:p w14:paraId="1D9993D7" w14:textId="77777777" w:rsidR="00D15D90" w:rsidRPr="00407389" w:rsidRDefault="00D15D90" w:rsidP="00012E0D">
            <w:pPr>
              <w:spacing w:after="160" w:line="360" w:lineRule="auto"/>
              <w:rPr>
                <w:rFonts w:ascii="Arial" w:hAnsi="Arial" w:cs="Arial"/>
                <w:b/>
                <w:sz w:val="20"/>
                <w:szCs w:val="20"/>
              </w:rPr>
            </w:pPr>
            <w:r w:rsidRPr="00407389">
              <w:rPr>
                <w:rFonts w:ascii="Arial" w:hAnsi="Arial" w:cs="Arial"/>
                <w:b/>
                <w:sz w:val="20"/>
                <w:szCs w:val="20"/>
              </w:rPr>
              <w:t>Total</w:t>
            </w:r>
          </w:p>
        </w:tc>
        <w:tc>
          <w:tcPr>
            <w:tcW w:w="0" w:type="auto"/>
          </w:tcPr>
          <w:p w14:paraId="27C9573B" w14:textId="77777777" w:rsidR="00D15D90" w:rsidRPr="00407389" w:rsidRDefault="00D15D90" w:rsidP="00012E0D">
            <w:pPr>
              <w:spacing w:after="160" w:line="360" w:lineRule="auto"/>
              <w:jc w:val="right"/>
              <w:rPr>
                <w:rFonts w:ascii="Arial" w:hAnsi="Arial" w:cs="Arial"/>
                <w:b/>
                <w:sz w:val="20"/>
                <w:szCs w:val="20"/>
              </w:rPr>
            </w:pPr>
            <w:r w:rsidRPr="00407389">
              <w:rPr>
                <w:rFonts w:ascii="Arial" w:hAnsi="Arial" w:cs="Arial"/>
                <w:b/>
                <w:sz w:val="20"/>
                <w:szCs w:val="20"/>
              </w:rPr>
              <w:t>265.5</w:t>
            </w:r>
          </w:p>
        </w:tc>
      </w:tr>
      <w:bookmarkEnd w:id="41"/>
    </w:tbl>
    <w:p w14:paraId="70170A15" w14:textId="77777777" w:rsidR="00D15D90" w:rsidRPr="00B15622" w:rsidRDefault="00D15D90" w:rsidP="00D15D90">
      <w:pPr>
        <w:spacing w:line="360" w:lineRule="auto"/>
        <w:rPr>
          <w:rFonts w:ascii="Arial" w:hAnsi="Arial" w:cs="Arial"/>
          <w:b/>
          <w:bCs/>
          <w:sz w:val="26"/>
          <w:szCs w:val="26"/>
          <w:highlight w:val="yellow"/>
        </w:rPr>
      </w:pPr>
    </w:p>
    <w:p w14:paraId="3EEAAD28" w14:textId="77777777" w:rsidR="00D15D90" w:rsidRPr="00CD0137" w:rsidRDefault="00D15D90" w:rsidP="00D15D90">
      <w:pPr>
        <w:pStyle w:val="Heading3"/>
        <w:spacing w:after="160" w:line="360" w:lineRule="auto"/>
        <w:rPr>
          <w:sz w:val="24"/>
          <w:szCs w:val="24"/>
        </w:rPr>
      </w:pPr>
      <w:bookmarkStart w:id="42" w:name="_Hlk169254636"/>
      <w:bookmarkStart w:id="43" w:name="_Toc109922594"/>
      <w:bookmarkStart w:id="44" w:name="_Hlk112161669"/>
      <w:r w:rsidRPr="00CD0137">
        <w:rPr>
          <w:sz w:val="24"/>
          <w:szCs w:val="24"/>
        </w:rPr>
        <w:t>Risks</w:t>
      </w:r>
    </w:p>
    <w:p w14:paraId="4C01B62A" w14:textId="77777777" w:rsidR="00D15D90" w:rsidRPr="00CD0137" w:rsidRDefault="00D15D90" w:rsidP="00D15D90">
      <w:pPr>
        <w:pStyle w:val="8TfGMStandardDocumentText"/>
        <w:spacing w:after="100" w:afterAutospacing="1" w:line="360" w:lineRule="auto"/>
        <w:contextualSpacing/>
        <w:jc w:val="left"/>
        <w:rPr>
          <w:rFonts w:ascii="Arial" w:hAnsi="Arial"/>
          <w:sz w:val="24"/>
          <w:lang w:eastAsia="en-US"/>
        </w:rPr>
      </w:pPr>
      <w:bookmarkStart w:id="45" w:name="_Hlk140072751"/>
      <w:r w:rsidRPr="00CD0137">
        <w:rPr>
          <w:rFonts w:ascii="Arial" w:hAnsi="Arial"/>
          <w:sz w:val="24"/>
          <w:lang w:eastAsia="en-US"/>
        </w:rPr>
        <w:t xml:space="preserve">In the last 12 to 18 months, like all organisations, GMCA has been adversely impacted by cost inflation and other cost and supply pressures. This includes but is not limited to service delivery costs which are largely staff and energy related costs and supplies for </w:t>
      </w:r>
      <w:r w:rsidRPr="00CD0137">
        <w:rPr>
          <w:rFonts w:ascii="Arial" w:hAnsi="Arial"/>
          <w:sz w:val="24"/>
          <w:lang w:eastAsia="en-US"/>
        </w:rPr>
        <w:lastRenderedPageBreak/>
        <w:t xml:space="preserve">construction projects. The organisation continues to monitor and mitigate these costs as far as possible and is adjusting, as appropriate, its expenditure and funding budgets for this year to reflect this position. </w:t>
      </w:r>
    </w:p>
    <w:bookmarkEnd w:id="42"/>
    <w:bookmarkEnd w:id="45"/>
    <w:p w14:paraId="78B652E7" w14:textId="77777777" w:rsidR="00D15D90" w:rsidRPr="00EB2D7F" w:rsidRDefault="00D15D90" w:rsidP="00D15D90">
      <w:pPr>
        <w:pStyle w:val="ListParagraph"/>
        <w:spacing w:after="0" w:line="360" w:lineRule="auto"/>
        <w:ind w:left="0"/>
        <w:rPr>
          <w:rFonts w:ascii="Arial" w:hAnsi="Arial" w:cs="Arial"/>
          <w:snapToGrid w:val="0"/>
          <w:sz w:val="24"/>
          <w:szCs w:val="24"/>
        </w:rPr>
      </w:pPr>
      <w:r w:rsidRPr="00EB2D7F">
        <w:rPr>
          <w:rFonts w:ascii="Arial" w:hAnsi="Arial" w:cs="Arial"/>
          <w:snapToGrid w:val="0"/>
          <w:sz w:val="24"/>
          <w:szCs w:val="24"/>
        </w:rPr>
        <w:t xml:space="preserve">Under current funding arrangements for GMCA the confirmation of government funding varies considerably depending upon the nature of the grant. Some programmes have confirmed or indicative funding over the current Spending Review period and others operate with short term grant funding confirmed on an annual basis. As such medium term financial planning for GMCA programmes is restricted to the information available at the time of setting the budget for the following year and will be updated throughout the financial year as part of the quarterly financial update reports. </w:t>
      </w:r>
    </w:p>
    <w:p w14:paraId="05976C78" w14:textId="77777777" w:rsidR="00D15D90" w:rsidRPr="00CD0137" w:rsidRDefault="00D15D90" w:rsidP="00D15D90">
      <w:pPr>
        <w:pStyle w:val="ListParagraph"/>
        <w:spacing w:after="0" w:line="360" w:lineRule="auto"/>
        <w:ind w:left="0"/>
        <w:rPr>
          <w:rFonts w:ascii="Arial" w:hAnsi="Arial" w:cs="Arial"/>
          <w:snapToGrid w:val="0"/>
          <w:sz w:val="24"/>
          <w:szCs w:val="24"/>
        </w:rPr>
      </w:pPr>
    </w:p>
    <w:p w14:paraId="1D28F783" w14:textId="77777777" w:rsidR="00D15D90" w:rsidRPr="00CD0137" w:rsidRDefault="00D15D90" w:rsidP="00D15D90">
      <w:pPr>
        <w:tabs>
          <w:tab w:val="left" w:pos="0"/>
        </w:tabs>
        <w:spacing w:line="360" w:lineRule="auto"/>
        <w:ind w:right="79"/>
        <w:rPr>
          <w:rFonts w:ascii="Arial" w:hAnsi="Arial" w:cs="Arial"/>
        </w:rPr>
      </w:pPr>
      <w:bookmarkStart w:id="46" w:name="_Hlk169254519"/>
      <w:r w:rsidRPr="00CD0137">
        <w:rPr>
          <w:rFonts w:ascii="Arial" w:hAnsi="Arial" w:cs="Arial"/>
        </w:rPr>
        <w:t xml:space="preserve">In respect of Police and Crime and Fire and Rescue services, the 2021 Spending Review was for the three year period 2023/24 – 2024/25 which provided some clarity for planning purposes at the time. Subsequently, the 2023 Spending Review provided the funding for the PCC and Fire and Rescue Service settlement for 2024/25. The most significant pressure on the budget relates to the pay award for which additional grant funding was provided towards Police Officer pay in 2023/24 and pay award for Police staff and the Fire and Rescue Service has been met from local resources. </w:t>
      </w:r>
    </w:p>
    <w:bookmarkEnd w:id="46"/>
    <w:p w14:paraId="47AC0DBE" w14:textId="77777777" w:rsidR="00D15D90" w:rsidRPr="00B15622" w:rsidRDefault="00D15D90" w:rsidP="00D15D90">
      <w:pPr>
        <w:tabs>
          <w:tab w:val="left" w:pos="0"/>
        </w:tabs>
        <w:spacing w:line="360" w:lineRule="auto"/>
        <w:ind w:right="79"/>
        <w:rPr>
          <w:rFonts w:cs="Arial"/>
          <w:sz w:val="22"/>
          <w:szCs w:val="22"/>
          <w:highlight w:val="yellow"/>
        </w:rPr>
      </w:pPr>
    </w:p>
    <w:p w14:paraId="2E9811DC" w14:textId="77777777" w:rsidR="00D15D90" w:rsidRPr="00EB2D7F" w:rsidRDefault="00D15D90" w:rsidP="00D15D90">
      <w:pPr>
        <w:tabs>
          <w:tab w:val="left" w:pos="0"/>
        </w:tabs>
        <w:spacing w:line="360" w:lineRule="auto"/>
        <w:ind w:right="79"/>
        <w:rPr>
          <w:rFonts w:ascii="Arial" w:eastAsia="Arial" w:hAnsi="Arial" w:cs="Arial"/>
        </w:rPr>
      </w:pPr>
      <w:r w:rsidRPr="00EB2D7F">
        <w:rPr>
          <w:rFonts w:ascii="Arial" w:eastAsia="Arial" w:hAnsi="Arial" w:cs="Arial"/>
          <w:spacing w:val="1"/>
        </w:rPr>
        <w:t>Im</w:t>
      </w:r>
      <w:r w:rsidRPr="00EB2D7F">
        <w:rPr>
          <w:rFonts w:ascii="Arial" w:eastAsia="Arial" w:hAnsi="Arial" w:cs="Arial"/>
        </w:rPr>
        <w:t>p</w:t>
      </w:r>
      <w:r w:rsidRPr="00EB2D7F">
        <w:rPr>
          <w:rFonts w:ascii="Arial" w:eastAsia="Arial" w:hAnsi="Arial" w:cs="Arial"/>
          <w:spacing w:val="-1"/>
        </w:rPr>
        <w:t>l</w:t>
      </w:r>
      <w:r w:rsidRPr="00EB2D7F">
        <w:rPr>
          <w:rFonts w:ascii="Arial" w:eastAsia="Arial" w:hAnsi="Arial" w:cs="Arial"/>
        </w:rPr>
        <w:t>eme</w:t>
      </w:r>
      <w:r w:rsidRPr="00EB2D7F">
        <w:rPr>
          <w:rFonts w:ascii="Arial" w:eastAsia="Arial" w:hAnsi="Arial" w:cs="Arial"/>
          <w:spacing w:val="-3"/>
        </w:rPr>
        <w:t>n</w:t>
      </w:r>
      <w:r w:rsidRPr="00EB2D7F">
        <w:rPr>
          <w:rFonts w:ascii="Arial" w:eastAsia="Arial" w:hAnsi="Arial" w:cs="Arial"/>
          <w:spacing w:val="1"/>
        </w:rPr>
        <w:t>t</w:t>
      </w:r>
      <w:r w:rsidRPr="00EB2D7F">
        <w:rPr>
          <w:rFonts w:ascii="Arial" w:eastAsia="Arial" w:hAnsi="Arial" w:cs="Arial"/>
          <w:spacing w:val="-3"/>
        </w:rPr>
        <w:t>a</w:t>
      </w:r>
      <w:r w:rsidRPr="00EB2D7F">
        <w:rPr>
          <w:rFonts w:ascii="Arial" w:eastAsia="Arial" w:hAnsi="Arial" w:cs="Arial"/>
          <w:spacing w:val="1"/>
        </w:rPr>
        <w:t>t</w:t>
      </w:r>
      <w:r w:rsidRPr="00EB2D7F">
        <w:rPr>
          <w:rFonts w:ascii="Arial" w:eastAsia="Arial" w:hAnsi="Arial" w:cs="Arial"/>
          <w:spacing w:val="-1"/>
        </w:rPr>
        <w:t>i</w:t>
      </w:r>
      <w:r w:rsidRPr="00EB2D7F">
        <w:rPr>
          <w:rFonts w:ascii="Arial" w:eastAsia="Arial" w:hAnsi="Arial" w:cs="Arial"/>
        </w:rPr>
        <w:t>on</w:t>
      </w:r>
      <w:r w:rsidRPr="00EB2D7F">
        <w:rPr>
          <w:rFonts w:ascii="Arial" w:eastAsia="Arial" w:hAnsi="Arial" w:cs="Arial"/>
          <w:spacing w:val="5"/>
        </w:rPr>
        <w:t xml:space="preserve"> </w:t>
      </w:r>
      <w:r w:rsidRPr="00EB2D7F">
        <w:rPr>
          <w:rFonts w:ascii="Arial" w:eastAsia="Arial" w:hAnsi="Arial" w:cs="Arial"/>
          <w:spacing w:val="-3"/>
        </w:rPr>
        <w:t>o</w:t>
      </w:r>
      <w:r w:rsidRPr="00EB2D7F">
        <w:rPr>
          <w:rFonts w:ascii="Arial" w:eastAsia="Arial" w:hAnsi="Arial" w:cs="Arial"/>
        </w:rPr>
        <w:t>f</w:t>
      </w:r>
      <w:r w:rsidRPr="00EB2D7F">
        <w:rPr>
          <w:rFonts w:ascii="Arial" w:eastAsia="Arial" w:hAnsi="Arial" w:cs="Arial"/>
          <w:spacing w:val="6"/>
        </w:rPr>
        <w:t xml:space="preserve"> </w:t>
      </w:r>
      <w:r w:rsidRPr="00EB2D7F">
        <w:rPr>
          <w:rFonts w:ascii="Arial" w:eastAsia="Arial" w:hAnsi="Arial" w:cs="Arial"/>
          <w:spacing w:val="1"/>
        </w:rPr>
        <w:t>G</w:t>
      </w:r>
      <w:r w:rsidRPr="00EB2D7F">
        <w:rPr>
          <w:rFonts w:ascii="Arial" w:eastAsia="Arial" w:hAnsi="Arial" w:cs="Arial"/>
          <w:spacing w:val="-4"/>
        </w:rPr>
        <w:t>M</w:t>
      </w:r>
      <w:r w:rsidRPr="00EB2D7F">
        <w:rPr>
          <w:rFonts w:ascii="Arial" w:eastAsia="Arial" w:hAnsi="Arial" w:cs="Arial"/>
          <w:spacing w:val="-1"/>
        </w:rPr>
        <w:t>P</w:t>
      </w:r>
      <w:r w:rsidRPr="00EB2D7F">
        <w:rPr>
          <w:rFonts w:ascii="Arial" w:eastAsia="Arial" w:hAnsi="Arial" w:cs="Arial"/>
          <w:spacing w:val="1"/>
        </w:rPr>
        <w:t>’</w:t>
      </w:r>
      <w:r w:rsidRPr="00EB2D7F">
        <w:rPr>
          <w:rFonts w:ascii="Arial" w:eastAsia="Arial" w:hAnsi="Arial" w:cs="Arial"/>
        </w:rPr>
        <w:t>s</w:t>
      </w:r>
      <w:r w:rsidRPr="00EB2D7F">
        <w:rPr>
          <w:rFonts w:ascii="Arial" w:eastAsia="Arial" w:hAnsi="Arial" w:cs="Arial"/>
          <w:spacing w:val="6"/>
        </w:rPr>
        <w:t xml:space="preserve"> </w:t>
      </w:r>
      <w:r w:rsidRPr="00EB2D7F">
        <w:rPr>
          <w:rFonts w:ascii="Arial" w:eastAsia="Arial" w:hAnsi="Arial" w:cs="Arial"/>
          <w:spacing w:val="-1"/>
        </w:rPr>
        <w:t>i</w:t>
      </w:r>
      <w:r w:rsidRPr="00EB2D7F">
        <w:rPr>
          <w:rFonts w:ascii="Arial" w:eastAsia="Arial" w:hAnsi="Arial" w:cs="Arial"/>
          <w:spacing w:val="1"/>
        </w:rPr>
        <w:t>m</w:t>
      </w:r>
      <w:r w:rsidRPr="00EB2D7F">
        <w:rPr>
          <w:rFonts w:ascii="Arial" w:eastAsia="Arial" w:hAnsi="Arial" w:cs="Arial"/>
        </w:rPr>
        <w:t>pro</w:t>
      </w:r>
      <w:r w:rsidRPr="00EB2D7F">
        <w:rPr>
          <w:rFonts w:ascii="Arial" w:eastAsia="Arial" w:hAnsi="Arial" w:cs="Arial"/>
          <w:spacing w:val="-2"/>
        </w:rPr>
        <w:t>v</w:t>
      </w:r>
      <w:r w:rsidRPr="00EB2D7F">
        <w:rPr>
          <w:rFonts w:ascii="Arial" w:eastAsia="Arial" w:hAnsi="Arial" w:cs="Arial"/>
        </w:rPr>
        <w:t>eme</w:t>
      </w:r>
      <w:r w:rsidRPr="00EB2D7F">
        <w:rPr>
          <w:rFonts w:ascii="Arial" w:eastAsia="Arial" w:hAnsi="Arial" w:cs="Arial"/>
          <w:spacing w:val="-3"/>
        </w:rPr>
        <w:t>n</w:t>
      </w:r>
      <w:r w:rsidRPr="00EB2D7F">
        <w:rPr>
          <w:rFonts w:ascii="Arial" w:eastAsia="Arial" w:hAnsi="Arial" w:cs="Arial"/>
        </w:rPr>
        <w:t>t</w:t>
      </w:r>
      <w:r w:rsidRPr="00EB2D7F">
        <w:rPr>
          <w:rFonts w:ascii="Arial" w:eastAsia="Arial" w:hAnsi="Arial" w:cs="Arial"/>
          <w:spacing w:val="6"/>
        </w:rPr>
        <w:t xml:space="preserve"> </w:t>
      </w:r>
      <w:r w:rsidRPr="00EB2D7F">
        <w:rPr>
          <w:rFonts w:ascii="Arial" w:eastAsia="Arial" w:hAnsi="Arial" w:cs="Arial"/>
        </w:rPr>
        <w:t>p</w:t>
      </w:r>
      <w:r w:rsidRPr="00EB2D7F">
        <w:rPr>
          <w:rFonts w:ascii="Arial" w:eastAsia="Arial" w:hAnsi="Arial" w:cs="Arial"/>
          <w:spacing w:val="-1"/>
        </w:rPr>
        <w:t>l</w:t>
      </w:r>
      <w:r w:rsidRPr="00EB2D7F">
        <w:rPr>
          <w:rFonts w:ascii="Arial" w:eastAsia="Arial" w:hAnsi="Arial" w:cs="Arial"/>
        </w:rPr>
        <w:t>an</w:t>
      </w:r>
      <w:r w:rsidRPr="00EB2D7F">
        <w:rPr>
          <w:rFonts w:ascii="Arial" w:eastAsia="Arial" w:hAnsi="Arial" w:cs="Arial"/>
          <w:spacing w:val="5"/>
        </w:rPr>
        <w:t xml:space="preserve"> </w:t>
      </w:r>
      <w:r w:rsidRPr="00EB2D7F">
        <w:rPr>
          <w:rFonts w:ascii="Arial" w:eastAsia="Arial" w:hAnsi="Arial" w:cs="Arial"/>
          <w:spacing w:val="-1"/>
        </w:rPr>
        <w:t>i</w:t>
      </w:r>
      <w:r w:rsidRPr="00EB2D7F">
        <w:rPr>
          <w:rFonts w:ascii="Arial" w:eastAsia="Arial" w:hAnsi="Arial" w:cs="Arial"/>
        </w:rPr>
        <w:t>nc</w:t>
      </w:r>
      <w:r w:rsidRPr="00EB2D7F">
        <w:rPr>
          <w:rFonts w:ascii="Arial" w:eastAsia="Arial" w:hAnsi="Arial" w:cs="Arial"/>
          <w:spacing w:val="-1"/>
        </w:rPr>
        <w:t>l</w:t>
      </w:r>
      <w:r w:rsidRPr="00EB2D7F">
        <w:rPr>
          <w:rFonts w:ascii="Arial" w:eastAsia="Arial" w:hAnsi="Arial" w:cs="Arial"/>
        </w:rPr>
        <w:t>u</w:t>
      </w:r>
      <w:r w:rsidRPr="00EB2D7F">
        <w:rPr>
          <w:rFonts w:ascii="Arial" w:eastAsia="Arial" w:hAnsi="Arial" w:cs="Arial"/>
          <w:spacing w:val="-1"/>
        </w:rPr>
        <w:t>d</w:t>
      </w:r>
      <w:r w:rsidRPr="00EB2D7F">
        <w:rPr>
          <w:rFonts w:ascii="Arial" w:eastAsia="Arial" w:hAnsi="Arial" w:cs="Arial"/>
        </w:rPr>
        <w:t>es</w:t>
      </w:r>
      <w:r w:rsidRPr="00EB2D7F">
        <w:rPr>
          <w:rFonts w:ascii="Arial" w:eastAsia="Arial" w:hAnsi="Arial" w:cs="Arial"/>
          <w:spacing w:val="5"/>
        </w:rPr>
        <w:t xml:space="preserve"> </w:t>
      </w:r>
      <w:r w:rsidRPr="00EB2D7F">
        <w:rPr>
          <w:rFonts w:ascii="Arial" w:eastAsia="Arial" w:hAnsi="Arial" w:cs="Arial"/>
        </w:rPr>
        <w:t>s</w:t>
      </w:r>
      <w:r w:rsidRPr="00EB2D7F">
        <w:rPr>
          <w:rFonts w:ascii="Arial" w:eastAsia="Arial" w:hAnsi="Arial" w:cs="Arial"/>
          <w:spacing w:val="-1"/>
        </w:rPr>
        <w:t>i</w:t>
      </w:r>
      <w:r w:rsidRPr="00EB2D7F">
        <w:rPr>
          <w:rFonts w:ascii="Arial" w:eastAsia="Arial" w:hAnsi="Arial" w:cs="Arial"/>
          <w:spacing w:val="2"/>
        </w:rPr>
        <w:t>g</w:t>
      </w:r>
      <w:r w:rsidRPr="00EB2D7F">
        <w:rPr>
          <w:rFonts w:ascii="Arial" w:eastAsia="Arial" w:hAnsi="Arial" w:cs="Arial"/>
        </w:rPr>
        <w:t>n</w:t>
      </w:r>
      <w:r w:rsidRPr="00EB2D7F">
        <w:rPr>
          <w:rFonts w:ascii="Arial" w:eastAsia="Arial" w:hAnsi="Arial" w:cs="Arial"/>
          <w:spacing w:val="-4"/>
        </w:rPr>
        <w:t>i</w:t>
      </w:r>
      <w:r w:rsidRPr="00EB2D7F">
        <w:rPr>
          <w:rFonts w:ascii="Arial" w:eastAsia="Arial" w:hAnsi="Arial" w:cs="Arial"/>
          <w:spacing w:val="3"/>
        </w:rPr>
        <w:t>f</w:t>
      </w:r>
      <w:r w:rsidRPr="00EB2D7F">
        <w:rPr>
          <w:rFonts w:ascii="Arial" w:eastAsia="Arial" w:hAnsi="Arial" w:cs="Arial"/>
          <w:spacing w:val="-1"/>
        </w:rPr>
        <w:t>i</w:t>
      </w:r>
      <w:r w:rsidRPr="00EB2D7F">
        <w:rPr>
          <w:rFonts w:ascii="Arial" w:eastAsia="Arial" w:hAnsi="Arial" w:cs="Arial"/>
        </w:rPr>
        <w:t>ca</w:t>
      </w:r>
      <w:r w:rsidRPr="00EB2D7F">
        <w:rPr>
          <w:rFonts w:ascii="Arial" w:eastAsia="Arial" w:hAnsi="Arial" w:cs="Arial"/>
          <w:spacing w:val="-3"/>
        </w:rPr>
        <w:t>n</w:t>
      </w:r>
      <w:r w:rsidRPr="00EB2D7F">
        <w:rPr>
          <w:rFonts w:ascii="Arial" w:eastAsia="Arial" w:hAnsi="Arial" w:cs="Arial"/>
        </w:rPr>
        <w:t>t</w:t>
      </w:r>
      <w:r w:rsidRPr="00EB2D7F">
        <w:rPr>
          <w:rFonts w:ascii="Arial" w:eastAsia="Arial" w:hAnsi="Arial" w:cs="Arial"/>
          <w:spacing w:val="4"/>
        </w:rPr>
        <w:t xml:space="preserve"> </w:t>
      </w:r>
      <w:r w:rsidRPr="00EB2D7F">
        <w:rPr>
          <w:rFonts w:ascii="Arial" w:eastAsia="Arial" w:hAnsi="Arial" w:cs="Arial"/>
        </w:rPr>
        <w:t>ch</w:t>
      </w:r>
      <w:r w:rsidRPr="00EB2D7F">
        <w:rPr>
          <w:rFonts w:ascii="Arial" w:eastAsia="Arial" w:hAnsi="Arial" w:cs="Arial"/>
          <w:spacing w:val="-1"/>
        </w:rPr>
        <w:t>a</w:t>
      </w:r>
      <w:r w:rsidRPr="00EB2D7F">
        <w:rPr>
          <w:rFonts w:ascii="Arial" w:eastAsia="Arial" w:hAnsi="Arial" w:cs="Arial"/>
          <w:spacing w:val="-3"/>
        </w:rPr>
        <w:t>n</w:t>
      </w:r>
      <w:r w:rsidRPr="00EB2D7F">
        <w:rPr>
          <w:rFonts w:ascii="Arial" w:eastAsia="Arial" w:hAnsi="Arial" w:cs="Arial"/>
          <w:spacing w:val="2"/>
        </w:rPr>
        <w:t>g</w:t>
      </w:r>
      <w:r w:rsidRPr="00EB2D7F">
        <w:rPr>
          <w:rFonts w:ascii="Arial" w:eastAsia="Arial" w:hAnsi="Arial" w:cs="Arial"/>
        </w:rPr>
        <w:t>e</w:t>
      </w:r>
      <w:r w:rsidRPr="00EB2D7F">
        <w:rPr>
          <w:rFonts w:ascii="Arial" w:eastAsia="Arial" w:hAnsi="Arial" w:cs="Arial"/>
          <w:spacing w:val="3"/>
        </w:rPr>
        <w:t xml:space="preserve"> </w:t>
      </w:r>
      <w:r w:rsidRPr="00EB2D7F">
        <w:rPr>
          <w:rFonts w:ascii="Arial" w:eastAsia="Arial" w:hAnsi="Arial" w:cs="Arial"/>
        </w:rPr>
        <w:t>a</w:t>
      </w:r>
      <w:r w:rsidRPr="00EB2D7F">
        <w:rPr>
          <w:rFonts w:ascii="Arial" w:eastAsia="Arial" w:hAnsi="Arial" w:cs="Arial"/>
          <w:spacing w:val="-1"/>
        </w:rPr>
        <w:t>n</w:t>
      </w:r>
      <w:r w:rsidRPr="00EB2D7F">
        <w:rPr>
          <w:rFonts w:ascii="Arial" w:eastAsia="Arial" w:hAnsi="Arial" w:cs="Arial"/>
        </w:rPr>
        <w:t>d</w:t>
      </w:r>
      <w:r w:rsidRPr="00EB2D7F">
        <w:rPr>
          <w:rFonts w:ascii="Arial" w:eastAsia="Arial" w:hAnsi="Arial" w:cs="Arial"/>
          <w:spacing w:val="3"/>
        </w:rPr>
        <w:t xml:space="preserve"> </w:t>
      </w:r>
      <w:r w:rsidRPr="00EB2D7F">
        <w:rPr>
          <w:rFonts w:ascii="Arial" w:eastAsia="Arial" w:hAnsi="Arial" w:cs="Arial"/>
        </w:rPr>
        <w:t>a</w:t>
      </w:r>
      <w:r w:rsidRPr="00EB2D7F">
        <w:rPr>
          <w:rFonts w:ascii="Arial" w:eastAsia="Arial" w:hAnsi="Arial" w:cs="Arial"/>
          <w:spacing w:val="3"/>
        </w:rPr>
        <w:t xml:space="preserve"> </w:t>
      </w:r>
      <w:r w:rsidRPr="00EB2D7F">
        <w:rPr>
          <w:rFonts w:ascii="Arial" w:eastAsia="Arial" w:hAnsi="Arial" w:cs="Arial"/>
        </w:rPr>
        <w:t>co</w:t>
      </w:r>
      <w:r w:rsidRPr="00EB2D7F">
        <w:rPr>
          <w:rFonts w:ascii="Arial" w:eastAsia="Arial" w:hAnsi="Arial" w:cs="Arial"/>
          <w:spacing w:val="-2"/>
        </w:rPr>
        <w:t>m</w:t>
      </w:r>
      <w:r w:rsidRPr="00EB2D7F">
        <w:rPr>
          <w:rFonts w:ascii="Arial" w:eastAsia="Arial" w:hAnsi="Arial" w:cs="Arial"/>
          <w:spacing w:val="1"/>
        </w:rPr>
        <w:t>m</w:t>
      </w:r>
      <w:r w:rsidRPr="00EB2D7F">
        <w:rPr>
          <w:rFonts w:ascii="Arial" w:eastAsia="Arial" w:hAnsi="Arial" w:cs="Arial"/>
          <w:spacing w:val="-1"/>
        </w:rPr>
        <w:t>it</w:t>
      </w:r>
      <w:r w:rsidRPr="00EB2D7F">
        <w:rPr>
          <w:rFonts w:ascii="Arial" w:eastAsia="Arial" w:hAnsi="Arial" w:cs="Arial"/>
          <w:spacing w:val="1"/>
        </w:rPr>
        <w:t>m</w:t>
      </w:r>
      <w:r w:rsidRPr="00EB2D7F">
        <w:rPr>
          <w:rFonts w:ascii="Arial" w:eastAsia="Arial" w:hAnsi="Arial" w:cs="Arial"/>
        </w:rPr>
        <w:t>e</w:t>
      </w:r>
      <w:r w:rsidRPr="00EB2D7F">
        <w:rPr>
          <w:rFonts w:ascii="Arial" w:eastAsia="Arial" w:hAnsi="Arial" w:cs="Arial"/>
          <w:spacing w:val="-1"/>
        </w:rPr>
        <w:t>n</w:t>
      </w:r>
      <w:r w:rsidRPr="00EB2D7F">
        <w:rPr>
          <w:rFonts w:ascii="Arial" w:eastAsia="Arial" w:hAnsi="Arial" w:cs="Arial"/>
        </w:rPr>
        <w:t>t</w:t>
      </w:r>
      <w:r w:rsidRPr="00EB2D7F">
        <w:rPr>
          <w:rFonts w:ascii="Arial" w:eastAsia="Arial" w:hAnsi="Arial" w:cs="Arial"/>
          <w:spacing w:val="2"/>
        </w:rPr>
        <w:t xml:space="preserve"> </w:t>
      </w:r>
      <w:r w:rsidRPr="00EB2D7F">
        <w:rPr>
          <w:rFonts w:ascii="Arial" w:eastAsia="Arial" w:hAnsi="Arial" w:cs="Arial"/>
          <w:spacing w:val="-1"/>
        </w:rPr>
        <w:t>t</w:t>
      </w:r>
      <w:r w:rsidRPr="00EB2D7F">
        <w:rPr>
          <w:rFonts w:ascii="Arial" w:eastAsia="Arial" w:hAnsi="Arial" w:cs="Arial"/>
        </w:rPr>
        <w:t>o</w:t>
      </w:r>
      <w:r w:rsidRPr="00EB2D7F">
        <w:rPr>
          <w:rFonts w:ascii="Arial" w:eastAsia="Arial" w:hAnsi="Arial" w:cs="Arial"/>
          <w:spacing w:val="3"/>
        </w:rPr>
        <w:t xml:space="preserve"> f</w:t>
      </w:r>
      <w:r w:rsidRPr="00EB2D7F">
        <w:rPr>
          <w:rFonts w:ascii="Arial" w:eastAsia="Arial" w:hAnsi="Arial" w:cs="Arial"/>
        </w:rPr>
        <w:t>u</w:t>
      </w:r>
      <w:r w:rsidRPr="00EB2D7F">
        <w:rPr>
          <w:rFonts w:ascii="Arial" w:eastAsia="Arial" w:hAnsi="Arial" w:cs="Arial"/>
          <w:spacing w:val="-4"/>
        </w:rPr>
        <w:t>l</w:t>
      </w:r>
      <w:r w:rsidRPr="00EB2D7F">
        <w:rPr>
          <w:rFonts w:ascii="Arial" w:eastAsia="Arial" w:hAnsi="Arial" w:cs="Arial"/>
          <w:spacing w:val="3"/>
        </w:rPr>
        <w:t>f</w:t>
      </w:r>
      <w:r w:rsidRPr="00EB2D7F">
        <w:rPr>
          <w:rFonts w:ascii="Arial" w:eastAsia="Arial" w:hAnsi="Arial" w:cs="Arial"/>
          <w:spacing w:val="-1"/>
        </w:rPr>
        <w:t>i</w:t>
      </w:r>
      <w:r w:rsidRPr="00EB2D7F">
        <w:rPr>
          <w:rFonts w:ascii="Arial" w:eastAsia="Arial" w:hAnsi="Arial" w:cs="Arial"/>
        </w:rPr>
        <w:t>l</w:t>
      </w:r>
      <w:r w:rsidRPr="00EB2D7F">
        <w:rPr>
          <w:rFonts w:ascii="Arial" w:eastAsia="Arial" w:hAnsi="Arial" w:cs="Arial"/>
          <w:spacing w:val="2"/>
        </w:rPr>
        <w:t xml:space="preserve"> </w:t>
      </w:r>
      <w:r w:rsidRPr="00EB2D7F">
        <w:rPr>
          <w:rFonts w:ascii="Arial" w:eastAsia="Arial" w:hAnsi="Arial" w:cs="Arial"/>
        </w:rPr>
        <w:t>pr</w:t>
      </w:r>
      <w:r w:rsidRPr="00EB2D7F">
        <w:rPr>
          <w:rFonts w:ascii="Arial" w:eastAsia="Arial" w:hAnsi="Arial" w:cs="Arial"/>
          <w:spacing w:val="-2"/>
        </w:rPr>
        <w:t>o</w:t>
      </w:r>
      <w:r w:rsidRPr="00EB2D7F">
        <w:rPr>
          <w:rFonts w:ascii="Arial" w:eastAsia="Arial" w:hAnsi="Arial" w:cs="Arial"/>
          <w:spacing w:val="1"/>
        </w:rPr>
        <w:t>m</w:t>
      </w:r>
      <w:r w:rsidRPr="00EB2D7F">
        <w:rPr>
          <w:rFonts w:ascii="Arial" w:eastAsia="Arial" w:hAnsi="Arial" w:cs="Arial"/>
          <w:spacing w:val="-1"/>
        </w:rPr>
        <w:t>i</w:t>
      </w:r>
      <w:r w:rsidRPr="00EB2D7F">
        <w:rPr>
          <w:rFonts w:ascii="Arial" w:eastAsia="Arial" w:hAnsi="Arial" w:cs="Arial"/>
        </w:rPr>
        <w:t>ses</w:t>
      </w:r>
      <w:r w:rsidRPr="00EB2D7F">
        <w:rPr>
          <w:rFonts w:ascii="Arial" w:eastAsia="Arial" w:hAnsi="Arial" w:cs="Arial"/>
          <w:spacing w:val="3"/>
        </w:rPr>
        <w:t xml:space="preserve"> </w:t>
      </w:r>
      <w:r w:rsidRPr="00EB2D7F">
        <w:rPr>
          <w:rFonts w:ascii="Arial" w:eastAsia="Arial" w:hAnsi="Arial" w:cs="Arial"/>
          <w:spacing w:val="1"/>
        </w:rPr>
        <w:t>m</w:t>
      </w:r>
      <w:r w:rsidRPr="00EB2D7F">
        <w:rPr>
          <w:rFonts w:ascii="Arial" w:eastAsia="Arial" w:hAnsi="Arial" w:cs="Arial"/>
        </w:rPr>
        <w:t>a</w:t>
      </w:r>
      <w:r w:rsidRPr="00EB2D7F">
        <w:rPr>
          <w:rFonts w:ascii="Arial" w:eastAsia="Arial" w:hAnsi="Arial" w:cs="Arial"/>
          <w:spacing w:val="-1"/>
        </w:rPr>
        <w:t>d</w:t>
      </w:r>
      <w:r w:rsidRPr="00EB2D7F">
        <w:rPr>
          <w:rFonts w:ascii="Arial" w:eastAsia="Arial" w:hAnsi="Arial" w:cs="Arial"/>
        </w:rPr>
        <w:t xml:space="preserve">e </w:t>
      </w:r>
      <w:r w:rsidRPr="00EB2D7F">
        <w:rPr>
          <w:rFonts w:ascii="Arial" w:eastAsia="Arial" w:hAnsi="Arial" w:cs="Arial"/>
          <w:spacing w:val="-1"/>
        </w:rPr>
        <w:t>t</w:t>
      </w:r>
      <w:r w:rsidRPr="00EB2D7F">
        <w:rPr>
          <w:rFonts w:ascii="Arial" w:eastAsia="Arial" w:hAnsi="Arial" w:cs="Arial"/>
        </w:rPr>
        <w:t>o</w:t>
      </w:r>
      <w:r w:rsidRPr="00EB2D7F">
        <w:rPr>
          <w:rFonts w:ascii="Arial" w:eastAsia="Arial" w:hAnsi="Arial" w:cs="Arial"/>
          <w:spacing w:val="5"/>
        </w:rPr>
        <w:t xml:space="preserve"> </w:t>
      </w:r>
      <w:r w:rsidRPr="00EB2D7F">
        <w:rPr>
          <w:rFonts w:ascii="Arial" w:eastAsia="Arial" w:hAnsi="Arial" w:cs="Arial"/>
          <w:spacing w:val="1"/>
        </w:rPr>
        <w:t>t</w:t>
      </w:r>
      <w:r w:rsidRPr="00EB2D7F">
        <w:rPr>
          <w:rFonts w:ascii="Arial" w:eastAsia="Arial" w:hAnsi="Arial" w:cs="Arial"/>
        </w:rPr>
        <w:t>he</w:t>
      </w:r>
      <w:r w:rsidRPr="00EB2D7F">
        <w:rPr>
          <w:rFonts w:ascii="Arial" w:eastAsia="Arial" w:hAnsi="Arial" w:cs="Arial"/>
          <w:spacing w:val="2"/>
        </w:rPr>
        <w:t xml:space="preserve"> </w:t>
      </w:r>
      <w:r w:rsidRPr="00EB2D7F">
        <w:rPr>
          <w:rFonts w:ascii="Arial" w:eastAsia="Arial" w:hAnsi="Arial" w:cs="Arial"/>
        </w:rPr>
        <w:t>p</w:t>
      </w:r>
      <w:r w:rsidRPr="00EB2D7F">
        <w:rPr>
          <w:rFonts w:ascii="Arial" w:eastAsia="Arial" w:hAnsi="Arial" w:cs="Arial"/>
          <w:spacing w:val="-1"/>
        </w:rPr>
        <w:t>u</w:t>
      </w:r>
      <w:r w:rsidRPr="00EB2D7F">
        <w:rPr>
          <w:rFonts w:ascii="Arial" w:eastAsia="Arial" w:hAnsi="Arial" w:cs="Arial"/>
        </w:rPr>
        <w:t>b</w:t>
      </w:r>
      <w:r w:rsidRPr="00EB2D7F">
        <w:rPr>
          <w:rFonts w:ascii="Arial" w:eastAsia="Arial" w:hAnsi="Arial" w:cs="Arial"/>
          <w:spacing w:val="-1"/>
        </w:rPr>
        <w:t>li</w:t>
      </w:r>
      <w:r w:rsidRPr="00EB2D7F">
        <w:rPr>
          <w:rFonts w:ascii="Arial" w:eastAsia="Arial" w:hAnsi="Arial" w:cs="Arial"/>
        </w:rPr>
        <w:t>c</w:t>
      </w:r>
      <w:r w:rsidRPr="00EB2D7F">
        <w:rPr>
          <w:rFonts w:ascii="Arial" w:eastAsia="Arial" w:hAnsi="Arial" w:cs="Arial"/>
          <w:spacing w:val="3"/>
        </w:rPr>
        <w:t xml:space="preserve"> </w:t>
      </w:r>
      <w:r w:rsidRPr="00EB2D7F">
        <w:rPr>
          <w:rFonts w:ascii="Arial" w:eastAsia="Arial" w:hAnsi="Arial" w:cs="Arial"/>
          <w:spacing w:val="1"/>
        </w:rPr>
        <w:t>t</w:t>
      </w:r>
      <w:r w:rsidRPr="00EB2D7F">
        <w:rPr>
          <w:rFonts w:ascii="Arial" w:eastAsia="Arial" w:hAnsi="Arial" w:cs="Arial"/>
        </w:rPr>
        <w:t>o d</w:t>
      </w:r>
      <w:r w:rsidRPr="00EB2D7F">
        <w:rPr>
          <w:rFonts w:ascii="Arial" w:eastAsia="Arial" w:hAnsi="Arial" w:cs="Arial"/>
          <w:spacing w:val="-1"/>
        </w:rPr>
        <w:t>el</w:t>
      </w:r>
      <w:r w:rsidRPr="00EB2D7F">
        <w:rPr>
          <w:rFonts w:ascii="Arial" w:eastAsia="Arial" w:hAnsi="Arial" w:cs="Arial"/>
          <w:spacing w:val="1"/>
        </w:rPr>
        <w:t>i</w:t>
      </w:r>
      <w:r w:rsidRPr="00EB2D7F">
        <w:rPr>
          <w:rFonts w:ascii="Arial" w:eastAsia="Arial" w:hAnsi="Arial" w:cs="Arial"/>
          <w:spacing w:val="-2"/>
        </w:rPr>
        <w:t>v</w:t>
      </w:r>
      <w:r w:rsidRPr="00EB2D7F">
        <w:rPr>
          <w:rFonts w:ascii="Arial" w:eastAsia="Arial" w:hAnsi="Arial" w:cs="Arial"/>
        </w:rPr>
        <w:t>er</w:t>
      </w:r>
      <w:r w:rsidRPr="00EB2D7F">
        <w:rPr>
          <w:rFonts w:ascii="Arial" w:eastAsia="Arial" w:hAnsi="Arial" w:cs="Arial"/>
          <w:spacing w:val="2"/>
        </w:rPr>
        <w:t xml:space="preserve"> </w:t>
      </w:r>
      <w:r w:rsidRPr="00EB2D7F">
        <w:rPr>
          <w:rFonts w:ascii="Arial" w:eastAsia="Arial" w:hAnsi="Arial" w:cs="Arial"/>
        </w:rPr>
        <w:t>an</w:t>
      </w:r>
      <w:r w:rsidRPr="00EB2D7F">
        <w:rPr>
          <w:rFonts w:ascii="Arial" w:eastAsia="Arial" w:hAnsi="Arial" w:cs="Arial"/>
          <w:spacing w:val="-2"/>
        </w:rPr>
        <w:t xml:space="preserve"> </w:t>
      </w:r>
      <w:r w:rsidRPr="00EB2D7F">
        <w:rPr>
          <w:rFonts w:ascii="Arial" w:eastAsia="Arial" w:hAnsi="Arial" w:cs="Arial"/>
          <w:spacing w:val="-3"/>
        </w:rPr>
        <w:t>e</w:t>
      </w:r>
      <w:r w:rsidRPr="00EB2D7F">
        <w:rPr>
          <w:rFonts w:ascii="Arial" w:eastAsia="Arial" w:hAnsi="Arial" w:cs="Arial"/>
          <w:spacing w:val="1"/>
        </w:rPr>
        <w:t>ff</w:t>
      </w:r>
      <w:r w:rsidRPr="00EB2D7F">
        <w:rPr>
          <w:rFonts w:ascii="Arial" w:eastAsia="Arial" w:hAnsi="Arial" w:cs="Arial"/>
        </w:rPr>
        <w:t>ecti</w:t>
      </w:r>
      <w:r w:rsidRPr="00EB2D7F">
        <w:rPr>
          <w:rFonts w:ascii="Arial" w:eastAsia="Arial" w:hAnsi="Arial" w:cs="Arial"/>
          <w:spacing w:val="-3"/>
        </w:rPr>
        <w:t>v</w:t>
      </w:r>
      <w:r w:rsidRPr="00EB2D7F">
        <w:rPr>
          <w:rFonts w:ascii="Arial" w:eastAsia="Arial" w:hAnsi="Arial" w:cs="Arial"/>
        </w:rPr>
        <w:t>e po</w:t>
      </w:r>
      <w:r w:rsidRPr="00EB2D7F">
        <w:rPr>
          <w:rFonts w:ascii="Arial" w:eastAsia="Arial" w:hAnsi="Arial" w:cs="Arial"/>
          <w:spacing w:val="-1"/>
        </w:rPr>
        <w:t>li</w:t>
      </w:r>
      <w:r w:rsidRPr="00EB2D7F">
        <w:rPr>
          <w:rFonts w:ascii="Arial" w:eastAsia="Arial" w:hAnsi="Arial" w:cs="Arial"/>
        </w:rPr>
        <w:t>ce se</w:t>
      </w:r>
      <w:r w:rsidRPr="00EB2D7F">
        <w:rPr>
          <w:rFonts w:ascii="Arial" w:eastAsia="Arial" w:hAnsi="Arial" w:cs="Arial"/>
          <w:spacing w:val="1"/>
        </w:rPr>
        <w:t>r</w:t>
      </w:r>
      <w:r w:rsidRPr="00EB2D7F">
        <w:rPr>
          <w:rFonts w:ascii="Arial" w:eastAsia="Arial" w:hAnsi="Arial" w:cs="Arial"/>
          <w:spacing w:val="-2"/>
        </w:rPr>
        <w:t>v</w:t>
      </w:r>
      <w:r w:rsidRPr="00EB2D7F">
        <w:rPr>
          <w:rFonts w:ascii="Arial" w:eastAsia="Arial" w:hAnsi="Arial" w:cs="Arial"/>
          <w:spacing w:val="-1"/>
        </w:rPr>
        <w:t>i</w:t>
      </w:r>
      <w:r w:rsidRPr="00EB2D7F">
        <w:rPr>
          <w:rFonts w:ascii="Arial" w:eastAsia="Arial" w:hAnsi="Arial" w:cs="Arial"/>
        </w:rPr>
        <w:t>ce.</w:t>
      </w:r>
      <w:r w:rsidRPr="00EB2D7F">
        <w:rPr>
          <w:rFonts w:ascii="Arial" w:eastAsia="Arial" w:hAnsi="Arial" w:cs="Arial"/>
          <w:spacing w:val="57"/>
        </w:rPr>
        <w:t xml:space="preserve"> </w:t>
      </w:r>
      <w:r w:rsidRPr="00EB2D7F">
        <w:rPr>
          <w:rFonts w:ascii="Arial" w:eastAsia="Arial" w:hAnsi="Arial" w:cs="Arial"/>
          <w:spacing w:val="2"/>
        </w:rPr>
        <w:t>T</w:t>
      </w:r>
      <w:r w:rsidRPr="00EB2D7F">
        <w:rPr>
          <w:rFonts w:ascii="Arial" w:eastAsia="Arial" w:hAnsi="Arial" w:cs="Arial"/>
        </w:rPr>
        <w:t>he</w:t>
      </w:r>
      <w:r w:rsidRPr="00EB2D7F">
        <w:rPr>
          <w:rFonts w:ascii="Arial" w:eastAsia="Arial" w:hAnsi="Arial" w:cs="Arial"/>
          <w:spacing w:val="1"/>
        </w:rPr>
        <w:t xml:space="preserve"> </w:t>
      </w:r>
      <w:r w:rsidRPr="00EB2D7F">
        <w:rPr>
          <w:rFonts w:ascii="Arial" w:eastAsia="Arial" w:hAnsi="Arial" w:cs="Arial"/>
          <w:spacing w:val="-3"/>
        </w:rPr>
        <w:t>p</w:t>
      </w:r>
      <w:r w:rsidRPr="00EB2D7F">
        <w:rPr>
          <w:rFonts w:ascii="Arial" w:eastAsia="Arial" w:hAnsi="Arial" w:cs="Arial"/>
          <w:spacing w:val="1"/>
        </w:rPr>
        <w:t>r</w:t>
      </w:r>
      <w:r w:rsidRPr="00EB2D7F">
        <w:rPr>
          <w:rFonts w:ascii="Arial" w:eastAsia="Arial" w:hAnsi="Arial" w:cs="Arial"/>
          <w:spacing w:val="-3"/>
        </w:rPr>
        <w:t>o</w:t>
      </w:r>
      <w:r w:rsidRPr="00EB2D7F">
        <w:rPr>
          <w:rFonts w:ascii="Arial" w:eastAsia="Arial" w:hAnsi="Arial" w:cs="Arial"/>
          <w:spacing w:val="2"/>
        </w:rPr>
        <w:t>g</w:t>
      </w:r>
      <w:r w:rsidRPr="00EB2D7F">
        <w:rPr>
          <w:rFonts w:ascii="Arial" w:eastAsia="Arial" w:hAnsi="Arial" w:cs="Arial"/>
          <w:spacing w:val="1"/>
        </w:rPr>
        <w:t>r</w:t>
      </w:r>
      <w:r w:rsidRPr="00EB2D7F">
        <w:rPr>
          <w:rFonts w:ascii="Arial" w:eastAsia="Arial" w:hAnsi="Arial" w:cs="Arial"/>
          <w:spacing w:val="-3"/>
        </w:rPr>
        <w:t>a</w:t>
      </w:r>
      <w:r w:rsidRPr="00EB2D7F">
        <w:rPr>
          <w:rFonts w:ascii="Arial" w:eastAsia="Arial" w:hAnsi="Arial" w:cs="Arial"/>
          <w:spacing w:val="-2"/>
        </w:rPr>
        <w:t>m</w:t>
      </w:r>
      <w:r w:rsidRPr="00EB2D7F">
        <w:rPr>
          <w:rFonts w:ascii="Arial" w:eastAsia="Arial" w:hAnsi="Arial" w:cs="Arial"/>
          <w:spacing w:val="1"/>
        </w:rPr>
        <w:t>m</w:t>
      </w:r>
      <w:r w:rsidRPr="00EB2D7F">
        <w:rPr>
          <w:rFonts w:ascii="Arial" w:eastAsia="Arial" w:hAnsi="Arial" w:cs="Arial"/>
        </w:rPr>
        <w:t>e bo</w:t>
      </w:r>
      <w:r w:rsidRPr="00EB2D7F">
        <w:rPr>
          <w:rFonts w:ascii="Arial" w:eastAsia="Arial" w:hAnsi="Arial" w:cs="Arial"/>
          <w:spacing w:val="-3"/>
        </w:rPr>
        <w:t>a</w:t>
      </w:r>
      <w:r w:rsidRPr="00EB2D7F">
        <w:rPr>
          <w:rFonts w:ascii="Arial" w:eastAsia="Arial" w:hAnsi="Arial" w:cs="Arial"/>
          <w:spacing w:val="1"/>
        </w:rPr>
        <w:t>r</w:t>
      </w:r>
      <w:r w:rsidRPr="00EB2D7F">
        <w:rPr>
          <w:rFonts w:ascii="Arial" w:eastAsia="Arial" w:hAnsi="Arial" w:cs="Arial"/>
        </w:rPr>
        <w:t>d</w:t>
      </w:r>
      <w:r w:rsidRPr="00EB2D7F">
        <w:rPr>
          <w:rFonts w:ascii="Arial" w:eastAsia="Arial" w:hAnsi="Arial" w:cs="Arial"/>
          <w:spacing w:val="-2"/>
        </w:rPr>
        <w:t xml:space="preserve"> </w:t>
      </w:r>
      <w:r w:rsidRPr="00EB2D7F">
        <w:rPr>
          <w:rFonts w:ascii="Arial" w:eastAsia="Arial" w:hAnsi="Arial" w:cs="Arial"/>
        </w:rPr>
        <w:t>o</w:t>
      </w:r>
      <w:r w:rsidRPr="00EB2D7F">
        <w:rPr>
          <w:rFonts w:ascii="Arial" w:eastAsia="Arial" w:hAnsi="Arial" w:cs="Arial"/>
          <w:spacing w:val="-3"/>
        </w:rPr>
        <w:t>v</w:t>
      </w:r>
      <w:r w:rsidRPr="00EB2D7F">
        <w:rPr>
          <w:rFonts w:ascii="Arial" w:eastAsia="Arial" w:hAnsi="Arial" w:cs="Arial"/>
        </w:rPr>
        <w:t>ersee</w:t>
      </w:r>
      <w:r w:rsidRPr="00EB2D7F">
        <w:rPr>
          <w:rFonts w:ascii="Arial" w:eastAsia="Arial" w:hAnsi="Arial" w:cs="Arial"/>
          <w:spacing w:val="-1"/>
        </w:rPr>
        <w:t>i</w:t>
      </w:r>
      <w:r w:rsidRPr="00EB2D7F">
        <w:rPr>
          <w:rFonts w:ascii="Arial" w:eastAsia="Arial" w:hAnsi="Arial" w:cs="Arial"/>
        </w:rPr>
        <w:t>ng</w:t>
      </w:r>
      <w:r w:rsidRPr="00EB2D7F">
        <w:rPr>
          <w:rFonts w:ascii="Arial" w:eastAsia="Arial" w:hAnsi="Arial" w:cs="Arial"/>
          <w:spacing w:val="-2"/>
        </w:rPr>
        <w:t xml:space="preserve"> </w:t>
      </w:r>
      <w:r w:rsidRPr="00EB2D7F">
        <w:rPr>
          <w:rFonts w:ascii="Arial" w:eastAsia="Arial" w:hAnsi="Arial" w:cs="Arial"/>
          <w:spacing w:val="1"/>
        </w:rPr>
        <w:t>t</w:t>
      </w:r>
      <w:r w:rsidRPr="00EB2D7F">
        <w:rPr>
          <w:rFonts w:ascii="Arial" w:eastAsia="Arial" w:hAnsi="Arial" w:cs="Arial"/>
        </w:rPr>
        <w:t>he</w:t>
      </w:r>
      <w:r w:rsidRPr="00EB2D7F">
        <w:rPr>
          <w:rFonts w:ascii="Arial" w:eastAsia="Arial" w:hAnsi="Arial" w:cs="Arial"/>
          <w:spacing w:val="-2"/>
        </w:rPr>
        <w:t xml:space="preserve"> </w:t>
      </w:r>
      <w:r w:rsidRPr="00EB2D7F">
        <w:rPr>
          <w:rFonts w:ascii="Arial" w:eastAsia="Arial" w:hAnsi="Arial" w:cs="Arial"/>
          <w:spacing w:val="-1"/>
        </w:rPr>
        <w:t>i</w:t>
      </w:r>
      <w:r w:rsidRPr="00EB2D7F">
        <w:rPr>
          <w:rFonts w:ascii="Arial" w:eastAsia="Arial" w:hAnsi="Arial" w:cs="Arial"/>
          <w:spacing w:val="1"/>
        </w:rPr>
        <w:t>m</w:t>
      </w:r>
      <w:r w:rsidRPr="00EB2D7F">
        <w:rPr>
          <w:rFonts w:ascii="Arial" w:eastAsia="Arial" w:hAnsi="Arial" w:cs="Arial"/>
        </w:rPr>
        <w:t>p</w:t>
      </w:r>
      <w:r w:rsidRPr="00EB2D7F">
        <w:rPr>
          <w:rFonts w:ascii="Arial" w:eastAsia="Arial" w:hAnsi="Arial" w:cs="Arial"/>
          <w:spacing w:val="-1"/>
        </w:rPr>
        <w:t>l</w:t>
      </w:r>
      <w:r w:rsidRPr="00EB2D7F">
        <w:rPr>
          <w:rFonts w:ascii="Arial" w:eastAsia="Arial" w:hAnsi="Arial" w:cs="Arial"/>
        </w:rPr>
        <w:t>eme</w:t>
      </w:r>
      <w:r w:rsidRPr="00EB2D7F">
        <w:rPr>
          <w:rFonts w:ascii="Arial" w:eastAsia="Arial" w:hAnsi="Arial" w:cs="Arial"/>
          <w:spacing w:val="-3"/>
        </w:rPr>
        <w:t>n</w:t>
      </w:r>
      <w:r w:rsidRPr="00EB2D7F">
        <w:rPr>
          <w:rFonts w:ascii="Arial" w:eastAsia="Arial" w:hAnsi="Arial" w:cs="Arial"/>
          <w:spacing w:val="1"/>
        </w:rPr>
        <w:t>t</w:t>
      </w:r>
      <w:r w:rsidRPr="00EB2D7F">
        <w:rPr>
          <w:rFonts w:ascii="Arial" w:eastAsia="Arial" w:hAnsi="Arial" w:cs="Arial"/>
        </w:rPr>
        <w:t>ati</w:t>
      </w:r>
      <w:r w:rsidRPr="00EB2D7F">
        <w:rPr>
          <w:rFonts w:ascii="Arial" w:eastAsia="Arial" w:hAnsi="Arial" w:cs="Arial"/>
          <w:spacing w:val="-1"/>
        </w:rPr>
        <w:t>o</w:t>
      </w:r>
      <w:r w:rsidRPr="00EB2D7F">
        <w:rPr>
          <w:rFonts w:ascii="Arial" w:eastAsia="Arial" w:hAnsi="Arial" w:cs="Arial"/>
        </w:rPr>
        <w:t>n bri</w:t>
      </w:r>
      <w:r w:rsidRPr="00EB2D7F">
        <w:rPr>
          <w:rFonts w:ascii="Arial" w:eastAsia="Arial" w:hAnsi="Arial" w:cs="Arial"/>
          <w:spacing w:val="-3"/>
        </w:rPr>
        <w:t>n</w:t>
      </w:r>
      <w:r w:rsidRPr="00EB2D7F">
        <w:rPr>
          <w:rFonts w:ascii="Arial" w:eastAsia="Arial" w:hAnsi="Arial" w:cs="Arial"/>
          <w:spacing w:val="2"/>
        </w:rPr>
        <w:t>g</w:t>
      </w:r>
      <w:r w:rsidRPr="00EB2D7F">
        <w:rPr>
          <w:rFonts w:ascii="Arial" w:eastAsia="Arial" w:hAnsi="Arial" w:cs="Arial"/>
        </w:rPr>
        <w:t>s</w:t>
      </w:r>
      <w:r w:rsidRPr="00EB2D7F">
        <w:rPr>
          <w:rFonts w:ascii="Arial" w:eastAsia="Arial" w:hAnsi="Arial" w:cs="Arial"/>
          <w:spacing w:val="-11"/>
        </w:rPr>
        <w:t xml:space="preserve"> </w:t>
      </w:r>
      <w:r w:rsidRPr="00EB2D7F">
        <w:rPr>
          <w:rFonts w:ascii="Arial" w:eastAsia="Arial" w:hAnsi="Arial" w:cs="Arial"/>
          <w:spacing w:val="3"/>
        </w:rPr>
        <w:t>f</w:t>
      </w:r>
      <w:r w:rsidRPr="00EB2D7F">
        <w:rPr>
          <w:rFonts w:ascii="Arial" w:eastAsia="Arial" w:hAnsi="Arial" w:cs="Arial"/>
          <w:spacing w:val="-3"/>
        </w:rPr>
        <w:t>o</w:t>
      </w:r>
      <w:r w:rsidRPr="00EB2D7F">
        <w:rPr>
          <w:rFonts w:ascii="Arial" w:eastAsia="Arial" w:hAnsi="Arial" w:cs="Arial"/>
          <w:spacing w:val="1"/>
        </w:rPr>
        <w:t>r</w:t>
      </w:r>
      <w:r w:rsidRPr="00EB2D7F">
        <w:rPr>
          <w:rFonts w:ascii="Arial" w:eastAsia="Arial" w:hAnsi="Arial" w:cs="Arial"/>
          <w:spacing w:val="-3"/>
        </w:rPr>
        <w:t>w</w:t>
      </w:r>
      <w:r w:rsidRPr="00EB2D7F">
        <w:rPr>
          <w:rFonts w:ascii="Arial" w:eastAsia="Arial" w:hAnsi="Arial" w:cs="Arial"/>
          <w:spacing w:val="2"/>
        </w:rPr>
        <w:t>a</w:t>
      </w:r>
      <w:r w:rsidRPr="00EB2D7F">
        <w:rPr>
          <w:rFonts w:ascii="Arial" w:eastAsia="Arial" w:hAnsi="Arial" w:cs="Arial"/>
          <w:spacing w:val="1"/>
        </w:rPr>
        <w:t>r</w:t>
      </w:r>
      <w:r w:rsidRPr="00EB2D7F">
        <w:rPr>
          <w:rFonts w:ascii="Arial" w:eastAsia="Arial" w:hAnsi="Arial" w:cs="Arial"/>
        </w:rPr>
        <w:t>d</w:t>
      </w:r>
      <w:r w:rsidRPr="00EB2D7F">
        <w:rPr>
          <w:rFonts w:ascii="Arial" w:eastAsia="Arial" w:hAnsi="Arial" w:cs="Arial"/>
          <w:spacing w:val="-6"/>
        </w:rPr>
        <w:t xml:space="preserve"> </w:t>
      </w:r>
      <w:r w:rsidRPr="00EB2D7F">
        <w:rPr>
          <w:rFonts w:ascii="Arial" w:eastAsia="Arial" w:hAnsi="Arial" w:cs="Arial"/>
        </w:rPr>
        <w:t>ch</w:t>
      </w:r>
      <w:r w:rsidRPr="00EB2D7F">
        <w:rPr>
          <w:rFonts w:ascii="Arial" w:eastAsia="Arial" w:hAnsi="Arial" w:cs="Arial"/>
          <w:spacing w:val="-1"/>
        </w:rPr>
        <w:t>a</w:t>
      </w:r>
      <w:r w:rsidRPr="00EB2D7F">
        <w:rPr>
          <w:rFonts w:ascii="Arial" w:eastAsia="Arial" w:hAnsi="Arial" w:cs="Arial"/>
          <w:spacing w:val="-3"/>
        </w:rPr>
        <w:t>n</w:t>
      </w:r>
      <w:r w:rsidRPr="00EB2D7F">
        <w:rPr>
          <w:rFonts w:ascii="Arial" w:eastAsia="Arial" w:hAnsi="Arial" w:cs="Arial"/>
          <w:spacing w:val="2"/>
        </w:rPr>
        <w:t>g</w:t>
      </w:r>
      <w:r w:rsidRPr="00EB2D7F">
        <w:rPr>
          <w:rFonts w:ascii="Arial" w:eastAsia="Arial" w:hAnsi="Arial" w:cs="Arial"/>
        </w:rPr>
        <w:t>e</w:t>
      </w:r>
      <w:r w:rsidRPr="00EB2D7F">
        <w:rPr>
          <w:rFonts w:ascii="Arial" w:eastAsia="Arial" w:hAnsi="Arial" w:cs="Arial"/>
          <w:spacing w:val="-9"/>
        </w:rPr>
        <w:t xml:space="preserve"> </w:t>
      </w:r>
      <w:r w:rsidRPr="00EB2D7F">
        <w:rPr>
          <w:rFonts w:ascii="Arial" w:eastAsia="Arial" w:hAnsi="Arial" w:cs="Arial"/>
          <w:spacing w:val="-3"/>
        </w:rPr>
        <w:t>p</w:t>
      </w:r>
      <w:r w:rsidRPr="00EB2D7F">
        <w:rPr>
          <w:rFonts w:ascii="Arial" w:eastAsia="Arial" w:hAnsi="Arial" w:cs="Arial"/>
          <w:spacing w:val="1"/>
        </w:rPr>
        <w:t>r</w:t>
      </w:r>
      <w:r w:rsidRPr="00EB2D7F">
        <w:rPr>
          <w:rFonts w:ascii="Arial" w:eastAsia="Arial" w:hAnsi="Arial" w:cs="Arial"/>
        </w:rPr>
        <w:t>o</w:t>
      </w:r>
      <w:r w:rsidRPr="00EB2D7F">
        <w:rPr>
          <w:rFonts w:ascii="Arial" w:eastAsia="Arial" w:hAnsi="Arial" w:cs="Arial"/>
          <w:spacing w:val="-1"/>
        </w:rPr>
        <w:t>p</w:t>
      </w:r>
      <w:r w:rsidRPr="00EB2D7F">
        <w:rPr>
          <w:rFonts w:ascii="Arial" w:eastAsia="Arial" w:hAnsi="Arial" w:cs="Arial"/>
        </w:rPr>
        <w:t>os</w:t>
      </w:r>
      <w:r w:rsidRPr="00EB2D7F">
        <w:rPr>
          <w:rFonts w:ascii="Arial" w:eastAsia="Arial" w:hAnsi="Arial" w:cs="Arial"/>
          <w:spacing w:val="-1"/>
        </w:rPr>
        <w:t>al</w:t>
      </w:r>
      <w:r w:rsidRPr="00EB2D7F">
        <w:rPr>
          <w:rFonts w:ascii="Arial" w:eastAsia="Arial" w:hAnsi="Arial" w:cs="Arial"/>
        </w:rPr>
        <w:t>s</w:t>
      </w:r>
      <w:r w:rsidRPr="00EB2D7F">
        <w:rPr>
          <w:rFonts w:ascii="Arial" w:eastAsia="Arial" w:hAnsi="Arial" w:cs="Arial"/>
          <w:spacing w:val="-6"/>
        </w:rPr>
        <w:t xml:space="preserve"> </w:t>
      </w:r>
      <w:r w:rsidRPr="00EB2D7F">
        <w:rPr>
          <w:rFonts w:ascii="Arial" w:eastAsia="Arial" w:hAnsi="Arial" w:cs="Arial"/>
          <w:spacing w:val="-3"/>
        </w:rPr>
        <w:t>w</w:t>
      </w:r>
      <w:r w:rsidRPr="00EB2D7F">
        <w:rPr>
          <w:rFonts w:ascii="Arial" w:eastAsia="Arial" w:hAnsi="Arial" w:cs="Arial"/>
          <w:spacing w:val="-1"/>
        </w:rPr>
        <w:t>i</w:t>
      </w:r>
      <w:r w:rsidRPr="00EB2D7F">
        <w:rPr>
          <w:rFonts w:ascii="Arial" w:eastAsia="Arial" w:hAnsi="Arial" w:cs="Arial"/>
          <w:spacing w:val="1"/>
        </w:rPr>
        <w:t>t</w:t>
      </w:r>
      <w:r w:rsidRPr="00EB2D7F">
        <w:rPr>
          <w:rFonts w:ascii="Arial" w:eastAsia="Arial" w:hAnsi="Arial" w:cs="Arial"/>
        </w:rPr>
        <w:t>h</w:t>
      </w:r>
      <w:r w:rsidRPr="00EB2D7F">
        <w:rPr>
          <w:rFonts w:ascii="Arial" w:eastAsia="Arial" w:hAnsi="Arial" w:cs="Arial"/>
          <w:spacing w:val="-6"/>
        </w:rPr>
        <w:t xml:space="preserve"> </w:t>
      </w:r>
      <w:r w:rsidRPr="00EB2D7F">
        <w:rPr>
          <w:rFonts w:ascii="Arial" w:eastAsia="Arial" w:hAnsi="Arial" w:cs="Arial"/>
        </w:rPr>
        <w:t>co</w:t>
      </w:r>
      <w:r w:rsidRPr="00EB2D7F">
        <w:rPr>
          <w:rFonts w:ascii="Arial" w:eastAsia="Arial" w:hAnsi="Arial" w:cs="Arial"/>
          <w:spacing w:val="-3"/>
        </w:rPr>
        <w:t>s</w:t>
      </w:r>
      <w:r w:rsidRPr="00EB2D7F">
        <w:rPr>
          <w:rFonts w:ascii="Arial" w:eastAsia="Arial" w:hAnsi="Arial" w:cs="Arial"/>
        </w:rPr>
        <w:t>t</w:t>
      </w:r>
      <w:r w:rsidRPr="00EB2D7F">
        <w:rPr>
          <w:rFonts w:ascii="Arial" w:eastAsia="Arial" w:hAnsi="Arial" w:cs="Arial"/>
          <w:spacing w:val="-5"/>
        </w:rPr>
        <w:t xml:space="preserve"> </w:t>
      </w:r>
      <w:r w:rsidRPr="00EB2D7F">
        <w:rPr>
          <w:rFonts w:ascii="Arial" w:eastAsia="Arial" w:hAnsi="Arial" w:cs="Arial"/>
          <w:spacing w:val="-3"/>
        </w:rPr>
        <w:t>i</w:t>
      </w:r>
      <w:r w:rsidRPr="00EB2D7F">
        <w:rPr>
          <w:rFonts w:ascii="Arial" w:eastAsia="Arial" w:hAnsi="Arial" w:cs="Arial"/>
          <w:spacing w:val="1"/>
        </w:rPr>
        <w:t>m</w:t>
      </w:r>
      <w:r w:rsidRPr="00EB2D7F">
        <w:rPr>
          <w:rFonts w:ascii="Arial" w:eastAsia="Arial" w:hAnsi="Arial" w:cs="Arial"/>
        </w:rPr>
        <w:t>p</w:t>
      </w:r>
      <w:r w:rsidRPr="00EB2D7F">
        <w:rPr>
          <w:rFonts w:ascii="Arial" w:eastAsia="Arial" w:hAnsi="Arial" w:cs="Arial"/>
          <w:spacing w:val="-1"/>
        </w:rPr>
        <w:t>li</w:t>
      </w:r>
      <w:r w:rsidRPr="00EB2D7F">
        <w:rPr>
          <w:rFonts w:ascii="Arial" w:eastAsia="Arial" w:hAnsi="Arial" w:cs="Arial"/>
        </w:rPr>
        <w:t>cati</w:t>
      </w:r>
      <w:r w:rsidRPr="00EB2D7F">
        <w:rPr>
          <w:rFonts w:ascii="Arial" w:eastAsia="Arial" w:hAnsi="Arial" w:cs="Arial"/>
          <w:spacing w:val="-1"/>
        </w:rPr>
        <w:t>o</w:t>
      </w:r>
      <w:r w:rsidRPr="00EB2D7F">
        <w:rPr>
          <w:rFonts w:ascii="Arial" w:eastAsia="Arial" w:hAnsi="Arial" w:cs="Arial"/>
        </w:rPr>
        <w:t>ns</w:t>
      </w:r>
      <w:r w:rsidRPr="00EB2D7F">
        <w:rPr>
          <w:rFonts w:ascii="Arial" w:eastAsia="Arial" w:hAnsi="Arial" w:cs="Arial"/>
          <w:spacing w:val="-9"/>
        </w:rPr>
        <w:t xml:space="preserve"> </w:t>
      </w:r>
      <w:r w:rsidRPr="00EB2D7F">
        <w:rPr>
          <w:rFonts w:ascii="Arial" w:eastAsia="Arial" w:hAnsi="Arial" w:cs="Arial"/>
          <w:spacing w:val="1"/>
        </w:rPr>
        <w:t>t</w:t>
      </w:r>
      <w:r w:rsidRPr="00EB2D7F">
        <w:rPr>
          <w:rFonts w:ascii="Arial" w:eastAsia="Arial" w:hAnsi="Arial" w:cs="Arial"/>
        </w:rPr>
        <w:t>h</w:t>
      </w:r>
      <w:r w:rsidRPr="00EB2D7F">
        <w:rPr>
          <w:rFonts w:ascii="Arial" w:eastAsia="Arial" w:hAnsi="Arial" w:cs="Arial"/>
          <w:spacing w:val="-1"/>
        </w:rPr>
        <w:t>a</w:t>
      </w:r>
      <w:r w:rsidRPr="00EB2D7F">
        <w:rPr>
          <w:rFonts w:ascii="Arial" w:eastAsia="Arial" w:hAnsi="Arial" w:cs="Arial"/>
        </w:rPr>
        <w:t>t</w:t>
      </w:r>
      <w:r w:rsidRPr="00EB2D7F">
        <w:rPr>
          <w:rFonts w:ascii="Arial" w:eastAsia="Arial" w:hAnsi="Arial" w:cs="Arial"/>
          <w:spacing w:val="-7"/>
        </w:rPr>
        <w:t xml:space="preserve"> </w:t>
      </w:r>
      <w:r w:rsidRPr="00EB2D7F">
        <w:rPr>
          <w:rFonts w:ascii="Arial" w:eastAsia="Arial" w:hAnsi="Arial" w:cs="Arial"/>
          <w:spacing w:val="1"/>
        </w:rPr>
        <w:t>r</w:t>
      </w:r>
      <w:r w:rsidRPr="00EB2D7F">
        <w:rPr>
          <w:rFonts w:ascii="Arial" w:eastAsia="Arial" w:hAnsi="Arial" w:cs="Arial"/>
          <w:spacing w:val="-3"/>
        </w:rPr>
        <w:t>eq</w:t>
      </w:r>
      <w:r w:rsidRPr="00EB2D7F">
        <w:rPr>
          <w:rFonts w:ascii="Arial" w:eastAsia="Arial" w:hAnsi="Arial" w:cs="Arial"/>
        </w:rPr>
        <w:t>u</w:t>
      </w:r>
      <w:r w:rsidRPr="00EB2D7F">
        <w:rPr>
          <w:rFonts w:ascii="Arial" w:eastAsia="Arial" w:hAnsi="Arial" w:cs="Arial"/>
          <w:spacing w:val="-1"/>
        </w:rPr>
        <w:t>i</w:t>
      </w:r>
      <w:r w:rsidRPr="00EB2D7F">
        <w:rPr>
          <w:rFonts w:ascii="Arial" w:eastAsia="Arial" w:hAnsi="Arial" w:cs="Arial"/>
          <w:spacing w:val="1"/>
        </w:rPr>
        <w:t>r</w:t>
      </w:r>
      <w:r w:rsidRPr="00EB2D7F">
        <w:rPr>
          <w:rFonts w:ascii="Arial" w:eastAsia="Arial" w:hAnsi="Arial" w:cs="Arial"/>
          <w:spacing w:val="5"/>
        </w:rPr>
        <w:t>e</w:t>
      </w:r>
      <w:r w:rsidRPr="00EB2D7F">
        <w:rPr>
          <w:rFonts w:ascii="Arial" w:eastAsia="Arial" w:hAnsi="Arial" w:cs="Arial"/>
        </w:rPr>
        <w:t>s</w:t>
      </w:r>
      <w:r w:rsidRPr="00EB2D7F">
        <w:rPr>
          <w:rFonts w:ascii="Arial" w:eastAsia="Arial" w:hAnsi="Arial" w:cs="Arial"/>
          <w:spacing w:val="-8"/>
        </w:rPr>
        <w:t xml:space="preserve"> </w:t>
      </w:r>
      <w:r w:rsidRPr="00EB2D7F">
        <w:rPr>
          <w:rFonts w:ascii="Arial" w:eastAsia="Arial" w:hAnsi="Arial" w:cs="Arial"/>
          <w:spacing w:val="1"/>
        </w:rPr>
        <w:t>r</w:t>
      </w:r>
      <w:r w:rsidRPr="00EB2D7F">
        <w:rPr>
          <w:rFonts w:ascii="Arial" w:eastAsia="Arial" w:hAnsi="Arial" w:cs="Arial"/>
        </w:rPr>
        <w:t>e</w:t>
      </w:r>
      <w:r w:rsidRPr="00EB2D7F">
        <w:rPr>
          <w:rFonts w:ascii="Arial" w:eastAsia="Arial" w:hAnsi="Arial" w:cs="Arial"/>
          <w:spacing w:val="-3"/>
        </w:rPr>
        <w:t>v</w:t>
      </w:r>
      <w:r w:rsidRPr="00EB2D7F">
        <w:rPr>
          <w:rFonts w:ascii="Arial" w:eastAsia="Arial" w:hAnsi="Arial" w:cs="Arial"/>
        </w:rPr>
        <w:t>e</w:t>
      </w:r>
      <w:r w:rsidRPr="00EB2D7F">
        <w:rPr>
          <w:rFonts w:ascii="Arial" w:eastAsia="Arial" w:hAnsi="Arial" w:cs="Arial"/>
          <w:spacing w:val="-1"/>
        </w:rPr>
        <w:t>n</w:t>
      </w:r>
      <w:r w:rsidRPr="00EB2D7F">
        <w:rPr>
          <w:rFonts w:ascii="Arial" w:eastAsia="Arial" w:hAnsi="Arial" w:cs="Arial"/>
        </w:rPr>
        <w:t>ue a</w:t>
      </w:r>
      <w:r w:rsidRPr="00EB2D7F">
        <w:rPr>
          <w:rFonts w:ascii="Arial" w:eastAsia="Arial" w:hAnsi="Arial" w:cs="Arial"/>
          <w:spacing w:val="-1"/>
        </w:rPr>
        <w:t>n</w:t>
      </w:r>
      <w:r w:rsidRPr="00EB2D7F">
        <w:rPr>
          <w:rFonts w:ascii="Arial" w:eastAsia="Arial" w:hAnsi="Arial" w:cs="Arial"/>
        </w:rPr>
        <w:t>d</w:t>
      </w:r>
      <w:r w:rsidRPr="00EB2D7F">
        <w:rPr>
          <w:rFonts w:ascii="Arial" w:eastAsia="Arial" w:hAnsi="Arial" w:cs="Arial"/>
          <w:spacing w:val="4"/>
        </w:rPr>
        <w:t xml:space="preserve"> </w:t>
      </w:r>
      <w:r w:rsidRPr="00EB2D7F">
        <w:rPr>
          <w:rFonts w:ascii="Arial" w:eastAsia="Arial" w:hAnsi="Arial" w:cs="Arial"/>
        </w:rPr>
        <w:t>ca</w:t>
      </w:r>
      <w:r w:rsidRPr="00EB2D7F">
        <w:rPr>
          <w:rFonts w:ascii="Arial" w:eastAsia="Arial" w:hAnsi="Arial" w:cs="Arial"/>
          <w:spacing w:val="-1"/>
        </w:rPr>
        <w:t>pi</w:t>
      </w:r>
      <w:r w:rsidRPr="00EB2D7F">
        <w:rPr>
          <w:rFonts w:ascii="Arial" w:eastAsia="Arial" w:hAnsi="Arial" w:cs="Arial"/>
          <w:spacing w:val="1"/>
        </w:rPr>
        <w:t>t</w:t>
      </w:r>
      <w:r w:rsidRPr="00EB2D7F">
        <w:rPr>
          <w:rFonts w:ascii="Arial" w:eastAsia="Arial" w:hAnsi="Arial" w:cs="Arial"/>
        </w:rPr>
        <w:t>al</w:t>
      </w:r>
      <w:r w:rsidRPr="00EB2D7F">
        <w:rPr>
          <w:rFonts w:ascii="Arial" w:eastAsia="Arial" w:hAnsi="Arial" w:cs="Arial"/>
          <w:spacing w:val="3"/>
        </w:rPr>
        <w:t xml:space="preserve"> </w:t>
      </w:r>
      <w:r w:rsidRPr="00EB2D7F">
        <w:rPr>
          <w:rFonts w:ascii="Arial" w:eastAsia="Arial" w:hAnsi="Arial" w:cs="Arial"/>
          <w:spacing w:val="-1"/>
        </w:rPr>
        <w:t>i</w:t>
      </w:r>
      <w:r w:rsidRPr="00EB2D7F">
        <w:rPr>
          <w:rFonts w:ascii="Arial" w:eastAsia="Arial" w:hAnsi="Arial" w:cs="Arial"/>
        </w:rPr>
        <w:t>n</w:t>
      </w:r>
      <w:r w:rsidRPr="00EB2D7F">
        <w:rPr>
          <w:rFonts w:ascii="Arial" w:eastAsia="Arial" w:hAnsi="Arial" w:cs="Arial"/>
          <w:spacing w:val="-3"/>
        </w:rPr>
        <w:t>v</w:t>
      </w:r>
      <w:r w:rsidRPr="00EB2D7F">
        <w:rPr>
          <w:rFonts w:ascii="Arial" w:eastAsia="Arial" w:hAnsi="Arial" w:cs="Arial"/>
        </w:rPr>
        <w:t>est</w:t>
      </w:r>
      <w:r w:rsidRPr="00EB2D7F">
        <w:rPr>
          <w:rFonts w:ascii="Arial" w:eastAsia="Arial" w:hAnsi="Arial" w:cs="Arial"/>
          <w:spacing w:val="-1"/>
        </w:rPr>
        <w:t>m</w:t>
      </w:r>
      <w:r w:rsidRPr="00EB2D7F">
        <w:rPr>
          <w:rFonts w:ascii="Arial" w:eastAsia="Arial" w:hAnsi="Arial" w:cs="Arial"/>
        </w:rPr>
        <w:t>e</w:t>
      </w:r>
      <w:r w:rsidRPr="00EB2D7F">
        <w:rPr>
          <w:rFonts w:ascii="Arial" w:eastAsia="Arial" w:hAnsi="Arial" w:cs="Arial"/>
          <w:spacing w:val="-1"/>
        </w:rPr>
        <w:t>n</w:t>
      </w:r>
      <w:r w:rsidRPr="00EB2D7F">
        <w:rPr>
          <w:rFonts w:ascii="Arial" w:eastAsia="Arial" w:hAnsi="Arial" w:cs="Arial"/>
        </w:rPr>
        <w:t>t</w:t>
      </w:r>
      <w:r w:rsidRPr="00EB2D7F">
        <w:rPr>
          <w:rFonts w:ascii="Arial" w:eastAsia="Arial" w:hAnsi="Arial" w:cs="Arial"/>
          <w:spacing w:val="1"/>
        </w:rPr>
        <w:t xml:space="preserve"> </w:t>
      </w:r>
      <w:r w:rsidRPr="00EB2D7F">
        <w:rPr>
          <w:rFonts w:ascii="Arial" w:eastAsia="Arial" w:hAnsi="Arial" w:cs="Arial"/>
        </w:rPr>
        <w:t>o</w:t>
      </w:r>
      <w:r w:rsidRPr="00EB2D7F">
        <w:rPr>
          <w:rFonts w:ascii="Arial" w:eastAsia="Arial" w:hAnsi="Arial" w:cs="Arial"/>
          <w:spacing w:val="-3"/>
        </w:rPr>
        <w:t>v</w:t>
      </w:r>
      <w:r w:rsidRPr="00EB2D7F">
        <w:rPr>
          <w:rFonts w:ascii="Arial" w:eastAsia="Arial" w:hAnsi="Arial" w:cs="Arial"/>
        </w:rPr>
        <w:t>er</w:t>
      </w:r>
      <w:r w:rsidRPr="00EB2D7F">
        <w:rPr>
          <w:rFonts w:ascii="Arial" w:eastAsia="Arial" w:hAnsi="Arial" w:cs="Arial"/>
          <w:spacing w:val="5"/>
        </w:rPr>
        <w:t xml:space="preserve"> </w:t>
      </w:r>
      <w:r w:rsidRPr="00EB2D7F">
        <w:rPr>
          <w:rFonts w:ascii="Arial" w:eastAsia="Arial" w:hAnsi="Arial" w:cs="Arial"/>
          <w:spacing w:val="1"/>
        </w:rPr>
        <w:t>t</w:t>
      </w:r>
      <w:r w:rsidRPr="00EB2D7F">
        <w:rPr>
          <w:rFonts w:ascii="Arial" w:eastAsia="Arial" w:hAnsi="Arial" w:cs="Arial"/>
        </w:rPr>
        <w:t>he</w:t>
      </w:r>
      <w:r w:rsidRPr="00EB2D7F">
        <w:rPr>
          <w:rFonts w:ascii="Arial" w:eastAsia="Arial" w:hAnsi="Arial" w:cs="Arial"/>
          <w:spacing w:val="1"/>
        </w:rPr>
        <w:t xml:space="preserve"> m</w:t>
      </w:r>
      <w:r w:rsidRPr="00EB2D7F">
        <w:rPr>
          <w:rFonts w:ascii="Arial" w:eastAsia="Arial" w:hAnsi="Arial" w:cs="Arial"/>
        </w:rPr>
        <w:t>e</w:t>
      </w:r>
      <w:r w:rsidRPr="00EB2D7F">
        <w:rPr>
          <w:rFonts w:ascii="Arial" w:eastAsia="Arial" w:hAnsi="Arial" w:cs="Arial"/>
          <w:spacing w:val="-1"/>
        </w:rPr>
        <w:t>di</w:t>
      </w:r>
      <w:r w:rsidRPr="00EB2D7F">
        <w:rPr>
          <w:rFonts w:ascii="Arial" w:eastAsia="Arial" w:hAnsi="Arial" w:cs="Arial"/>
        </w:rPr>
        <w:t xml:space="preserve">um </w:t>
      </w:r>
      <w:r w:rsidRPr="00EB2D7F">
        <w:rPr>
          <w:rFonts w:ascii="Arial" w:eastAsia="Arial" w:hAnsi="Arial" w:cs="Arial"/>
          <w:spacing w:val="1"/>
        </w:rPr>
        <w:t>t</w:t>
      </w:r>
      <w:r w:rsidRPr="00EB2D7F">
        <w:rPr>
          <w:rFonts w:ascii="Arial" w:eastAsia="Arial" w:hAnsi="Arial" w:cs="Arial"/>
        </w:rPr>
        <w:t>e</w:t>
      </w:r>
      <w:r w:rsidRPr="00EB2D7F">
        <w:rPr>
          <w:rFonts w:ascii="Arial" w:eastAsia="Arial" w:hAnsi="Arial" w:cs="Arial"/>
          <w:spacing w:val="-2"/>
        </w:rPr>
        <w:t>r</w:t>
      </w:r>
      <w:r w:rsidRPr="00EB2D7F">
        <w:rPr>
          <w:rFonts w:ascii="Arial" w:eastAsia="Arial" w:hAnsi="Arial" w:cs="Arial"/>
          <w:spacing w:val="1"/>
        </w:rPr>
        <w:t>m</w:t>
      </w:r>
      <w:r w:rsidRPr="00EB2D7F">
        <w:rPr>
          <w:rFonts w:ascii="Arial" w:eastAsia="Arial" w:hAnsi="Arial" w:cs="Arial"/>
        </w:rPr>
        <w:t xml:space="preserve">. </w:t>
      </w:r>
      <w:r w:rsidRPr="00EB2D7F">
        <w:rPr>
          <w:rFonts w:ascii="Arial" w:eastAsia="Arial" w:hAnsi="Arial" w:cs="Arial"/>
          <w:spacing w:val="2"/>
        </w:rPr>
        <w:t>T</w:t>
      </w:r>
      <w:r w:rsidRPr="00EB2D7F">
        <w:rPr>
          <w:rFonts w:ascii="Arial" w:eastAsia="Arial" w:hAnsi="Arial" w:cs="Arial"/>
        </w:rPr>
        <w:t>h</w:t>
      </w:r>
      <w:r w:rsidRPr="00EB2D7F">
        <w:rPr>
          <w:rFonts w:ascii="Arial" w:eastAsia="Arial" w:hAnsi="Arial" w:cs="Arial"/>
          <w:spacing w:val="-1"/>
        </w:rPr>
        <w:t>e</w:t>
      </w:r>
      <w:r w:rsidRPr="00EB2D7F">
        <w:rPr>
          <w:rFonts w:ascii="Arial" w:eastAsia="Arial" w:hAnsi="Arial" w:cs="Arial"/>
          <w:spacing w:val="1"/>
        </w:rPr>
        <w:t>r</w:t>
      </w:r>
      <w:r w:rsidRPr="00EB2D7F">
        <w:rPr>
          <w:rFonts w:ascii="Arial" w:eastAsia="Arial" w:hAnsi="Arial" w:cs="Arial"/>
        </w:rPr>
        <w:t>e</w:t>
      </w:r>
      <w:r w:rsidRPr="00EB2D7F">
        <w:rPr>
          <w:rFonts w:ascii="Arial" w:eastAsia="Arial" w:hAnsi="Arial" w:cs="Arial"/>
          <w:spacing w:val="2"/>
        </w:rPr>
        <w:t xml:space="preserve"> </w:t>
      </w:r>
      <w:r w:rsidRPr="00EB2D7F">
        <w:rPr>
          <w:rFonts w:ascii="Arial" w:eastAsia="Arial" w:hAnsi="Arial" w:cs="Arial"/>
          <w:spacing w:val="-3"/>
        </w:rPr>
        <w:t>w</w:t>
      </w:r>
      <w:r w:rsidRPr="00EB2D7F">
        <w:rPr>
          <w:rFonts w:ascii="Arial" w:eastAsia="Arial" w:hAnsi="Arial" w:cs="Arial"/>
          <w:spacing w:val="-1"/>
        </w:rPr>
        <w:t>il</w:t>
      </w:r>
      <w:r w:rsidRPr="00EB2D7F">
        <w:rPr>
          <w:rFonts w:ascii="Arial" w:eastAsia="Arial" w:hAnsi="Arial" w:cs="Arial"/>
        </w:rPr>
        <w:t>l</w:t>
      </w:r>
      <w:r w:rsidRPr="00EB2D7F">
        <w:rPr>
          <w:rFonts w:ascii="Arial" w:eastAsia="Arial" w:hAnsi="Arial" w:cs="Arial"/>
          <w:spacing w:val="3"/>
        </w:rPr>
        <w:t xml:space="preserve"> </w:t>
      </w:r>
      <w:r w:rsidRPr="00EB2D7F">
        <w:rPr>
          <w:rFonts w:ascii="Arial" w:eastAsia="Arial" w:hAnsi="Arial" w:cs="Arial"/>
        </w:rPr>
        <w:t>be</w:t>
      </w:r>
      <w:r w:rsidRPr="00EB2D7F">
        <w:rPr>
          <w:rFonts w:ascii="Arial" w:eastAsia="Arial" w:hAnsi="Arial" w:cs="Arial"/>
          <w:spacing w:val="4"/>
        </w:rPr>
        <w:t xml:space="preserve"> </w:t>
      </w:r>
      <w:r w:rsidRPr="00EB2D7F">
        <w:rPr>
          <w:rFonts w:ascii="Arial" w:eastAsia="Arial" w:hAnsi="Arial" w:cs="Arial"/>
        </w:rPr>
        <w:t>a</w:t>
      </w:r>
      <w:r w:rsidRPr="00EB2D7F">
        <w:rPr>
          <w:rFonts w:ascii="Arial" w:eastAsia="Arial" w:hAnsi="Arial" w:cs="Arial"/>
          <w:spacing w:val="4"/>
        </w:rPr>
        <w:t xml:space="preserve"> </w:t>
      </w:r>
      <w:r w:rsidRPr="00EB2D7F">
        <w:rPr>
          <w:rFonts w:ascii="Arial" w:eastAsia="Arial" w:hAnsi="Arial" w:cs="Arial"/>
        </w:rPr>
        <w:t>n</w:t>
      </w:r>
      <w:r w:rsidRPr="00EB2D7F">
        <w:rPr>
          <w:rFonts w:ascii="Arial" w:eastAsia="Arial" w:hAnsi="Arial" w:cs="Arial"/>
          <w:spacing w:val="-1"/>
        </w:rPr>
        <w:t>e</w:t>
      </w:r>
      <w:r w:rsidRPr="00EB2D7F">
        <w:rPr>
          <w:rFonts w:ascii="Arial" w:eastAsia="Arial" w:hAnsi="Arial" w:cs="Arial"/>
        </w:rPr>
        <w:t>ed</w:t>
      </w:r>
      <w:r w:rsidRPr="00EB2D7F">
        <w:rPr>
          <w:rFonts w:ascii="Arial" w:eastAsia="Arial" w:hAnsi="Arial" w:cs="Arial"/>
          <w:spacing w:val="1"/>
        </w:rPr>
        <w:t xml:space="preserve"> </w:t>
      </w:r>
      <w:r w:rsidRPr="00EB2D7F">
        <w:rPr>
          <w:rFonts w:ascii="Arial" w:eastAsia="Arial" w:hAnsi="Arial" w:cs="Arial"/>
          <w:spacing w:val="-1"/>
        </w:rPr>
        <w:t>t</w:t>
      </w:r>
      <w:r w:rsidRPr="00EB2D7F">
        <w:rPr>
          <w:rFonts w:ascii="Arial" w:eastAsia="Arial" w:hAnsi="Arial" w:cs="Arial"/>
        </w:rPr>
        <w:t>o</w:t>
      </w:r>
      <w:r w:rsidRPr="00EB2D7F">
        <w:rPr>
          <w:rFonts w:ascii="Arial" w:eastAsia="Arial" w:hAnsi="Arial" w:cs="Arial"/>
          <w:spacing w:val="4"/>
        </w:rPr>
        <w:t xml:space="preserve"> </w:t>
      </w:r>
      <w:r w:rsidRPr="00EB2D7F">
        <w:rPr>
          <w:rFonts w:ascii="Arial" w:eastAsia="Arial" w:hAnsi="Arial" w:cs="Arial"/>
        </w:rPr>
        <w:t>e</w:t>
      </w:r>
      <w:r w:rsidRPr="00EB2D7F">
        <w:rPr>
          <w:rFonts w:ascii="Arial" w:eastAsia="Arial" w:hAnsi="Arial" w:cs="Arial"/>
          <w:spacing w:val="-1"/>
        </w:rPr>
        <w:t>n</w:t>
      </w:r>
      <w:r w:rsidRPr="00EB2D7F">
        <w:rPr>
          <w:rFonts w:ascii="Arial" w:eastAsia="Arial" w:hAnsi="Arial" w:cs="Arial"/>
        </w:rPr>
        <w:t xml:space="preserve">sure </w:t>
      </w:r>
      <w:r w:rsidRPr="00EB2D7F">
        <w:rPr>
          <w:rFonts w:ascii="Arial" w:eastAsia="Arial" w:hAnsi="Arial" w:cs="Arial"/>
          <w:spacing w:val="1"/>
        </w:rPr>
        <w:t>t</w:t>
      </w:r>
      <w:r w:rsidRPr="00EB2D7F">
        <w:rPr>
          <w:rFonts w:ascii="Arial" w:eastAsia="Arial" w:hAnsi="Arial" w:cs="Arial"/>
        </w:rPr>
        <w:t>h</w:t>
      </w:r>
      <w:r w:rsidRPr="00EB2D7F">
        <w:rPr>
          <w:rFonts w:ascii="Arial" w:eastAsia="Arial" w:hAnsi="Arial" w:cs="Arial"/>
          <w:spacing w:val="-1"/>
        </w:rPr>
        <w:t>i</w:t>
      </w:r>
      <w:r w:rsidRPr="00EB2D7F">
        <w:rPr>
          <w:rFonts w:ascii="Arial" w:eastAsia="Arial" w:hAnsi="Arial" w:cs="Arial"/>
        </w:rPr>
        <w:t>s</w:t>
      </w:r>
      <w:r w:rsidRPr="00EB2D7F">
        <w:rPr>
          <w:rFonts w:ascii="Arial" w:eastAsia="Arial" w:hAnsi="Arial" w:cs="Arial"/>
          <w:spacing w:val="5"/>
        </w:rPr>
        <w:t xml:space="preserve"> </w:t>
      </w:r>
      <w:r w:rsidRPr="00EB2D7F">
        <w:rPr>
          <w:rFonts w:ascii="Arial" w:eastAsia="Arial" w:hAnsi="Arial" w:cs="Arial"/>
          <w:spacing w:val="-1"/>
        </w:rPr>
        <w:t>i</w:t>
      </w:r>
      <w:r w:rsidRPr="00EB2D7F">
        <w:rPr>
          <w:rFonts w:ascii="Arial" w:eastAsia="Arial" w:hAnsi="Arial" w:cs="Arial"/>
        </w:rPr>
        <w:t>s su</w:t>
      </w:r>
      <w:r w:rsidRPr="00EB2D7F">
        <w:rPr>
          <w:rFonts w:ascii="Arial" w:eastAsia="Arial" w:hAnsi="Arial" w:cs="Arial"/>
          <w:spacing w:val="-1"/>
        </w:rPr>
        <w:t>p</w:t>
      </w:r>
      <w:r w:rsidRPr="00EB2D7F">
        <w:rPr>
          <w:rFonts w:ascii="Arial" w:eastAsia="Arial" w:hAnsi="Arial" w:cs="Arial"/>
        </w:rPr>
        <w:t>p</w:t>
      </w:r>
      <w:r w:rsidRPr="00EB2D7F">
        <w:rPr>
          <w:rFonts w:ascii="Arial" w:eastAsia="Arial" w:hAnsi="Arial" w:cs="Arial"/>
          <w:spacing w:val="-1"/>
        </w:rPr>
        <w:t>o</w:t>
      </w:r>
      <w:r w:rsidRPr="00EB2D7F">
        <w:rPr>
          <w:rFonts w:ascii="Arial" w:eastAsia="Arial" w:hAnsi="Arial" w:cs="Arial"/>
          <w:spacing w:val="1"/>
        </w:rPr>
        <w:t>rt</w:t>
      </w:r>
      <w:r w:rsidRPr="00EB2D7F">
        <w:rPr>
          <w:rFonts w:ascii="Arial" w:eastAsia="Arial" w:hAnsi="Arial" w:cs="Arial"/>
        </w:rPr>
        <w:t>ed</w:t>
      </w:r>
      <w:r w:rsidRPr="00EB2D7F">
        <w:rPr>
          <w:rFonts w:ascii="Arial" w:eastAsia="Arial" w:hAnsi="Arial" w:cs="Arial"/>
          <w:spacing w:val="-4"/>
        </w:rPr>
        <w:t xml:space="preserve"> </w:t>
      </w:r>
      <w:r w:rsidRPr="00EB2D7F">
        <w:rPr>
          <w:rFonts w:ascii="Arial" w:eastAsia="Arial" w:hAnsi="Arial" w:cs="Arial"/>
        </w:rPr>
        <w:t>by</w:t>
      </w:r>
      <w:r w:rsidRPr="00EB2D7F">
        <w:rPr>
          <w:rFonts w:ascii="Arial" w:eastAsia="Arial" w:hAnsi="Arial" w:cs="Arial"/>
          <w:spacing w:val="-6"/>
        </w:rPr>
        <w:t xml:space="preserve"> </w:t>
      </w:r>
      <w:r w:rsidRPr="00EB2D7F">
        <w:rPr>
          <w:rFonts w:ascii="Arial" w:eastAsia="Arial" w:hAnsi="Arial" w:cs="Arial"/>
        </w:rPr>
        <w:t>a</w:t>
      </w:r>
      <w:r w:rsidRPr="00EB2D7F">
        <w:rPr>
          <w:rFonts w:ascii="Arial" w:eastAsia="Arial" w:hAnsi="Arial" w:cs="Arial"/>
          <w:spacing w:val="-4"/>
        </w:rPr>
        <w:t xml:space="preserve"> </w:t>
      </w:r>
      <w:r w:rsidRPr="00EB2D7F">
        <w:rPr>
          <w:rFonts w:ascii="Arial" w:eastAsia="Arial" w:hAnsi="Arial" w:cs="Arial"/>
        </w:rPr>
        <w:t>su</w:t>
      </w:r>
      <w:r w:rsidRPr="00EB2D7F">
        <w:rPr>
          <w:rFonts w:ascii="Arial" w:eastAsia="Arial" w:hAnsi="Arial" w:cs="Arial"/>
          <w:spacing w:val="-3"/>
        </w:rPr>
        <w:t>s</w:t>
      </w:r>
      <w:r w:rsidRPr="00EB2D7F">
        <w:rPr>
          <w:rFonts w:ascii="Arial" w:eastAsia="Arial" w:hAnsi="Arial" w:cs="Arial"/>
          <w:spacing w:val="1"/>
        </w:rPr>
        <w:t>t</w:t>
      </w:r>
      <w:r w:rsidRPr="00EB2D7F">
        <w:rPr>
          <w:rFonts w:ascii="Arial" w:eastAsia="Arial" w:hAnsi="Arial" w:cs="Arial"/>
        </w:rPr>
        <w:t>a</w:t>
      </w:r>
      <w:r w:rsidRPr="00EB2D7F">
        <w:rPr>
          <w:rFonts w:ascii="Arial" w:eastAsia="Arial" w:hAnsi="Arial" w:cs="Arial"/>
          <w:spacing w:val="-1"/>
        </w:rPr>
        <w:t>i</w:t>
      </w:r>
      <w:r w:rsidRPr="00EB2D7F">
        <w:rPr>
          <w:rFonts w:ascii="Arial" w:eastAsia="Arial" w:hAnsi="Arial" w:cs="Arial"/>
        </w:rPr>
        <w:t>n</w:t>
      </w:r>
      <w:r w:rsidRPr="00EB2D7F">
        <w:rPr>
          <w:rFonts w:ascii="Arial" w:eastAsia="Arial" w:hAnsi="Arial" w:cs="Arial"/>
          <w:spacing w:val="-1"/>
        </w:rPr>
        <w:t>a</w:t>
      </w:r>
      <w:r w:rsidRPr="00EB2D7F">
        <w:rPr>
          <w:rFonts w:ascii="Arial" w:eastAsia="Arial" w:hAnsi="Arial" w:cs="Arial"/>
          <w:spacing w:val="-3"/>
        </w:rPr>
        <w:t>b</w:t>
      </w:r>
      <w:r w:rsidRPr="00EB2D7F">
        <w:rPr>
          <w:rFonts w:ascii="Arial" w:eastAsia="Arial" w:hAnsi="Arial" w:cs="Arial"/>
          <w:spacing w:val="-1"/>
        </w:rPr>
        <w:t>l</w:t>
      </w:r>
      <w:r w:rsidRPr="00EB2D7F">
        <w:rPr>
          <w:rFonts w:ascii="Arial" w:eastAsia="Arial" w:hAnsi="Arial" w:cs="Arial"/>
        </w:rPr>
        <w:t>e</w:t>
      </w:r>
      <w:r w:rsidRPr="00EB2D7F">
        <w:rPr>
          <w:rFonts w:ascii="Arial" w:eastAsia="Arial" w:hAnsi="Arial" w:cs="Arial"/>
          <w:spacing w:val="-4"/>
        </w:rPr>
        <w:t xml:space="preserve"> </w:t>
      </w:r>
      <w:r w:rsidRPr="00EB2D7F">
        <w:rPr>
          <w:rFonts w:ascii="Arial" w:eastAsia="Arial" w:hAnsi="Arial" w:cs="Arial"/>
          <w:spacing w:val="1"/>
        </w:rPr>
        <w:t>m</w:t>
      </w:r>
      <w:r w:rsidRPr="00EB2D7F">
        <w:rPr>
          <w:rFonts w:ascii="Arial" w:eastAsia="Arial" w:hAnsi="Arial" w:cs="Arial"/>
        </w:rPr>
        <w:t>e</w:t>
      </w:r>
      <w:r w:rsidRPr="00EB2D7F">
        <w:rPr>
          <w:rFonts w:ascii="Arial" w:eastAsia="Arial" w:hAnsi="Arial" w:cs="Arial"/>
          <w:spacing w:val="-1"/>
        </w:rPr>
        <w:t>di</w:t>
      </w:r>
      <w:r w:rsidRPr="00EB2D7F">
        <w:rPr>
          <w:rFonts w:ascii="Arial" w:eastAsia="Arial" w:hAnsi="Arial" w:cs="Arial"/>
        </w:rPr>
        <w:t>um</w:t>
      </w:r>
      <w:r w:rsidRPr="00EB2D7F">
        <w:rPr>
          <w:rFonts w:ascii="Arial" w:eastAsia="Arial" w:hAnsi="Arial" w:cs="Arial"/>
          <w:spacing w:val="-4"/>
        </w:rPr>
        <w:t xml:space="preserve"> </w:t>
      </w:r>
      <w:r w:rsidRPr="00EB2D7F">
        <w:rPr>
          <w:rFonts w:ascii="Arial" w:eastAsia="Arial" w:hAnsi="Arial" w:cs="Arial"/>
          <w:spacing w:val="1"/>
        </w:rPr>
        <w:t>t</w:t>
      </w:r>
      <w:r w:rsidRPr="00EB2D7F">
        <w:rPr>
          <w:rFonts w:ascii="Arial" w:eastAsia="Arial" w:hAnsi="Arial" w:cs="Arial"/>
        </w:rPr>
        <w:t>e</w:t>
      </w:r>
      <w:r w:rsidRPr="00EB2D7F">
        <w:rPr>
          <w:rFonts w:ascii="Arial" w:eastAsia="Arial" w:hAnsi="Arial" w:cs="Arial"/>
          <w:spacing w:val="-2"/>
        </w:rPr>
        <w:t>r</w:t>
      </w:r>
      <w:r w:rsidRPr="00EB2D7F">
        <w:rPr>
          <w:rFonts w:ascii="Arial" w:eastAsia="Arial" w:hAnsi="Arial" w:cs="Arial"/>
        </w:rPr>
        <w:t>m</w:t>
      </w:r>
      <w:r w:rsidRPr="00EB2D7F">
        <w:rPr>
          <w:rFonts w:ascii="Arial" w:eastAsia="Arial" w:hAnsi="Arial" w:cs="Arial"/>
          <w:spacing w:val="-5"/>
        </w:rPr>
        <w:t xml:space="preserve"> </w:t>
      </w:r>
      <w:r w:rsidRPr="00EB2D7F">
        <w:rPr>
          <w:rFonts w:ascii="Arial" w:eastAsia="Arial" w:hAnsi="Arial" w:cs="Arial"/>
          <w:spacing w:val="3"/>
        </w:rPr>
        <w:t>f</w:t>
      </w:r>
      <w:r w:rsidRPr="00EB2D7F">
        <w:rPr>
          <w:rFonts w:ascii="Arial" w:eastAsia="Arial" w:hAnsi="Arial" w:cs="Arial"/>
          <w:spacing w:val="-1"/>
        </w:rPr>
        <w:t>i</w:t>
      </w:r>
      <w:r w:rsidRPr="00EB2D7F">
        <w:rPr>
          <w:rFonts w:ascii="Arial" w:eastAsia="Arial" w:hAnsi="Arial" w:cs="Arial"/>
        </w:rPr>
        <w:t>n</w:t>
      </w:r>
      <w:r w:rsidRPr="00EB2D7F">
        <w:rPr>
          <w:rFonts w:ascii="Arial" w:eastAsia="Arial" w:hAnsi="Arial" w:cs="Arial"/>
          <w:spacing w:val="-1"/>
        </w:rPr>
        <w:t>a</w:t>
      </w:r>
      <w:r w:rsidRPr="00EB2D7F">
        <w:rPr>
          <w:rFonts w:ascii="Arial" w:eastAsia="Arial" w:hAnsi="Arial" w:cs="Arial"/>
        </w:rPr>
        <w:t>nc</w:t>
      </w:r>
      <w:r w:rsidRPr="00EB2D7F">
        <w:rPr>
          <w:rFonts w:ascii="Arial" w:eastAsia="Arial" w:hAnsi="Arial" w:cs="Arial"/>
          <w:spacing w:val="-1"/>
        </w:rPr>
        <w:t>i</w:t>
      </w:r>
      <w:r w:rsidRPr="00EB2D7F">
        <w:rPr>
          <w:rFonts w:ascii="Arial" w:eastAsia="Arial" w:hAnsi="Arial" w:cs="Arial"/>
        </w:rPr>
        <w:t>al</w:t>
      </w:r>
      <w:r w:rsidRPr="00EB2D7F">
        <w:rPr>
          <w:rFonts w:ascii="Arial" w:eastAsia="Arial" w:hAnsi="Arial" w:cs="Arial"/>
          <w:spacing w:val="-7"/>
        </w:rPr>
        <w:t xml:space="preserve"> </w:t>
      </w:r>
      <w:r w:rsidRPr="00EB2D7F">
        <w:rPr>
          <w:rFonts w:ascii="Arial" w:eastAsia="Arial" w:hAnsi="Arial" w:cs="Arial"/>
        </w:rPr>
        <w:t>p</w:t>
      </w:r>
      <w:r w:rsidRPr="00EB2D7F">
        <w:rPr>
          <w:rFonts w:ascii="Arial" w:eastAsia="Arial" w:hAnsi="Arial" w:cs="Arial"/>
          <w:spacing w:val="-1"/>
        </w:rPr>
        <w:t>l</w:t>
      </w:r>
      <w:r w:rsidRPr="00EB2D7F">
        <w:rPr>
          <w:rFonts w:ascii="Arial" w:eastAsia="Arial" w:hAnsi="Arial" w:cs="Arial"/>
        </w:rPr>
        <w:t>an</w:t>
      </w:r>
      <w:r w:rsidRPr="00EB2D7F">
        <w:rPr>
          <w:rFonts w:ascii="Arial" w:eastAsia="Arial" w:hAnsi="Arial" w:cs="Arial"/>
          <w:spacing w:val="-4"/>
        </w:rPr>
        <w:t xml:space="preserve"> </w:t>
      </w:r>
      <w:r w:rsidRPr="00EB2D7F">
        <w:rPr>
          <w:rFonts w:ascii="Arial" w:eastAsia="Arial" w:hAnsi="Arial" w:cs="Arial"/>
          <w:spacing w:val="-1"/>
        </w:rPr>
        <w:t>i</w:t>
      </w:r>
      <w:r w:rsidRPr="00EB2D7F">
        <w:rPr>
          <w:rFonts w:ascii="Arial" w:eastAsia="Arial" w:hAnsi="Arial" w:cs="Arial"/>
        </w:rPr>
        <w:t>nc</w:t>
      </w:r>
      <w:r w:rsidRPr="00EB2D7F">
        <w:rPr>
          <w:rFonts w:ascii="Arial" w:eastAsia="Arial" w:hAnsi="Arial" w:cs="Arial"/>
          <w:spacing w:val="-1"/>
        </w:rPr>
        <w:t>o</w:t>
      </w:r>
      <w:r w:rsidRPr="00EB2D7F">
        <w:rPr>
          <w:rFonts w:ascii="Arial" w:eastAsia="Arial" w:hAnsi="Arial" w:cs="Arial"/>
          <w:spacing w:val="1"/>
        </w:rPr>
        <w:t>r</w:t>
      </w:r>
      <w:r w:rsidRPr="00EB2D7F">
        <w:rPr>
          <w:rFonts w:ascii="Arial" w:eastAsia="Arial" w:hAnsi="Arial" w:cs="Arial"/>
        </w:rPr>
        <w:t>p</w:t>
      </w:r>
      <w:r w:rsidRPr="00EB2D7F">
        <w:rPr>
          <w:rFonts w:ascii="Arial" w:eastAsia="Arial" w:hAnsi="Arial" w:cs="Arial"/>
          <w:spacing w:val="-1"/>
        </w:rPr>
        <w:t>o</w:t>
      </w:r>
      <w:r w:rsidRPr="00EB2D7F">
        <w:rPr>
          <w:rFonts w:ascii="Arial" w:eastAsia="Arial" w:hAnsi="Arial" w:cs="Arial"/>
          <w:spacing w:val="1"/>
        </w:rPr>
        <w:t>r</w:t>
      </w:r>
      <w:r w:rsidRPr="00EB2D7F">
        <w:rPr>
          <w:rFonts w:ascii="Arial" w:eastAsia="Arial" w:hAnsi="Arial" w:cs="Arial"/>
        </w:rPr>
        <w:t>ati</w:t>
      </w:r>
      <w:r w:rsidRPr="00EB2D7F">
        <w:rPr>
          <w:rFonts w:ascii="Arial" w:eastAsia="Arial" w:hAnsi="Arial" w:cs="Arial"/>
          <w:spacing w:val="-3"/>
        </w:rPr>
        <w:t>n</w:t>
      </w:r>
      <w:r w:rsidRPr="00EB2D7F">
        <w:rPr>
          <w:rFonts w:ascii="Arial" w:eastAsia="Arial" w:hAnsi="Arial" w:cs="Arial"/>
        </w:rPr>
        <w:t>g</w:t>
      </w:r>
      <w:r w:rsidRPr="00EB2D7F">
        <w:rPr>
          <w:rFonts w:ascii="Arial" w:eastAsia="Arial" w:hAnsi="Arial" w:cs="Arial"/>
          <w:spacing w:val="-2"/>
        </w:rPr>
        <w:t xml:space="preserve"> </w:t>
      </w:r>
      <w:r w:rsidRPr="00EB2D7F">
        <w:rPr>
          <w:rFonts w:ascii="Arial" w:eastAsia="Arial" w:hAnsi="Arial" w:cs="Arial"/>
        </w:rPr>
        <w:t>use</w:t>
      </w:r>
      <w:r w:rsidRPr="00EB2D7F">
        <w:rPr>
          <w:rFonts w:ascii="Arial" w:eastAsia="Arial" w:hAnsi="Arial" w:cs="Arial"/>
          <w:spacing w:val="-4"/>
        </w:rPr>
        <w:t xml:space="preserve"> </w:t>
      </w:r>
      <w:r w:rsidRPr="00EB2D7F">
        <w:rPr>
          <w:rFonts w:ascii="Arial" w:eastAsia="Arial" w:hAnsi="Arial" w:cs="Arial"/>
          <w:spacing w:val="-3"/>
        </w:rPr>
        <w:t>o</w:t>
      </w:r>
      <w:r w:rsidRPr="00EB2D7F">
        <w:rPr>
          <w:rFonts w:ascii="Arial" w:eastAsia="Arial" w:hAnsi="Arial" w:cs="Arial"/>
        </w:rPr>
        <w:t>f</w:t>
      </w:r>
      <w:r w:rsidRPr="00EB2D7F">
        <w:rPr>
          <w:rFonts w:ascii="Arial" w:eastAsia="Arial" w:hAnsi="Arial" w:cs="Arial"/>
          <w:spacing w:val="-5"/>
        </w:rPr>
        <w:t xml:space="preserve"> </w:t>
      </w:r>
      <w:r w:rsidRPr="00EB2D7F">
        <w:rPr>
          <w:rFonts w:ascii="Arial" w:eastAsia="Arial" w:hAnsi="Arial" w:cs="Arial"/>
        </w:rPr>
        <w:t>n</w:t>
      </w:r>
      <w:r w:rsidRPr="00EB2D7F">
        <w:rPr>
          <w:rFonts w:ascii="Arial" w:eastAsia="Arial" w:hAnsi="Arial" w:cs="Arial"/>
          <w:spacing w:val="-1"/>
        </w:rPr>
        <w:t>o</w:t>
      </w:r>
      <w:r w:rsidRPr="00EB2D7F">
        <w:rPr>
          <w:rFonts w:ascii="Arial" w:eastAsia="Arial" w:hAnsi="Arial" w:cs="Arial"/>
          <w:spacing w:val="1"/>
        </w:rPr>
        <w:t>n-r</w:t>
      </w:r>
      <w:r w:rsidRPr="00EB2D7F">
        <w:rPr>
          <w:rFonts w:ascii="Arial" w:eastAsia="Arial" w:hAnsi="Arial" w:cs="Arial"/>
        </w:rPr>
        <w:t>ec</w:t>
      </w:r>
      <w:r w:rsidRPr="00EB2D7F">
        <w:rPr>
          <w:rFonts w:ascii="Arial" w:eastAsia="Arial" w:hAnsi="Arial" w:cs="Arial"/>
          <w:spacing w:val="-3"/>
        </w:rPr>
        <w:t>u</w:t>
      </w:r>
      <w:r w:rsidRPr="00EB2D7F">
        <w:rPr>
          <w:rFonts w:ascii="Arial" w:eastAsia="Arial" w:hAnsi="Arial" w:cs="Arial"/>
          <w:spacing w:val="1"/>
        </w:rPr>
        <w:t>rr</w:t>
      </w:r>
      <w:r w:rsidRPr="00EB2D7F">
        <w:rPr>
          <w:rFonts w:ascii="Arial" w:eastAsia="Arial" w:hAnsi="Arial" w:cs="Arial"/>
        </w:rPr>
        <w:t>e</w:t>
      </w:r>
      <w:r w:rsidRPr="00EB2D7F">
        <w:rPr>
          <w:rFonts w:ascii="Arial" w:eastAsia="Arial" w:hAnsi="Arial" w:cs="Arial"/>
          <w:spacing w:val="-3"/>
        </w:rPr>
        <w:t>n</w:t>
      </w:r>
      <w:r w:rsidRPr="00EB2D7F">
        <w:rPr>
          <w:rFonts w:ascii="Arial" w:eastAsia="Arial" w:hAnsi="Arial" w:cs="Arial"/>
        </w:rPr>
        <w:t xml:space="preserve">t </w:t>
      </w:r>
      <w:r w:rsidRPr="00EB2D7F">
        <w:rPr>
          <w:rFonts w:ascii="Arial" w:eastAsia="Arial" w:hAnsi="Arial" w:cs="Arial"/>
          <w:spacing w:val="1"/>
        </w:rPr>
        <w:t>r</w:t>
      </w:r>
      <w:r w:rsidRPr="00EB2D7F">
        <w:rPr>
          <w:rFonts w:ascii="Arial" w:eastAsia="Arial" w:hAnsi="Arial" w:cs="Arial"/>
        </w:rPr>
        <w:t>es</w:t>
      </w:r>
      <w:r w:rsidRPr="00EB2D7F">
        <w:rPr>
          <w:rFonts w:ascii="Arial" w:eastAsia="Arial" w:hAnsi="Arial" w:cs="Arial"/>
          <w:spacing w:val="-1"/>
        </w:rPr>
        <w:t>o</w:t>
      </w:r>
      <w:r w:rsidRPr="00EB2D7F">
        <w:rPr>
          <w:rFonts w:ascii="Arial" w:eastAsia="Arial" w:hAnsi="Arial" w:cs="Arial"/>
        </w:rPr>
        <w:t>urces</w:t>
      </w:r>
      <w:r w:rsidRPr="00EB2D7F">
        <w:rPr>
          <w:rFonts w:ascii="Arial" w:eastAsia="Arial" w:hAnsi="Arial" w:cs="Arial"/>
          <w:spacing w:val="-3"/>
        </w:rPr>
        <w:t xml:space="preserve"> </w:t>
      </w:r>
      <w:r w:rsidRPr="00EB2D7F">
        <w:rPr>
          <w:rFonts w:ascii="Arial" w:eastAsia="Arial" w:hAnsi="Arial" w:cs="Arial"/>
        </w:rPr>
        <w:t>a</w:t>
      </w:r>
      <w:r w:rsidRPr="00EB2D7F">
        <w:rPr>
          <w:rFonts w:ascii="Arial" w:eastAsia="Arial" w:hAnsi="Arial" w:cs="Arial"/>
          <w:spacing w:val="-1"/>
        </w:rPr>
        <w:t>n</w:t>
      </w:r>
      <w:r w:rsidRPr="00EB2D7F">
        <w:rPr>
          <w:rFonts w:ascii="Arial" w:eastAsia="Arial" w:hAnsi="Arial" w:cs="Arial"/>
        </w:rPr>
        <w:t>d</w:t>
      </w:r>
      <w:r w:rsidRPr="00EB2D7F">
        <w:rPr>
          <w:rFonts w:ascii="Arial" w:eastAsia="Arial" w:hAnsi="Arial" w:cs="Arial"/>
          <w:spacing w:val="-1"/>
        </w:rPr>
        <w:t xml:space="preserve"> </w:t>
      </w:r>
      <w:r w:rsidRPr="00EB2D7F">
        <w:rPr>
          <w:rFonts w:ascii="Arial" w:eastAsia="Arial" w:hAnsi="Arial" w:cs="Arial"/>
          <w:spacing w:val="-3"/>
        </w:rPr>
        <w:t>e</w:t>
      </w:r>
      <w:r w:rsidRPr="00EB2D7F">
        <w:rPr>
          <w:rFonts w:ascii="Arial" w:eastAsia="Arial" w:hAnsi="Arial" w:cs="Arial"/>
          <w:spacing w:val="1"/>
        </w:rPr>
        <w:t>ff</w:t>
      </w:r>
      <w:r w:rsidRPr="00EB2D7F">
        <w:rPr>
          <w:rFonts w:ascii="Arial" w:eastAsia="Arial" w:hAnsi="Arial" w:cs="Arial"/>
          <w:spacing w:val="-1"/>
        </w:rPr>
        <w:t>i</w:t>
      </w:r>
      <w:r w:rsidRPr="00EB2D7F">
        <w:rPr>
          <w:rFonts w:ascii="Arial" w:eastAsia="Arial" w:hAnsi="Arial" w:cs="Arial"/>
        </w:rPr>
        <w:t>c</w:t>
      </w:r>
      <w:r w:rsidRPr="00EB2D7F">
        <w:rPr>
          <w:rFonts w:ascii="Arial" w:eastAsia="Arial" w:hAnsi="Arial" w:cs="Arial"/>
          <w:spacing w:val="-1"/>
        </w:rPr>
        <w:t>i</w:t>
      </w:r>
      <w:r w:rsidRPr="00EB2D7F">
        <w:rPr>
          <w:rFonts w:ascii="Arial" w:eastAsia="Arial" w:hAnsi="Arial" w:cs="Arial"/>
        </w:rPr>
        <w:t>e</w:t>
      </w:r>
      <w:r w:rsidRPr="00EB2D7F">
        <w:rPr>
          <w:rFonts w:ascii="Arial" w:eastAsia="Arial" w:hAnsi="Arial" w:cs="Arial"/>
          <w:spacing w:val="-1"/>
        </w:rPr>
        <w:t>n</w:t>
      </w:r>
      <w:r w:rsidRPr="00EB2D7F">
        <w:rPr>
          <w:rFonts w:ascii="Arial" w:eastAsia="Arial" w:hAnsi="Arial" w:cs="Arial"/>
        </w:rPr>
        <w:t>cy</w:t>
      </w:r>
      <w:r w:rsidRPr="00EB2D7F">
        <w:rPr>
          <w:rFonts w:ascii="Arial" w:eastAsia="Arial" w:hAnsi="Arial" w:cs="Arial"/>
          <w:spacing w:val="-3"/>
        </w:rPr>
        <w:t xml:space="preserve"> </w:t>
      </w:r>
      <w:r w:rsidRPr="00EB2D7F">
        <w:rPr>
          <w:rFonts w:ascii="Arial" w:eastAsia="Arial" w:hAnsi="Arial" w:cs="Arial"/>
        </w:rPr>
        <w:t>sa</w:t>
      </w:r>
      <w:r w:rsidRPr="00EB2D7F">
        <w:rPr>
          <w:rFonts w:ascii="Arial" w:eastAsia="Arial" w:hAnsi="Arial" w:cs="Arial"/>
          <w:spacing w:val="-3"/>
        </w:rPr>
        <w:t>v</w:t>
      </w:r>
      <w:r w:rsidRPr="00EB2D7F">
        <w:rPr>
          <w:rFonts w:ascii="Arial" w:eastAsia="Arial" w:hAnsi="Arial" w:cs="Arial"/>
          <w:spacing w:val="-1"/>
        </w:rPr>
        <w:t>i</w:t>
      </w:r>
      <w:r w:rsidRPr="00EB2D7F">
        <w:rPr>
          <w:rFonts w:ascii="Arial" w:eastAsia="Arial" w:hAnsi="Arial" w:cs="Arial"/>
        </w:rPr>
        <w:t>n</w:t>
      </w:r>
      <w:r w:rsidRPr="00EB2D7F">
        <w:rPr>
          <w:rFonts w:ascii="Arial" w:eastAsia="Arial" w:hAnsi="Arial" w:cs="Arial"/>
          <w:spacing w:val="2"/>
        </w:rPr>
        <w:t>g</w:t>
      </w:r>
      <w:r w:rsidRPr="00EB2D7F">
        <w:rPr>
          <w:rFonts w:ascii="Arial" w:eastAsia="Arial" w:hAnsi="Arial" w:cs="Arial"/>
        </w:rPr>
        <w:t>s</w:t>
      </w:r>
      <w:r w:rsidRPr="00EB2D7F">
        <w:rPr>
          <w:rFonts w:ascii="Arial" w:eastAsia="Arial" w:hAnsi="Arial" w:cs="Arial"/>
          <w:spacing w:val="-3"/>
        </w:rPr>
        <w:t xml:space="preserve"> </w:t>
      </w:r>
      <w:r w:rsidRPr="00EB2D7F">
        <w:rPr>
          <w:rFonts w:ascii="Arial" w:eastAsia="Arial" w:hAnsi="Arial" w:cs="Arial"/>
          <w:spacing w:val="3"/>
        </w:rPr>
        <w:t>f</w:t>
      </w:r>
      <w:r w:rsidRPr="00EB2D7F">
        <w:rPr>
          <w:rFonts w:ascii="Arial" w:eastAsia="Arial" w:hAnsi="Arial" w:cs="Arial"/>
          <w:spacing w:val="1"/>
        </w:rPr>
        <w:t>r</w:t>
      </w:r>
      <w:r w:rsidRPr="00EB2D7F">
        <w:rPr>
          <w:rFonts w:ascii="Arial" w:eastAsia="Arial" w:hAnsi="Arial" w:cs="Arial"/>
          <w:spacing w:val="-3"/>
        </w:rPr>
        <w:t>o</w:t>
      </w:r>
      <w:r w:rsidRPr="00EB2D7F">
        <w:rPr>
          <w:rFonts w:ascii="Arial" w:eastAsia="Arial" w:hAnsi="Arial" w:cs="Arial"/>
        </w:rPr>
        <w:t xml:space="preserve">m </w:t>
      </w:r>
      <w:r w:rsidRPr="00EB2D7F">
        <w:rPr>
          <w:rFonts w:ascii="Arial" w:eastAsia="Arial" w:hAnsi="Arial" w:cs="Arial"/>
          <w:spacing w:val="-3"/>
        </w:rPr>
        <w:t>w</w:t>
      </w:r>
      <w:r w:rsidRPr="00EB2D7F">
        <w:rPr>
          <w:rFonts w:ascii="Arial" w:eastAsia="Arial" w:hAnsi="Arial" w:cs="Arial"/>
          <w:spacing w:val="-1"/>
        </w:rPr>
        <w:t>i</w:t>
      </w:r>
      <w:r w:rsidRPr="00EB2D7F">
        <w:rPr>
          <w:rFonts w:ascii="Arial" w:eastAsia="Arial" w:hAnsi="Arial" w:cs="Arial"/>
          <w:spacing w:val="1"/>
        </w:rPr>
        <w:t>t</w:t>
      </w:r>
      <w:r w:rsidRPr="00EB2D7F">
        <w:rPr>
          <w:rFonts w:ascii="Arial" w:eastAsia="Arial" w:hAnsi="Arial" w:cs="Arial"/>
        </w:rPr>
        <w:t>h</w:t>
      </w:r>
      <w:r w:rsidRPr="00EB2D7F">
        <w:rPr>
          <w:rFonts w:ascii="Arial" w:eastAsia="Arial" w:hAnsi="Arial" w:cs="Arial"/>
          <w:spacing w:val="-1"/>
        </w:rPr>
        <w:t>i</w:t>
      </w:r>
      <w:r w:rsidRPr="00EB2D7F">
        <w:rPr>
          <w:rFonts w:ascii="Arial" w:eastAsia="Arial" w:hAnsi="Arial" w:cs="Arial"/>
        </w:rPr>
        <w:t>n</w:t>
      </w:r>
      <w:r w:rsidRPr="00EB2D7F">
        <w:rPr>
          <w:rFonts w:ascii="Arial" w:eastAsia="Arial" w:hAnsi="Arial" w:cs="Arial"/>
          <w:spacing w:val="-1"/>
        </w:rPr>
        <w:t xml:space="preserve"> </w:t>
      </w:r>
      <w:r w:rsidRPr="00EB2D7F">
        <w:rPr>
          <w:rFonts w:ascii="Arial" w:eastAsia="Arial" w:hAnsi="Arial" w:cs="Arial"/>
        </w:rPr>
        <w:t>e</w:t>
      </w:r>
      <w:r w:rsidRPr="00EB2D7F">
        <w:rPr>
          <w:rFonts w:ascii="Arial" w:eastAsia="Arial" w:hAnsi="Arial" w:cs="Arial"/>
          <w:spacing w:val="-3"/>
        </w:rPr>
        <w:t>x</w:t>
      </w:r>
      <w:r w:rsidRPr="00EB2D7F">
        <w:rPr>
          <w:rFonts w:ascii="Arial" w:eastAsia="Arial" w:hAnsi="Arial" w:cs="Arial"/>
          <w:spacing w:val="-1"/>
        </w:rPr>
        <w:t>i</w:t>
      </w:r>
      <w:r w:rsidRPr="00EB2D7F">
        <w:rPr>
          <w:rFonts w:ascii="Arial" w:eastAsia="Arial" w:hAnsi="Arial" w:cs="Arial"/>
        </w:rPr>
        <w:t>s</w:t>
      </w:r>
      <w:r w:rsidRPr="00EB2D7F">
        <w:rPr>
          <w:rFonts w:ascii="Arial" w:eastAsia="Arial" w:hAnsi="Arial" w:cs="Arial"/>
          <w:spacing w:val="1"/>
        </w:rPr>
        <w:t>ti</w:t>
      </w:r>
      <w:r w:rsidRPr="00EB2D7F">
        <w:rPr>
          <w:rFonts w:ascii="Arial" w:eastAsia="Arial" w:hAnsi="Arial" w:cs="Arial"/>
        </w:rPr>
        <w:t>ng</w:t>
      </w:r>
      <w:r w:rsidRPr="00EB2D7F">
        <w:rPr>
          <w:rFonts w:ascii="Arial" w:eastAsia="Arial" w:hAnsi="Arial" w:cs="Arial"/>
          <w:spacing w:val="1"/>
        </w:rPr>
        <w:t xml:space="preserve"> </w:t>
      </w:r>
      <w:r w:rsidRPr="00EB2D7F">
        <w:rPr>
          <w:rFonts w:ascii="Arial" w:eastAsia="Arial" w:hAnsi="Arial" w:cs="Arial"/>
        </w:rPr>
        <w:t>b</w:t>
      </w:r>
      <w:r w:rsidRPr="00EB2D7F">
        <w:rPr>
          <w:rFonts w:ascii="Arial" w:eastAsia="Arial" w:hAnsi="Arial" w:cs="Arial"/>
          <w:spacing w:val="-1"/>
        </w:rPr>
        <w:t>u</w:t>
      </w:r>
      <w:r w:rsidRPr="00EB2D7F">
        <w:rPr>
          <w:rFonts w:ascii="Arial" w:eastAsia="Arial" w:hAnsi="Arial" w:cs="Arial"/>
          <w:spacing w:val="-3"/>
        </w:rPr>
        <w:t>d</w:t>
      </w:r>
      <w:r w:rsidRPr="00EB2D7F">
        <w:rPr>
          <w:rFonts w:ascii="Arial" w:eastAsia="Arial" w:hAnsi="Arial" w:cs="Arial"/>
          <w:spacing w:val="2"/>
        </w:rPr>
        <w:t>g</w:t>
      </w:r>
      <w:r w:rsidRPr="00EB2D7F">
        <w:rPr>
          <w:rFonts w:ascii="Arial" w:eastAsia="Arial" w:hAnsi="Arial" w:cs="Arial"/>
          <w:spacing w:val="-3"/>
        </w:rPr>
        <w:t>e</w:t>
      </w:r>
      <w:r w:rsidRPr="00EB2D7F">
        <w:rPr>
          <w:rFonts w:ascii="Arial" w:eastAsia="Arial" w:hAnsi="Arial" w:cs="Arial"/>
          <w:spacing w:val="1"/>
        </w:rPr>
        <w:t>t</w:t>
      </w:r>
      <w:r w:rsidRPr="00EB2D7F">
        <w:rPr>
          <w:rFonts w:ascii="Arial" w:eastAsia="Arial" w:hAnsi="Arial" w:cs="Arial"/>
        </w:rPr>
        <w:t>s</w:t>
      </w:r>
      <w:r w:rsidRPr="00EB2D7F">
        <w:rPr>
          <w:rFonts w:ascii="Arial" w:eastAsia="Arial" w:hAnsi="Arial" w:cs="Arial"/>
          <w:spacing w:val="3"/>
        </w:rPr>
        <w:t xml:space="preserve"> </w:t>
      </w:r>
      <w:r w:rsidRPr="00EB2D7F">
        <w:rPr>
          <w:rFonts w:ascii="Arial" w:eastAsia="Arial" w:hAnsi="Arial" w:cs="Arial"/>
        </w:rPr>
        <w:t>a</w:t>
      </w:r>
      <w:r w:rsidRPr="00EB2D7F">
        <w:rPr>
          <w:rFonts w:ascii="Arial" w:eastAsia="Arial" w:hAnsi="Arial" w:cs="Arial"/>
          <w:spacing w:val="-1"/>
        </w:rPr>
        <w:t>n</w:t>
      </w:r>
      <w:r w:rsidRPr="00EB2D7F">
        <w:rPr>
          <w:rFonts w:ascii="Arial" w:eastAsia="Arial" w:hAnsi="Arial" w:cs="Arial"/>
        </w:rPr>
        <w:t>d</w:t>
      </w:r>
      <w:r w:rsidRPr="00EB2D7F">
        <w:rPr>
          <w:rFonts w:ascii="Arial" w:eastAsia="Arial" w:hAnsi="Arial" w:cs="Arial"/>
          <w:spacing w:val="-4"/>
        </w:rPr>
        <w:t xml:space="preserve"> </w:t>
      </w:r>
      <w:r w:rsidRPr="00EB2D7F">
        <w:rPr>
          <w:rFonts w:ascii="Arial" w:eastAsia="Arial" w:hAnsi="Arial" w:cs="Arial"/>
        </w:rPr>
        <w:t>c</w:t>
      </w:r>
      <w:r w:rsidRPr="00EB2D7F">
        <w:rPr>
          <w:rFonts w:ascii="Arial" w:eastAsia="Arial" w:hAnsi="Arial" w:cs="Arial"/>
          <w:spacing w:val="-1"/>
        </w:rPr>
        <w:t>l</w:t>
      </w:r>
      <w:r w:rsidRPr="00EB2D7F">
        <w:rPr>
          <w:rFonts w:ascii="Arial" w:eastAsia="Arial" w:hAnsi="Arial" w:cs="Arial"/>
        </w:rPr>
        <w:t>e</w:t>
      </w:r>
      <w:r w:rsidRPr="00EB2D7F">
        <w:rPr>
          <w:rFonts w:ascii="Arial" w:eastAsia="Arial" w:hAnsi="Arial" w:cs="Arial"/>
          <w:spacing w:val="-1"/>
        </w:rPr>
        <w:t>a</w:t>
      </w:r>
      <w:r w:rsidRPr="00EB2D7F">
        <w:rPr>
          <w:rFonts w:ascii="Arial" w:eastAsia="Arial" w:hAnsi="Arial" w:cs="Arial"/>
        </w:rPr>
        <w:t>r</w:t>
      </w:r>
      <w:r w:rsidRPr="00EB2D7F">
        <w:rPr>
          <w:rFonts w:ascii="Arial" w:eastAsia="Arial" w:hAnsi="Arial" w:cs="Arial"/>
          <w:spacing w:val="-3"/>
        </w:rPr>
        <w:t xml:space="preserve"> </w:t>
      </w:r>
      <w:r w:rsidRPr="00EB2D7F">
        <w:rPr>
          <w:rFonts w:ascii="Arial" w:eastAsia="Arial" w:hAnsi="Arial" w:cs="Arial"/>
          <w:spacing w:val="1"/>
        </w:rPr>
        <w:t>r</w:t>
      </w:r>
      <w:r w:rsidRPr="00EB2D7F">
        <w:rPr>
          <w:rFonts w:ascii="Arial" w:eastAsia="Arial" w:hAnsi="Arial" w:cs="Arial"/>
        </w:rPr>
        <w:t>i</w:t>
      </w:r>
      <w:r w:rsidRPr="00EB2D7F">
        <w:rPr>
          <w:rFonts w:ascii="Arial" w:eastAsia="Arial" w:hAnsi="Arial" w:cs="Arial"/>
          <w:spacing w:val="-2"/>
        </w:rPr>
        <w:t>s</w:t>
      </w:r>
      <w:r w:rsidRPr="00EB2D7F">
        <w:rPr>
          <w:rFonts w:ascii="Arial" w:eastAsia="Arial" w:hAnsi="Arial" w:cs="Arial"/>
        </w:rPr>
        <w:t>k</w:t>
      </w:r>
      <w:r w:rsidRPr="00EB2D7F">
        <w:rPr>
          <w:rFonts w:ascii="Arial" w:eastAsia="Arial" w:hAnsi="Arial" w:cs="Arial"/>
          <w:spacing w:val="-1"/>
        </w:rPr>
        <w:t xml:space="preserve"> </w:t>
      </w:r>
      <w:r w:rsidRPr="00EB2D7F">
        <w:rPr>
          <w:rFonts w:ascii="Arial" w:eastAsia="Arial" w:hAnsi="Arial" w:cs="Arial"/>
          <w:spacing w:val="1"/>
        </w:rPr>
        <w:t>m</w:t>
      </w:r>
      <w:r w:rsidRPr="00EB2D7F">
        <w:rPr>
          <w:rFonts w:ascii="Arial" w:eastAsia="Arial" w:hAnsi="Arial" w:cs="Arial"/>
        </w:rPr>
        <w:t>a</w:t>
      </w:r>
      <w:r w:rsidRPr="00EB2D7F">
        <w:rPr>
          <w:rFonts w:ascii="Arial" w:eastAsia="Arial" w:hAnsi="Arial" w:cs="Arial"/>
          <w:spacing w:val="-1"/>
        </w:rPr>
        <w:t>n</w:t>
      </w:r>
      <w:r w:rsidRPr="00EB2D7F">
        <w:rPr>
          <w:rFonts w:ascii="Arial" w:eastAsia="Arial" w:hAnsi="Arial" w:cs="Arial"/>
          <w:spacing w:val="-3"/>
        </w:rPr>
        <w:t>a</w:t>
      </w:r>
      <w:r w:rsidRPr="00EB2D7F">
        <w:rPr>
          <w:rFonts w:ascii="Arial" w:eastAsia="Arial" w:hAnsi="Arial" w:cs="Arial"/>
          <w:spacing w:val="2"/>
        </w:rPr>
        <w:t>g</w:t>
      </w:r>
      <w:r w:rsidRPr="00EB2D7F">
        <w:rPr>
          <w:rFonts w:ascii="Arial" w:eastAsia="Arial" w:hAnsi="Arial" w:cs="Arial"/>
          <w:spacing w:val="-3"/>
        </w:rPr>
        <w:t>e</w:t>
      </w:r>
      <w:r w:rsidRPr="00EB2D7F">
        <w:rPr>
          <w:rFonts w:ascii="Arial" w:eastAsia="Arial" w:hAnsi="Arial" w:cs="Arial"/>
          <w:spacing w:val="1"/>
        </w:rPr>
        <w:t>m</w:t>
      </w:r>
      <w:r w:rsidRPr="00EB2D7F">
        <w:rPr>
          <w:rFonts w:ascii="Arial" w:eastAsia="Arial" w:hAnsi="Arial" w:cs="Arial"/>
        </w:rPr>
        <w:t>e</w:t>
      </w:r>
      <w:r w:rsidRPr="00EB2D7F">
        <w:rPr>
          <w:rFonts w:ascii="Arial" w:eastAsia="Arial" w:hAnsi="Arial" w:cs="Arial"/>
          <w:spacing w:val="-1"/>
        </w:rPr>
        <w:t>n</w:t>
      </w:r>
      <w:r w:rsidRPr="00EB2D7F">
        <w:rPr>
          <w:rFonts w:ascii="Arial" w:eastAsia="Arial" w:hAnsi="Arial" w:cs="Arial"/>
        </w:rPr>
        <w:t>t proces</w:t>
      </w:r>
      <w:r w:rsidRPr="00EB2D7F">
        <w:rPr>
          <w:rFonts w:ascii="Arial" w:eastAsia="Arial" w:hAnsi="Arial" w:cs="Arial"/>
          <w:spacing w:val="-3"/>
        </w:rPr>
        <w:t>s</w:t>
      </w:r>
      <w:r w:rsidRPr="00EB2D7F">
        <w:rPr>
          <w:rFonts w:ascii="Arial" w:eastAsia="Arial" w:hAnsi="Arial" w:cs="Arial"/>
        </w:rPr>
        <w:t>.</w:t>
      </w:r>
    </w:p>
    <w:p w14:paraId="1AF1E49D" w14:textId="77777777" w:rsidR="00D15D90" w:rsidRPr="00C04112" w:rsidRDefault="00D15D90" w:rsidP="00D15D90">
      <w:pPr>
        <w:pStyle w:val="Heading3"/>
        <w:spacing w:after="160" w:line="360" w:lineRule="auto"/>
      </w:pPr>
      <w:r w:rsidRPr="00C04112">
        <w:t>Outlook for the future – financial landscape.</w:t>
      </w:r>
      <w:bookmarkEnd w:id="43"/>
    </w:p>
    <w:p w14:paraId="4CDC1DA5" w14:textId="77777777" w:rsidR="00D15D90" w:rsidRPr="00C04112" w:rsidRDefault="00D15D90" w:rsidP="00D15D90">
      <w:pPr>
        <w:spacing w:line="360" w:lineRule="auto"/>
        <w:rPr>
          <w:rFonts w:ascii="Arial" w:hAnsi="Arial" w:cs="Arial"/>
        </w:rPr>
      </w:pPr>
      <w:bookmarkStart w:id="47" w:name="_Hlk140072525"/>
      <w:bookmarkEnd w:id="44"/>
      <w:r w:rsidRPr="00C04112">
        <w:rPr>
          <w:rFonts w:ascii="Arial" w:hAnsi="Arial" w:cs="Arial"/>
        </w:rPr>
        <w:t>The most recent Spending Reviews for PCCs and Fire and Rescue Services only cover the period up to 2024/25 and in December 2023 the government confirmed a one-year settlement in 202</w:t>
      </w:r>
      <w:r>
        <w:rPr>
          <w:rFonts w:ascii="Arial" w:hAnsi="Arial" w:cs="Arial"/>
        </w:rPr>
        <w:t>4</w:t>
      </w:r>
      <w:r w:rsidRPr="00C04112">
        <w:rPr>
          <w:rFonts w:ascii="Arial" w:hAnsi="Arial" w:cs="Arial"/>
        </w:rPr>
        <w:t>/2</w:t>
      </w:r>
      <w:r>
        <w:rPr>
          <w:rFonts w:ascii="Arial" w:hAnsi="Arial" w:cs="Arial"/>
        </w:rPr>
        <w:t>5</w:t>
      </w:r>
      <w:r w:rsidRPr="00C04112">
        <w:rPr>
          <w:rFonts w:ascii="Arial" w:hAnsi="Arial" w:cs="Arial"/>
        </w:rPr>
        <w:t xml:space="preserve">. Medium term financial planning reflects estimated funding for the following two years, with very little certainty </w:t>
      </w:r>
      <w:r>
        <w:rPr>
          <w:rFonts w:ascii="Arial" w:hAnsi="Arial" w:cs="Arial"/>
        </w:rPr>
        <w:t>beyond that</w:t>
      </w:r>
      <w:r w:rsidRPr="00C04112">
        <w:rPr>
          <w:rFonts w:ascii="Arial" w:hAnsi="Arial" w:cs="Arial"/>
        </w:rPr>
        <w:t>. The Home Office is undertaking a review of the funding formula for Police and Crime</w:t>
      </w:r>
      <w:r>
        <w:rPr>
          <w:rFonts w:ascii="Arial" w:hAnsi="Arial" w:cs="Arial"/>
        </w:rPr>
        <w:t xml:space="preserve">, which will consider all aspects of </w:t>
      </w:r>
      <w:r>
        <w:rPr>
          <w:rFonts w:ascii="Arial" w:hAnsi="Arial" w:cs="Arial"/>
        </w:rPr>
        <w:lastRenderedPageBreak/>
        <w:t>the funding formula and will include an evidence-based assessment of the demands facing each police force, as well as the impact of local factors on the resources required to meet demand</w:t>
      </w:r>
      <w:r w:rsidRPr="00C04112">
        <w:rPr>
          <w:rFonts w:ascii="Arial" w:hAnsi="Arial" w:cs="Arial"/>
        </w:rPr>
        <w:t>.</w:t>
      </w:r>
    </w:p>
    <w:p w14:paraId="336A2F24" w14:textId="77777777" w:rsidR="00D15D90" w:rsidRPr="00C04112" w:rsidRDefault="00D15D90" w:rsidP="00D15D90">
      <w:pPr>
        <w:spacing w:line="360" w:lineRule="auto"/>
        <w:rPr>
          <w:rFonts w:ascii="Arial" w:hAnsi="Arial" w:cs="Arial"/>
        </w:rPr>
      </w:pPr>
    </w:p>
    <w:p w14:paraId="0B9F36A6" w14:textId="77777777" w:rsidR="00D15D90" w:rsidRPr="00C04112" w:rsidRDefault="00D15D90" w:rsidP="00D15D90">
      <w:pPr>
        <w:spacing w:line="360" w:lineRule="auto"/>
        <w:rPr>
          <w:rFonts w:ascii="Arial" w:hAnsi="Arial" w:cs="Arial"/>
        </w:rPr>
      </w:pPr>
      <w:r w:rsidRPr="00C04112">
        <w:rPr>
          <w:rFonts w:ascii="Arial" w:hAnsi="Arial" w:cs="Arial"/>
        </w:rPr>
        <w:t>There is an inherent financial risk across all areas of the GMCA with inflation as a consequence of the challenging global economic environment, the cost-of-living crisis and pandemic recovery impacting particularly on transport revenues. The outcome of pay negotiations is difficult to predict and the availability of government funding to meet pressures is not confirmed.</w:t>
      </w:r>
    </w:p>
    <w:p w14:paraId="7600251D" w14:textId="77777777" w:rsidR="00D15D90" w:rsidRPr="00B15622" w:rsidRDefault="00D15D90" w:rsidP="00D15D90">
      <w:pPr>
        <w:spacing w:line="360" w:lineRule="auto"/>
        <w:rPr>
          <w:rFonts w:ascii="Arial" w:hAnsi="Arial" w:cs="Arial"/>
          <w:highlight w:val="yellow"/>
        </w:rPr>
      </w:pPr>
    </w:p>
    <w:p w14:paraId="7E9CCD2E" w14:textId="77777777" w:rsidR="00D15D90" w:rsidRPr="00C04112" w:rsidRDefault="00D15D90" w:rsidP="00D15D90">
      <w:pPr>
        <w:spacing w:line="360" w:lineRule="auto"/>
        <w:rPr>
          <w:rFonts w:ascii="Arial" w:hAnsi="Arial" w:cs="Arial"/>
        </w:rPr>
      </w:pPr>
      <w:r w:rsidRPr="00C04112">
        <w:rPr>
          <w:rFonts w:ascii="Arial" w:hAnsi="Arial" w:cs="Arial"/>
        </w:rPr>
        <w:t xml:space="preserve">Capital schemes and associated expenditure profiles have been impacted by global pressures on construction materials availability, associated pricing and inflationary pressures. It is anticipated that these impacts will continue in the medium term. The organisation has responded to this by TfGM and local authority partners bringing together all planned infrastructure expenditure with revenue and capital funding requirements up to the end of March 2027 to support prioritisation and contingency planning within available resources.  </w:t>
      </w:r>
    </w:p>
    <w:p w14:paraId="60786375" w14:textId="77777777" w:rsidR="00D15D90" w:rsidRPr="00C04112" w:rsidRDefault="00D15D90" w:rsidP="00D15D90">
      <w:pPr>
        <w:spacing w:line="360" w:lineRule="auto"/>
        <w:rPr>
          <w:rFonts w:ascii="Arial" w:hAnsi="Arial" w:cs="Arial"/>
        </w:rPr>
      </w:pPr>
    </w:p>
    <w:p w14:paraId="058C6230" w14:textId="77777777" w:rsidR="00D15D90" w:rsidRPr="00C04112" w:rsidRDefault="00D15D90" w:rsidP="00D15D90">
      <w:pPr>
        <w:spacing w:line="360" w:lineRule="auto"/>
        <w:rPr>
          <w:rFonts w:ascii="Arial" w:hAnsi="Arial" w:cs="Arial"/>
        </w:rPr>
      </w:pPr>
      <w:r w:rsidRPr="00C04112">
        <w:rPr>
          <w:rFonts w:ascii="Arial" w:hAnsi="Arial" w:cs="Arial"/>
        </w:rPr>
        <w:t xml:space="preserve">The current Business Rates Growth Retention Pilot includes a proportion retained by GMCA to support GMS priorities, which will be impacted by a business rates baseline reset expected by 2025/26. Whilst a ‘partial reset’ is expected to provide scope for Greater Manchester local authorities to retain some of the local growth under the pilot, the details of this are still to be determined.  </w:t>
      </w:r>
    </w:p>
    <w:p w14:paraId="759F8761" w14:textId="77777777" w:rsidR="00D15D90" w:rsidRPr="00C04112" w:rsidRDefault="00D15D90" w:rsidP="00D15D90">
      <w:pPr>
        <w:spacing w:line="360" w:lineRule="auto"/>
        <w:rPr>
          <w:rFonts w:ascii="Arial" w:hAnsi="Arial" w:cs="Arial"/>
        </w:rPr>
      </w:pPr>
    </w:p>
    <w:p w14:paraId="04197A12" w14:textId="77777777" w:rsidR="00D15D90" w:rsidRDefault="00D15D90" w:rsidP="00D15D90">
      <w:pPr>
        <w:spacing w:line="360" w:lineRule="auto"/>
        <w:rPr>
          <w:rFonts w:ascii="Arial" w:hAnsi="Arial" w:cs="Arial"/>
        </w:rPr>
      </w:pPr>
      <w:r w:rsidRPr="00C04112">
        <w:rPr>
          <w:rFonts w:ascii="Arial" w:hAnsi="Arial" w:cs="Arial"/>
        </w:rPr>
        <w:t xml:space="preserve">On a positive note as part of the ‘Trailblazer Devolution Deal’ the government has recently announced a longer-term commitment on the retention of the growth in Business Rates for ten years and new ‘Growth Zones’ in addition to ‘Investment Zones’ where business rates growth above an agreed baseline can be retained for 25 years. Furthermore, the single settlement should provide a consolidated, long term budget for GMCA set at spending reviews and based on thematic functions to replace the complexity of numerous different grants projects and programmes. </w:t>
      </w:r>
    </w:p>
    <w:p w14:paraId="606CB252" w14:textId="77777777" w:rsidR="00D15D90" w:rsidRPr="00C04112" w:rsidRDefault="00D15D90" w:rsidP="00D15D90">
      <w:pPr>
        <w:spacing w:line="360" w:lineRule="auto"/>
        <w:rPr>
          <w:rFonts w:ascii="Arial" w:hAnsi="Arial" w:cs="Arial"/>
        </w:rPr>
      </w:pPr>
    </w:p>
    <w:p w14:paraId="71208C52" w14:textId="183981E7" w:rsidR="00D15D90" w:rsidRPr="00B15622" w:rsidRDefault="00D15D90" w:rsidP="00A63D82">
      <w:pPr>
        <w:pStyle w:val="Heading3"/>
        <w:spacing w:line="360" w:lineRule="auto"/>
      </w:pPr>
      <w:bookmarkStart w:id="48" w:name="_Toc109922595"/>
      <w:bookmarkEnd w:id="47"/>
      <w:r w:rsidRPr="00B15622">
        <w:lastRenderedPageBreak/>
        <w:t>What is in the Statements of Accounts?</w:t>
      </w:r>
      <w:bookmarkEnd w:id="48"/>
    </w:p>
    <w:p w14:paraId="08B42446" w14:textId="77777777" w:rsidR="00D15D90" w:rsidRPr="00B15622" w:rsidRDefault="00D15D90" w:rsidP="00D15D90">
      <w:pPr>
        <w:pStyle w:val="Normal0"/>
        <w:spacing w:afterLines="160" w:after="384" w:line="360" w:lineRule="auto"/>
        <w:rPr>
          <w:rFonts w:ascii="Arial" w:hAnsi="Arial" w:cs="Arial"/>
          <w:sz w:val="24"/>
          <w:szCs w:val="24"/>
          <w:lang w:val="en-GB"/>
        </w:rPr>
      </w:pPr>
      <w:r w:rsidRPr="00B15622">
        <w:rPr>
          <w:rFonts w:ascii="Arial" w:hAnsi="Arial" w:cs="Arial"/>
          <w:sz w:val="24"/>
          <w:szCs w:val="24"/>
          <w:lang w:val="en-GB"/>
        </w:rPr>
        <w:t>The Accounts are prepared using International Financial Reporting Standards (IFRS). These are the same standards that a large company would use in preparing its financial statements. The following paragraphs give a brief explanation of the purpose and relationship between each of the main statements, which make up the Authority’s Annual Statement of Accounts.</w:t>
      </w:r>
    </w:p>
    <w:p w14:paraId="01E035ED" w14:textId="77777777" w:rsidR="00D15D90" w:rsidRPr="00B15622" w:rsidRDefault="00D15D90" w:rsidP="00D15D90">
      <w:pPr>
        <w:pStyle w:val="Heading4bold"/>
        <w:spacing w:line="360" w:lineRule="auto"/>
      </w:pPr>
      <w:r w:rsidRPr="00B15622">
        <w:t>Statement of Responsibilities for the Statement of Accounts</w:t>
      </w:r>
    </w:p>
    <w:p w14:paraId="118163D2" w14:textId="77777777" w:rsidR="00D15D90" w:rsidRPr="00B15622" w:rsidRDefault="00D15D90" w:rsidP="00D15D90">
      <w:pPr>
        <w:pStyle w:val="Normal0"/>
        <w:spacing w:afterLines="160" w:after="384" w:line="360" w:lineRule="auto"/>
        <w:rPr>
          <w:rFonts w:ascii="Arial" w:hAnsi="Arial" w:cs="Arial"/>
          <w:sz w:val="24"/>
          <w:szCs w:val="24"/>
          <w:lang w:val="en-GB"/>
        </w:rPr>
      </w:pPr>
      <w:r w:rsidRPr="00B15622">
        <w:rPr>
          <w:rFonts w:ascii="Arial" w:hAnsi="Arial" w:cs="Arial"/>
          <w:sz w:val="24"/>
          <w:szCs w:val="24"/>
          <w:lang w:val="en-GB"/>
        </w:rPr>
        <w:t>The statement confirms the responsibilities of the Authority and the Treasurer for the production and content of the Annual Statement of Accounts</w:t>
      </w:r>
    </w:p>
    <w:p w14:paraId="2BDF34E7" w14:textId="77777777" w:rsidR="00D15D90" w:rsidRPr="00B15622" w:rsidRDefault="00D15D90" w:rsidP="00D15D90">
      <w:pPr>
        <w:pStyle w:val="Heading4bold"/>
        <w:spacing w:line="360" w:lineRule="auto"/>
      </w:pPr>
      <w:r w:rsidRPr="00B15622">
        <w:t>Movement in Reserves Statement (MIRS)</w:t>
      </w:r>
    </w:p>
    <w:p w14:paraId="2CFD4295" w14:textId="77777777" w:rsidR="00D15D90" w:rsidRPr="00B15622" w:rsidRDefault="00D15D90" w:rsidP="00D15D90">
      <w:pPr>
        <w:pStyle w:val="Normal0"/>
        <w:spacing w:afterLines="160" w:after="384" w:line="360" w:lineRule="auto"/>
        <w:rPr>
          <w:rFonts w:ascii="Arial" w:hAnsi="Arial" w:cs="Arial"/>
          <w:sz w:val="24"/>
          <w:szCs w:val="24"/>
          <w:lang w:val="en-GB"/>
        </w:rPr>
      </w:pPr>
      <w:r w:rsidRPr="00B15622">
        <w:rPr>
          <w:rFonts w:ascii="Arial" w:hAnsi="Arial" w:cs="Arial"/>
          <w:sz w:val="24"/>
          <w:szCs w:val="24"/>
          <w:lang w:val="en-GB"/>
        </w:rPr>
        <w:t xml:space="preserve">This statement shows the movement in the year on the different reserves. It shows how the deficit for the year in the Comprehensive Income and Expenditure Statement is adjusted by the costs that are not a charge to local taxpayers. </w:t>
      </w:r>
    </w:p>
    <w:p w14:paraId="0AF01E9B" w14:textId="77777777" w:rsidR="00D15D90" w:rsidRPr="00B15622" w:rsidRDefault="00D15D90" w:rsidP="00D15D90">
      <w:pPr>
        <w:pStyle w:val="Heading4bold"/>
        <w:spacing w:line="360" w:lineRule="auto"/>
      </w:pPr>
      <w:r w:rsidRPr="00B15622">
        <w:t>Comprehensive Income and Expenditure Statement (CIES)</w:t>
      </w:r>
    </w:p>
    <w:p w14:paraId="38D2D6EF" w14:textId="77777777" w:rsidR="00D15D90" w:rsidRPr="00B15622" w:rsidRDefault="00D15D90" w:rsidP="00D15D90">
      <w:pPr>
        <w:pStyle w:val="Normal0"/>
        <w:spacing w:afterLines="160" w:after="384" w:line="360" w:lineRule="auto"/>
        <w:rPr>
          <w:rFonts w:ascii="Arial" w:hAnsi="Arial" w:cs="Arial"/>
          <w:sz w:val="24"/>
          <w:szCs w:val="24"/>
          <w:lang w:val="en-GB"/>
        </w:rPr>
      </w:pPr>
      <w:r w:rsidRPr="00B15622">
        <w:rPr>
          <w:rFonts w:ascii="Arial" w:hAnsi="Arial" w:cs="Arial"/>
          <w:sz w:val="24"/>
          <w:szCs w:val="24"/>
          <w:lang w:val="en-GB"/>
        </w:rPr>
        <w:t xml:space="preserve">This statement shows the accounting cost in the year of providing services in accordance with International Financial Reporting Standards (IFRS), rather than the amount to be funded by local taxpayers. </w:t>
      </w:r>
    </w:p>
    <w:p w14:paraId="0B8C5243" w14:textId="77777777" w:rsidR="00D15D90" w:rsidRPr="00B15622" w:rsidRDefault="00D15D90" w:rsidP="00D15D90">
      <w:pPr>
        <w:pStyle w:val="Heading4bold"/>
        <w:spacing w:line="360" w:lineRule="auto"/>
      </w:pPr>
      <w:r w:rsidRPr="00B15622">
        <w:t>Balance Sheet (BS)</w:t>
      </w:r>
    </w:p>
    <w:p w14:paraId="213C9A1A" w14:textId="77777777" w:rsidR="00D15D90" w:rsidRPr="00B15622" w:rsidRDefault="00D15D90" w:rsidP="00D15D90">
      <w:pPr>
        <w:pStyle w:val="Normal0"/>
        <w:spacing w:afterLines="160" w:after="384" w:line="360" w:lineRule="auto"/>
        <w:rPr>
          <w:rFonts w:ascii="Arial" w:hAnsi="Arial" w:cs="Arial"/>
          <w:sz w:val="24"/>
          <w:szCs w:val="24"/>
          <w:lang w:val="en-GB"/>
        </w:rPr>
      </w:pPr>
      <w:r w:rsidRPr="00B15622">
        <w:rPr>
          <w:rFonts w:ascii="Arial" w:hAnsi="Arial" w:cs="Arial"/>
          <w:sz w:val="24"/>
          <w:szCs w:val="24"/>
          <w:lang w:val="en-GB"/>
        </w:rPr>
        <w:t>The balance sheet shows the value as at the balance sheet date of the Authority’s recognised assets and liabilities.</w:t>
      </w:r>
    </w:p>
    <w:p w14:paraId="2CF08F0B" w14:textId="77777777" w:rsidR="00D15D90" w:rsidRPr="00B15622" w:rsidRDefault="00D15D90" w:rsidP="00D15D90">
      <w:pPr>
        <w:pStyle w:val="Heading4bold"/>
        <w:spacing w:line="360" w:lineRule="auto"/>
      </w:pPr>
      <w:r w:rsidRPr="00B15622">
        <w:t>Cash Flow Statement</w:t>
      </w:r>
    </w:p>
    <w:p w14:paraId="23AC6A4C" w14:textId="77777777" w:rsidR="00D15D90" w:rsidRPr="00B15622" w:rsidRDefault="00D15D90" w:rsidP="00D15D90">
      <w:pPr>
        <w:pStyle w:val="Normal0"/>
        <w:spacing w:afterLines="160" w:after="384" w:line="360" w:lineRule="auto"/>
        <w:rPr>
          <w:rFonts w:ascii="Arial" w:hAnsi="Arial" w:cs="Arial"/>
          <w:sz w:val="24"/>
          <w:szCs w:val="24"/>
          <w:lang w:val="en-GB"/>
        </w:rPr>
      </w:pPr>
      <w:r w:rsidRPr="00B15622">
        <w:rPr>
          <w:rFonts w:ascii="Arial" w:hAnsi="Arial" w:cs="Arial"/>
          <w:sz w:val="24"/>
          <w:szCs w:val="24"/>
          <w:lang w:val="en-GB"/>
        </w:rPr>
        <w:t xml:space="preserve">This statement shows the changes in cash and cash equivalents held by the Authority during the reporting period. </w:t>
      </w:r>
    </w:p>
    <w:p w14:paraId="28769C29" w14:textId="77777777" w:rsidR="00D15D90" w:rsidRPr="00B15622" w:rsidRDefault="00D15D90" w:rsidP="00D15D90">
      <w:pPr>
        <w:pStyle w:val="Heading4bold"/>
        <w:spacing w:line="360" w:lineRule="auto"/>
      </w:pPr>
      <w:r w:rsidRPr="00B15622">
        <w:t>Expenditure and Funding Analysis</w:t>
      </w:r>
    </w:p>
    <w:p w14:paraId="69518D5C" w14:textId="77777777" w:rsidR="00D15D90" w:rsidRPr="00B15622" w:rsidRDefault="00D15D90" w:rsidP="00D15D90">
      <w:pPr>
        <w:pStyle w:val="Normal0"/>
        <w:spacing w:afterLines="160" w:after="384" w:line="360" w:lineRule="auto"/>
        <w:rPr>
          <w:rFonts w:ascii="Arial" w:hAnsi="Arial" w:cs="Arial"/>
          <w:sz w:val="24"/>
          <w:szCs w:val="24"/>
          <w:lang w:val="en-GB"/>
        </w:rPr>
      </w:pPr>
      <w:r w:rsidRPr="00B15622">
        <w:rPr>
          <w:rFonts w:ascii="Arial" w:hAnsi="Arial" w:cs="Arial"/>
          <w:sz w:val="24"/>
          <w:szCs w:val="24"/>
          <w:lang w:val="en-GB"/>
        </w:rPr>
        <w:t xml:space="preserve">This analysis shows how annual expenditure is used and funded from resources (government grants, precept and levy) by the Authority in comparison with those </w:t>
      </w:r>
      <w:r w:rsidRPr="00B15622">
        <w:rPr>
          <w:rFonts w:ascii="Arial" w:hAnsi="Arial" w:cs="Arial"/>
          <w:sz w:val="24"/>
          <w:szCs w:val="24"/>
          <w:lang w:val="en-GB"/>
        </w:rPr>
        <w:lastRenderedPageBreak/>
        <w:t>resources consumed or earned in accordance with generally accepted accounting practices.</w:t>
      </w:r>
    </w:p>
    <w:p w14:paraId="78A8F2A9" w14:textId="77777777" w:rsidR="00D15D90" w:rsidRPr="00B15622" w:rsidRDefault="00D15D90" w:rsidP="00D15D90">
      <w:pPr>
        <w:pStyle w:val="Heading4bold"/>
        <w:spacing w:line="360" w:lineRule="auto"/>
      </w:pPr>
      <w:r w:rsidRPr="00B15622">
        <w:t>Accounting Policies and Concepts</w:t>
      </w:r>
    </w:p>
    <w:p w14:paraId="04724159" w14:textId="77777777" w:rsidR="00D15D90" w:rsidRPr="00B15622" w:rsidRDefault="00D15D90" w:rsidP="00D15D90">
      <w:pPr>
        <w:pStyle w:val="Normal0"/>
        <w:spacing w:afterLines="160" w:after="384" w:line="360" w:lineRule="auto"/>
        <w:rPr>
          <w:rFonts w:ascii="Arial" w:hAnsi="Arial" w:cs="Arial"/>
          <w:sz w:val="24"/>
          <w:szCs w:val="24"/>
          <w:lang w:val="en-GB"/>
        </w:rPr>
      </w:pPr>
      <w:r w:rsidRPr="00B15622">
        <w:rPr>
          <w:rFonts w:ascii="Arial" w:hAnsi="Arial" w:cs="Arial"/>
          <w:sz w:val="24"/>
          <w:szCs w:val="24"/>
          <w:lang w:val="en-GB"/>
        </w:rPr>
        <w:t xml:space="preserve">These are the specific principles, bases, conventions, rules and practices applied by the Authority in preparing and presenting the financial statements. </w:t>
      </w:r>
    </w:p>
    <w:p w14:paraId="2E41A1DD" w14:textId="77777777" w:rsidR="00D15D90" w:rsidRPr="00B15622" w:rsidRDefault="00D15D90" w:rsidP="00D15D90">
      <w:pPr>
        <w:pStyle w:val="Heading4bold"/>
        <w:spacing w:line="360" w:lineRule="auto"/>
      </w:pPr>
      <w:r w:rsidRPr="00B15622">
        <w:t>Notes to the Financial Statements</w:t>
      </w:r>
    </w:p>
    <w:p w14:paraId="26EB6D69" w14:textId="77777777" w:rsidR="00D15D90" w:rsidRPr="00407389" w:rsidRDefault="00D15D90" w:rsidP="00D15D90">
      <w:pPr>
        <w:pStyle w:val="Normal0"/>
        <w:spacing w:afterLines="160" w:after="384" w:line="360" w:lineRule="auto"/>
        <w:rPr>
          <w:rFonts w:ascii="Arial" w:hAnsi="Arial" w:cs="Arial"/>
          <w:sz w:val="24"/>
          <w:szCs w:val="24"/>
          <w:lang w:val="en-GB"/>
        </w:rPr>
      </w:pPr>
      <w:r w:rsidRPr="00B15622">
        <w:rPr>
          <w:rFonts w:ascii="Arial" w:hAnsi="Arial" w:cs="Arial"/>
          <w:sz w:val="24"/>
          <w:szCs w:val="24"/>
          <w:lang w:val="en-GB"/>
        </w:rPr>
        <w:t xml:space="preserve">These include information required by the Code and additional material items of </w:t>
      </w:r>
      <w:r w:rsidRPr="00407389">
        <w:rPr>
          <w:rFonts w:ascii="Arial" w:hAnsi="Arial" w:cs="Arial"/>
          <w:sz w:val="24"/>
          <w:szCs w:val="24"/>
          <w:lang w:val="en-GB"/>
        </w:rPr>
        <w:t>interest to assist the reader’s understanding of the reported figures.</w:t>
      </w:r>
    </w:p>
    <w:p w14:paraId="30D10B9E" w14:textId="77777777" w:rsidR="00D15D90" w:rsidRPr="00407389" w:rsidRDefault="00D15D90" w:rsidP="00D15D90">
      <w:pPr>
        <w:pStyle w:val="Heading4bold"/>
        <w:spacing w:line="360" w:lineRule="auto"/>
      </w:pPr>
      <w:r w:rsidRPr="00407389">
        <w:t>Events after the reporting period and authorised for issue date</w:t>
      </w:r>
    </w:p>
    <w:p w14:paraId="5EB78842" w14:textId="77777777" w:rsidR="00D15D90" w:rsidRPr="00407389" w:rsidRDefault="00D15D90" w:rsidP="00D15D90">
      <w:pPr>
        <w:pStyle w:val="Normal0"/>
        <w:spacing w:afterLines="160" w:after="384" w:line="360" w:lineRule="auto"/>
        <w:rPr>
          <w:rFonts w:ascii="Arial" w:hAnsi="Arial" w:cs="Arial"/>
          <w:sz w:val="24"/>
          <w:szCs w:val="24"/>
          <w:lang w:val="en-GB"/>
        </w:rPr>
      </w:pPr>
      <w:r w:rsidRPr="00407389">
        <w:rPr>
          <w:rFonts w:ascii="Arial" w:hAnsi="Arial" w:cs="Arial"/>
          <w:sz w:val="24"/>
          <w:szCs w:val="24"/>
          <w:lang w:val="en-GB"/>
        </w:rPr>
        <w:t>This summarises any major events that happened between the year end and the authorised for issue date. Events coming to light after the authorised for issue date will not be included in the financial statements.</w:t>
      </w:r>
    </w:p>
    <w:p w14:paraId="41F34057" w14:textId="77777777" w:rsidR="00D15D90" w:rsidRPr="00407389" w:rsidRDefault="00D15D90" w:rsidP="00D15D90">
      <w:pPr>
        <w:pStyle w:val="Heading4bold"/>
        <w:spacing w:line="360" w:lineRule="auto"/>
      </w:pPr>
      <w:r w:rsidRPr="00407389">
        <w:t>Group Accounts</w:t>
      </w:r>
    </w:p>
    <w:p w14:paraId="69F5F844" w14:textId="55BC72D8" w:rsidR="00D15D90" w:rsidRPr="00407389" w:rsidRDefault="00D15D90" w:rsidP="00D15D90">
      <w:pPr>
        <w:pStyle w:val="Normal0"/>
        <w:spacing w:afterLines="160" w:after="384" w:line="360" w:lineRule="auto"/>
        <w:rPr>
          <w:rFonts w:ascii="Arial" w:hAnsi="Arial" w:cs="Arial"/>
          <w:sz w:val="24"/>
          <w:szCs w:val="24"/>
          <w:lang w:val="en-GB"/>
        </w:rPr>
      </w:pPr>
      <w:r w:rsidRPr="00407389">
        <w:rPr>
          <w:rFonts w:ascii="Arial" w:hAnsi="Arial" w:cs="Arial"/>
          <w:sz w:val="24"/>
          <w:szCs w:val="24"/>
          <w:lang w:val="en-GB"/>
        </w:rPr>
        <w:t>These include the accounts of the entities listed earlier in this narrative:</w:t>
      </w:r>
      <w:r w:rsidR="00A63D82">
        <w:rPr>
          <w:rFonts w:ascii="Arial" w:hAnsi="Arial" w:cs="Arial"/>
          <w:sz w:val="24"/>
          <w:szCs w:val="24"/>
          <w:lang w:val="en-GB"/>
        </w:rPr>
        <w:t xml:space="preserve"> </w:t>
      </w:r>
      <w:r w:rsidRPr="00407389">
        <w:rPr>
          <w:rFonts w:ascii="Arial" w:hAnsi="Arial" w:cs="Arial"/>
          <w:sz w:val="24"/>
          <w:szCs w:val="24"/>
          <w:lang w:val="en-GB"/>
        </w:rPr>
        <w:t xml:space="preserve">Transport for Greater Manchester, Chief Constable of Greater Manchester Police, </w:t>
      </w:r>
      <w:r w:rsidRPr="00407389">
        <w:rPr>
          <w:rFonts w:ascii="Arial" w:hAnsi="Arial" w:cs="Arial"/>
          <w:sz w:val="24"/>
          <w:szCs w:val="24"/>
        </w:rPr>
        <w:t xml:space="preserve">NW Evergreen Holdings Limited Partnership, GM Fund of Funds Limited Partnership and </w:t>
      </w:r>
      <w:r w:rsidRPr="00407389">
        <w:rPr>
          <w:rFonts w:ascii="Arial" w:hAnsi="Arial" w:cs="Arial"/>
          <w:bCs/>
          <w:sz w:val="24"/>
          <w:szCs w:val="24"/>
          <w:lang w:eastAsia="en-GB"/>
        </w:rPr>
        <w:t>Greater Manchester Evergreen 2 LP</w:t>
      </w:r>
      <w:r w:rsidRPr="00407389">
        <w:rPr>
          <w:rFonts w:ascii="Arial" w:hAnsi="Arial" w:cs="Arial"/>
          <w:sz w:val="24"/>
          <w:szCs w:val="24"/>
        </w:rPr>
        <w:t>.</w:t>
      </w:r>
    </w:p>
    <w:p w14:paraId="1C422877" w14:textId="77777777" w:rsidR="00D15D90" w:rsidRPr="00B15622" w:rsidRDefault="00D15D90" w:rsidP="00D15D90">
      <w:pPr>
        <w:pStyle w:val="Heading4bold"/>
        <w:spacing w:line="360" w:lineRule="auto"/>
      </w:pPr>
      <w:r w:rsidRPr="00B15622">
        <w:t>Glossary of financial terms</w:t>
      </w:r>
    </w:p>
    <w:p w14:paraId="311715F4" w14:textId="77777777" w:rsidR="00D15D90" w:rsidRPr="00B15622" w:rsidRDefault="00D15D90" w:rsidP="00D15D90">
      <w:pPr>
        <w:pStyle w:val="Normal0"/>
        <w:spacing w:line="360" w:lineRule="auto"/>
        <w:rPr>
          <w:rFonts w:ascii="Arial" w:hAnsi="Arial" w:cs="Arial"/>
          <w:sz w:val="24"/>
          <w:szCs w:val="24"/>
          <w:lang w:val="en-GB"/>
        </w:rPr>
      </w:pPr>
      <w:r w:rsidRPr="00B15622">
        <w:rPr>
          <w:rFonts w:ascii="Arial" w:hAnsi="Arial" w:cs="Arial"/>
          <w:sz w:val="24"/>
          <w:szCs w:val="24"/>
          <w:lang w:val="en-GB"/>
        </w:rPr>
        <w:t>The nature of this document means that technical words are unavoidable. The glossary found at the end of the document is intended to simplify and explain such words.</w:t>
      </w:r>
    </w:p>
    <w:p w14:paraId="5DB1F85F" w14:textId="77777777" w:rsidR="00D15D90" w:rsidRPr="00B15622" w:rsidRDefault="00D15D90" w:rsidP="00D15D90">
      <w:pPr>
        <w:pStyle w:val="Normal0"/>
        <w:spacing w:line="360" w:lineRule="auto"/>
        <w:rPr>
          <w:rFonts w:ascii="Arial" w:hAnsi="Arial" w:cs="Arial"/>
          <w:sz w:val="24"/>
          <w:szCs w:val="24"/>
          <w:lang w:val="en-GB"/>
        </w:rPr>
      </w:pPr>
    </w:p>
    <w:p w14:paraId="0F924056" w14:textId="77777777" w:rsidR="00D15D90" w:rsidRPr="00B15622" w:rsidRDefault="00D15D90" w:rsidP="00D15D90">
      <w:pPr>
        <w:pStyle w:val="Normal0"/>
        <w:spacing w:line="360" w:lineRule="auto"/>
        <w:rPr>
          <w:rFonts w:ascii="Arial" w:hAnsi="Arial" w:cs="Arial"/>
          <w:sz w:val="24"/>
          <w:szCs w:val="24"/>
          <w:lang w:val="en-GB"/>
        </w:rPr>
      </w:pPr>
      <w:r w:rsidRPr="00B15622">
        <w:rPr>
          <w:rFonts w:ascii="Arial" w:hAnsi="Arial" w:cs="Arial"/>
          <w:noProof/>
          <w:sz w:val="24"/>
          <w:szCs w:val="24"/>
          <w:lang w:val="en-GB" w:eastAsia="en-GB"/>
        </w:rPr>
        <w:drawing>
          <wp:inline distT="0" distB="0" distL="0" distR="0" wp14:anchorId="5BF7A418" wp14:editId="465F249B">
            <wp:extent cx="1513840" cy="688387"/>
            <wp:effectExtent l="0" t="0" r="0" b="0"/>
            <wp:docPr id="536692884" name="Picture 536692884" descr="Signature of Steve Wilson, Greater Manchester Combined Authority Treasur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298" descr="Signature of Steve Wilson, Greater Manchester Combined Authority Treasure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4693" cy="702417"/>
                    </a:xfrm>
                    <a:prstGeom prst="rect">
                      <a:avLst/>
                    </a:prstGeom>
                    <a:noFill/>
                    <a:ln>
                      <a:noFill/>
                    </a:ln>
                  </pic:spPr>
                </pic:pic>
              </a:graphicData>
            </a:graphic>
          </wp:inline>
        </w:drawing>
      </w:r>
    </w:p>
    <w:p w14:paraId="78BAE553" w14:textId="77777777" w:rsidR="00D15D90" w:rsidRPr="00B15622" w:rsidRDefault="00D15D90" w:rsidP="00D15D90">
      <w:pPr>
        <w:pStyle w:val="Normal0"/>
        <w:spacing w:line="360" w:lineRule="auto"/>
        <w:rPr>
          <w:rFonts w:ascii="Arial" w:hAnsi="Arial" w:cs="Arial"/>
          <w:b/>
          <w:sz w:val="24"/>
          <w:szCs w:val="24"/>
          <w:lang w:val="en-GB"/>
        </w:rPr>
      </w:pPr>
      <w:r w:rsidRPr="00B15622">
        <w:rPr>
          <w:rFonts w:ascii="Arial" w:hAnsi="Arial" w:cs="Arial"/>
          <w:b/>
          <w:sz w:val="24"/>
          <w:szCs w:val="24"/>
          <w:lang w:val="en-GB"/>
        </w:rPr>
        <w:t>Steve Wilson</w:t>
      </w:r>
    </w:p>
    <w:p w14:paraId="34FCA94C" w14:textId="77777777" w:rsidR="00D15D90" w:rsidRDefault="00D15D90" w:rsidP="00D15D90">
      <w:r w:rsidRPr="00B15622">
        <w:rPr>
          <w:rFonts w:ascii="Arial" w:hAnsi="Arial" w:cs="Arial"/>
          <w:b/>
        </w:rPr>
        <w:t>Greater</w:t>
      </w:r>
      <w:r>
        <w:rPr>
          <w:rFonts w:ascii="Arial" w:hAnsi="Arial" w:cs="Arial"/>
          <w:b/>
        </w:rPr>
        <w:t xml:space="preserve"> Manchester Combined Authority</w:t>
      </w:r>
    </w:p>
    <w:p w14:paraId="1B658630" w14:textId="240B5E52" w:rsidR="00FD76D5" w:rsidRPr="00D15D90" w:rsidRDefault="00FD76D5" w:rsidP="00D15D90">
      <w:pPr>
        <w:pStyle w:val="Normal0"/>
        <w:spacing w:line="360" w:lineRule="auto"/>
        <w:rPr>
          <w:rStyle w:val="Hyperlink"/>
          <w:rFonts w:ascii="Arial" w:hAnsi="Arial" w:cs="Arial"/>
          <w:color w:val="auto"/>
          <w:sz w:val="24"/>
          <w:szCs w:val="24"/>
          <w:u w:val="none"/>
          <w:lang w:val="en-GB"/>
        </w:rPr>
        <w:sectPr w:rsidR="00FD76D5" w:rsidRPr="00D15D90" w:rsidSect="004833A2">
          <w:headerReference w:type="default" r:id="rId14"/>
          <w:pgSz w:w="11906" w:h="16838"/>
          <w:pgMar w:top="946" w:right="1416" w:bottom="1440" w:left="1080" w:header="283" w:footer="567" w:gutter="0"/>
          <w:cols w:space="708"/>
          <w:docGrid w:linePitch="360"/>
        </w:sectPr>
      </w:pPr>
    </w:p>
    <w:p w14:paraId="20D99B88" w14:textId="4EE9C805" w:rsidR="00482031" w:rsidRPr="0007572B" w:rsidRDefault="00482031" w:rsidP="006F1659">
      <w:pPr>
        <w:pStyle w:val="Heading2green"/>
        <w:spacing w:line="360" w:lineRule="auto"/>
      </w:pPr>
      <w:bookmarkStart w:id="49" w:name="_Toc109922596"/>
      <w:r w:rsidRPr="0007572B">
        <w:lastRenderedPageBreak/>
        <w:t>Statement of Responsibilities for the Statement of Accounts</w:t>
      </w:r>
      <w:bookmarkEnd w:id="49"/>
    </w:p>
    <w:p w14:paraId="57307DCE" w14:textId="77777777" w:rsidR="001A16CB" w:rsidRPr="0007572B" w:rsidRDefault="001A16CB" w:rsidP="006F1659">
      <w:pPr>
        <w:spacing w:line="360" w:lineRule="auto"/>
        <w:jc w:val="both"/>
        <w:rPr>
          <w:rStyle w:val="Hyperlink"/>
          <w:rFonts w:ascii="Arial" w:hAnsi="Arial" w:cs="Arial"/>
          <w:color w:val="auto"/>
          <w:sz w:val="22"/>
          <w:szCs w:val="22"/>
          <w:u w:val="none"/>
        </w:rPr>
      </w:pPr>
    </w:p>
    <w:p w14:paraId="7A573A06" w14:textId="77777777" w:rsidR="00482031" w:rsidRPr="0007572B" w:rsidRDefault="00482031" w:rsidP="006F1659">
      <w:pPr>
        <w:spacing w:line="360" w:lineRule="auto"/>
        <w:rPr>
          <w:rStyle w:val="Hyperlink"/>
          <w:rFonts w:ascii="Arial" w:hAnsi="Arial" w:cs="Arial"/>
          <w:color w:val="auto"/>
          <w:u w:val="none"/>
        </w:rPr>
      </w:pPr>
      <w:r w:rsidRPr="0007572B">
        <w:rPr>
          <w:rStyle w:val="Hyperlink"/>
          <w:rFonts w:ascii="Arial" w:hAnsi="Arial" w:cs="Arial"/>
          <w:color w:val="auto"/>
          <w:u w:val="none"/>
        </w:rPr>
        <w:t>Th</w:t>
      </w:r>
      <w:r w:rsidR="008A1801" w:rsidRPr="0007572B">
        <w:rPr>
          <w:rStyle w:val="Hyperlink"/>
          <w:rFonts w:ascii="Arial" w:hAnsi="Arial" w:cs="Arial"/>
          <w:color w:val="auto"/>
          <w:u w:val="none"/>
        </w:rPr>
        <w:t>is</w:t>
      </w:r>
      <w:r w:rsidRPr="0007572B">
        <w:rPr>
          <w:rStyle w:val="Hyperlink"/>
          <w:rFonts w:ascii="Arial" w:hAnsi="Arial" w:cs="Arial"/>
          <w:color w:val="auto"/>
          <w:u w:val="none"/>
        </w:rPr>
        <w:t xml:space="preserve"> statement confirms the responsibilities of the </w:t>
      </w:r>
      <w:r w:rsidR="00F0640C" w:rsidRPr="0007572B">
        <w:rPr>
          <w:rStyle w:val="Hyperlink"/>
          <w:rFonts w:ascii="Arial" w:hAnsi="Arial" w:cs="Arial"/>
          <w:color w:val="auto"/>
          <w:u w:val="none"/>
        </w:rPr>
        <w:t xml:space="preserve">Greater Manchester Combined </w:t>
      </w:r>
      <w:r w:rsidRPr="0007572B">
        <w:rPr>
          <w:rStyle w:val="Hyperlink"/>
          <w:rFonts w:ascii="Arial" w:hAnsi="Arial" w:cs="Arial"/>
          <w:color w:val="auto"/>
          <w:u w:val="none"/>
        </w:rPr>
        <w:t xml:space="preserve">Authority </w:t>
      </w:r>
      <w:r w:rsidR="00413CC3" w:rsidRPr="0007572B">
        <w:rPr>
          <w:rStyle w:val="Hyperlink"/>
          <w:rFonts w:ascii="Arial" w:hAnsi="Arial" w:cs="Arial"/>
          <w:color w:val="auto"/>
          <w:u w:val="none"/>
        </w:rPr>
        <w:t>(t</w:t>
      </w:r>
      <w:r w:rsidR="005B4139" w:rsidRPr="0007572B">
        <w:rPr>
          <w:rStyle w:val="Hyperlink"/>
          <w:rFonts w:ascii="Arial" w:hAnsi="Arial" w:cs="Arial"/>
          <w:color w:val="auto"/>
          <w:u w:val="none"/>
        </w:rPr>
        <w:t xml:space="preserve">he Authority) </w:t>
      </w:r>
      <w:r w:rsidRPr="0007572B">
        <w:rPr>
          <w:rStyle w:val="Hyperlink"/>
          <w:rFonts w:ascii="Arial" w:hAnsi="Arial" w:cs="Arial"/>
          <w:color w:val="auto"/>
          <w:u w:val="none"/>
        </w:rPr>
        <w:t>and the Treasurer for the production and content of the Annual Statement of Accounts.</w:t>
      </w:r>
    </w:p>
    <w:p w14:paraId="3892253F" w14:textId="77777777" w:rsidR="00CF3300" w:rsidRPr="0007572B" w:rsidRDefault="00CF3300" w:rsidP="006F1659">
      <w:pPr>
        <w:pStyle w:val="Heading3"/>
        <w:spacing w:line="360" w:lineRule="auto"/>
        <w:rPr>
          <w:highlight w:val="yellow"/>
        </w:rPr>
      </w:pPr>
      <w:bookmarkStart w:id="50" w:name="_Toc92894858"/>
      <w:bookmarkStart w:id="51" w:name="_Toc92895163"/>
      <w:bookmarkStart w:id="52" w:name="_Toc109160259"/>
      <w:bookmarkStart w:id="53" w:name="_Toc109922597"/>
      <w:r w:rsidRPr="0007572B">
        <w:t>Further Information</w:t>
      </w:r>
      <w:bookmarkEnd w:id="50"/>
      <w:bookmarkEnd w:id="51"/>
      <w:bookmarkEnd w:id="52"/>
      <w:bookmarkEnd w:id="53"/>
    </w:p>
    <w:p w14:paraId="59ABBDD3" w14:textId="77777777" w:rsidR="00CF3300" w:rsidRPr="0007572B" w:rsidRDefault="00CF3300" w:rsidP="006F1659">
      <w:pPr>
        <w:spacing w:after="240" w:line="360" w:lineRule="auto"/>
        <w:rPr>
          <w:rFonts w:ascii="Arial" w:hAnsi="Arial" w:cs="Arial"/>
        </w:rPr>
      </w:pPr>
      <w:r w:rsidRPr="0007572B">
        <w:rPr>
          <w:rFonts w:ascii="Arial" w:hAnsi="Arial" w:cs="Arial"/>
        </w:rPr>
        <w:t xml:space="preserve">Further information about the </w:t>
      </w:r>
      <w:r w:rsidR="00F0640C" w:rsidRPr="0007572B">
        <w:rPr>
          <w:rStyle w:val="Hyperlink"/>
          <w:rFonts w:ascii="Arial" w:hAnsi="Arial" w:cs="Arial"/>
          <w:color w:val="auto"/>
          <w:u w:val="none"/>
        </w:rPr>
        <w:t>Authority</w:t>
      </w:r>
      <w:r w:rsidRPr="0007572B">
        <w:rPr>
          <w:rFonts w:ascii="Arial" w:hAnsi="Arial" w:cs="Arial"/>
        </w:rPr>
        <w:t>’s Annual Statement of Accounts is available upon request from the following address:</w:t>
      </w:r>
    </w:p>
    <w:p w14:paraId="2C9E1C9F" w14:textId="77777777" w:rsidR="00B76ED8" w:rsidRPr="0007572B" w:rsidRDefault="00B76ED8" w:rsidP="006F1659">
      <w:pPr>
        <w:spacing w:line="360" w:lineRule="auto"/>
        <w:rPr>
          <w:rFonts w:ascii="Arial" w:hAnsi="Arial" w:cs="Arial"/>
        </w:rPr>
      </w:pPr>
      <w:r w:rsidRPr="0007572B">
        <w:rPr>
          <w:rFonts w:ascii="Arial" w:hAnsi="Arial" w:cs="Arial"/>
        </w:rPr>
        <w:t>Greater Manchester Combined Authority,</w:t>
      </w:r>
    </w:p>
    <w:p w14:paraId="48BCD8DA" w14:textId="7118177C" w:rsidR="00CF3300" w:rsidRPr="0007572B" w:rsidRDefault="00CF3300" w:rsidP="006F1659">
      <w:pPr>
        <w:spacing w:line="360" w:lineRule="auto"/>
        <w:rPr>
          <w:rFonts w:ascii="Arial" w:hAnsi="Arial" w:cs="Arial"/>
        </w:rPr>
      </w:pPr>
      <w:r w:rsidRPr="0007572B">
        <w:rPr>
          <w:rFonts w:ascii="Arial" w:hAnsi="Arial" w:cs="Arial"/>
        </w:rPr>
        <w:t>Finance Department</w:t>
      </w:r>
    </w:p>
    <w:p w14:paraId="0FD7FBEA" w14:textId="62650FF9" w:rsidR="00CF3300" w:rsidRPr="0007572B" w:rsidRDefault="003E69FE" w:rsidP="006F1659">
      <w:pPr>
        <w:spacing w:line="360" w:lineRule="auto"/>
        <w:rPr>
          <w:rFonts w:ascii="Arial" w:hAnsi="Arial" w:cs="Arial"/>
        </w:rPr>
      </w:pPr>
      <w:r w:rsidRPr="0007572B">
        <w:rPr>
          <w:rFonts w:ascii="Arial" w:hAnsi="Arial" w:cs="Arial"/>
        </w:rPr>
        <w:t>1</w:t>
      </w:r>
      <w:r w:rsidRPr="0007572B">
        <w:rPr>
          <w:rFonts w:ascii="Arial" w:hAnsi="Arial" w:cs="Arial"/>
          <w:vertAlign w:val="superscript"/>
        </w:rPr>
        <w:t>st</w:t>
      </w:r>
      <w:r w:rsidRPr="0007572B">
        <w:rPr>
          <w:rFonts w:ascii="Arial" w:hAnsi="Arial" w:cs="Arial"/>
        </w:rPr>
        <w:t xml:space="preserve"> Floor</w:t>
      </w:r>
      <w:r w:rsidR="00B76ED8" w:rsidRPr="0007572B">
        <w:rPr>
          <w:rFonts w:ascii="Arial" w:hAnsi="Arial" w:cs="Arial"/>
        </w:rPr>
        <w:t xml:space="preserve">, </w:t>
      </w:r>
      <w:r w:rsidR="002C411B" w:rsidRPr="0007572B">
        <w:rPr>
          <w:rFonts w:ascii="Arial" w:hAnsi="Arial" w:cs="Arial"/>
        </w:rPr>
        <w:t>Broadhurst</w:t>
      </w:r>
      <w:r w:rsidRPr="0007572B">
        <w:rPr>
          <w:rFonts w:ascii="Arial" w:hAnsi="Arial" w:cs="Arial"/>
        </w:rPr>
        <w:t xml:space="preserve"> House</w:t>
      </w:r>
    </w:p>
    <w:p w14:paraId="6BE7F5E1" w14:textId="77777777" w:rsidR="00CF3300" w:rsidRPr="0007572B" w:rsidRDefault="003E69FE" w:rsidP="006F1659">
      <w:pPr>
        <w:spacing w:line="360" w:lineRule="auto"/>
        <w:rPr>
          <w:rFonts w:ascii="Arial" w:hAnsi="Arial" w:cs="Arial"/>
        </w:rPr>
      </w:pPr>
      <w:r w:rsidRPr="0007572B">
        <w:rPr>
          <w:rFonts w:ascii="Arial" w:hAnsi="Arial" w:cs="Arial"/>
        </w:rPr>
        <w:t>56 Oxford Street</w:t>
      </w:r>
    </w:p>
    <w:p w14:paraId="3CD0A995" w14:textId="77777777" w:rsidR="00CF3300" w:rsidRPr="0007572B" w:rsidRDefault="00CF3300" w:rsidP="006F1659">
      <w:pPr>
        <w:spacing w:line="360" w:lineRule="auto"/>
        <w:rPr>
          <w:rFonts w:ascii="Arial" w:hAnsi="Arial" w:cs="Arial"/>
        </w:rPr>
      </w:pPr>
      <w:r w:rsidRPr="0007572B">
        <w:rPr>
          <w:rFonts w:ascii="Arial" w:hAnsi="Arial" w:cs="Arial"/>
        </w:rPr>
        <w:t>Manchester</w:t>
      </w:r>
    </w:p>
    <w:p w14:paraId="2C0681E3" w14:textId="77777777" w:rsidR="00CF3300" w:rsidRPr="0007572B" w:rsidRDefault="003E69FE" w:rsidP="006F1659">
      <w:pPr>
        <w:spacing w:after="240" w:line="360" w:lineRule="auto"/>
        <w:rPr>
          <w:rFonts w:ascii="Arial" w:hAnsi="Arial" w:cs="Arial"/>
        </w:rPr>
      </w:pPr>
      <w:r w:rsidRPr="0007572B">
        <w:rPr>
          <w:rFonts w:ascii="Arial" w:hAnsi="Arial" w:cs="Arial"/>
        </w:rPr>
        <w:t>M1 6EU</w:t>
      </w:r>
    </w:p>
    <w:p w14:paraId="27906C37" w14:textId="3D909E17" w:rsidR="004F14AA" w:rsidRPr="0007572B" w:rsidRDefault="004028D3" w:rsidP="006F1659">
      <w:pPr>
        <w:spacing w:after="240" w:line="360" w:lineRule="auto"/>
        <w:rPr>
          <w:rFonts w:ascii="Arial" w:hAnsi="Arial" w:cs="Arial"/>
        </w:rPr>
      </w:pPr>
      <w:r w:rsidRPr="0007572B">
        <w:rPr>
          <w:rFonts w:ascii="Arial" w:hAnsi="Arial" w:cs="Arial"/>
        </w:rPr>
        <w:t>This and previous year</w:t>
      </w:r>
      <w:r w:rsidR="00D93E0C" w:rsidRPr="0007572B">
        <w:rPr>
          <w:rFonts w:ascii="Arial" w:hAnsi="Arial" w:cs="Arial"/>
        </w:rPr>
        <w:t>’</w:t>
      </w:r>
      <w:r w:rsidRPr="0007572B">
        <w:rPr>
          <w:rFonts w:ascii="Arial" w:hAnsi="Arial" w:cs="Arial"/>
        </w:rPr>
        <w:t>s</w:t>
      </w:r>
      <w:r w:rsidR="00CF3300" w:rsidRPr="0007572B">
        <w:rPr>
          <w:rFonts w:ascii="Arial" w:hAnsi="Arial" w:cs="Arial"/>
        </w:rPr>
        <w:t xml:space="preserve"> Annual Statement of Accounts can be viewed on the Greater Manchester Combined Authority’s website</w:t>
      </w:r>
      <w:r w:rsidR="00D64FA5" w:rsidRPr="0007572B">
        <w:rPr>
          <w:rFonts w:ascii="Arial" w:hAnsi="Arial" w:cs="Arial"/>
        </w:rPr>
        <w:t>:</w:t>
      </w:r>
      <w:r w:rsidR="00CF3300" w:rsidRPr="0007572B">
        <w:rPr>
          <w:rFonts w:ascii="Arial" w:hAnsi="Arial" w:cs="Arial"/>
        </w:rPr>
        <w:t xml:space="preserve"> </w:t>
      </w:r>
      <w:r w:rsidR="00F460E0" w:rsidRPr="0007572B">
        <w:rPr>
          <w:rFonts w:ascii="Arial" w:hAnsi="Arial" w:cs="Arial"/>
        </w:rPr>
        <w:t>www.greatermanchester-ca.gov.uk</w:t>
      </w:r>
    </w:p>
    <w:p w14:paraId="6A944309" w14:textId="77777777" w:rsidR="00CF3300" w:rsidRPr="0007572B" w:rsidRDefault="00CF3300" w:rsidP="006F1659">
      <w:pPr>
        <w:pStyle w:val="Heading3"/>
        <w:spacing w:line="360" w:lineRule="auto"/>
      </w:pPr>
      <w:bookmarkStart w:id="54" w:name="_Toc92894859"/>
      <w:bookmarkStart w:id="55" w:name="_Toc92895164"/>
      <w:bookmarkStart w:id="56" w:name="_Toc109160260"/>
      <w:bookmarkStart w:id="57" w:name="_Toc109922598"/>
      <w:r w:rsidRPr="0007572B">
        <w:t>The Authority’s Responsibilities</w:t>
      </w:r>
      <w:bookmarkEnd w:id="54"/>
      <w:bookmarkEnd w:id="55"/>
      <w:bookmarkEnd w:id="56"/>
      <w:bookmarkEnd w:id="57"/>
    </w:p>
    <w:p w14:paraId="54DC8DEE" w14:textId="77777777" w:rsidR="00CF3300" w:rsidRPr="0007572B" w:rsidRDefault="00F0640C" w:rsidP="006F1659">
      <w:pPr>
        <w:pStyle w:val="SubHeader"/>
        <w:spacing w:line="360" w:lineRule="auto"/>
        <w:rPr>
          <w:b w:val="0"/>
          <w:sz w:val="24"/>
          <w:szCs w:val="24"/>
        </w:rPr>
      </w:pPr>
      <w:bookmarkStart w:id="58" w:name="_Toc92894860"/>
      <w:bookmarkStart w:id="59" w:name="_Toc92895165"/>
      <w:bookmarkStart w:id="60" w:name="_Toc109160261"/>
      <w:bookmarkStart w:id="61" w:name="_Toc109922599"/>
      <w:r w:rsidRPr="0007572B">
        <w:rPr>
          <w:b w:val="0"/>
          <w:sz w:val="24"/>
          <w:szCs w:val="24"/>
        </w:rPr>
        <w:t xml:space="preserve">The </w:t>
      </w:r>
      <w:r w:rsidR="002D40FF" w:rsidRPr="0007572B">
        <w:rPr>
          <w:b w:val="0"/>
          <w:sz w:val="24"/>
          <w:szCs w:val="24"/>
        </w:rPr>
        <w:t>A</w:t>
      </w:r>
      <w:r w:rsidR="00CF3300" w:rsidRPr="0007572B">
        <w:rPr>
          <w:b w:val="0"/>
          <w:sz w:val="24"/>
          <w:szCs w:val="24"/>
        </w:rPr>
        <w:t>uthority is required to:</w:t>
      </w:r>
      <w:bookmarkEnd w:id="58"/>
      <w:bookmarkEnd w:id="59"/>
      <w:bookmarkEnd w:id="60"/>
      <w:bookmarkEnd w:id="61"/>
    </w:p>
    <w:p w14:paraId="2C3DBF40" w14:textId="77777777" w:rsidR="00CF3300" w:rsidRPr="0007572B" w:rsidRDefault="00CF3300" w:rsidP="006F1659">
      <w:pPr>
        <w:spacing w:line="360" w:lineRule="auto"/>
        <w:rPr>
          <w:rFonts w:ascii="Arial" w:hAnsi="Arial" w:cs="Arial"/>
        </w:rPr>
      </w:pPr>
    </w:p>
    <w:p w14:paraId="57DEC148" w14:textId="7DD515CF" w:rsidR="00CF3300" w:rsidRPr="0007572B" w:rsidRDefault="001366B9" w:rsidP="006F1659">
      <w:pPr>
        <w:numPr>
          <w:ilvl w:val="0"/>
          <w:numId w:val="2"/>
        </w:numPr>
        <w:spacing w:line="360" w:lineRule="auto"/>
        <w:rPr>
          <w:rFonts w:ascii="Arial" w:hAnsi="Arial" w:cs="Arial"/>
        </w:rPr>
      </w:pPr>
      <w:r w:rsidRPr="0007572B">
        <w:rPr>
          <w:rFonts w:ascii="Arial" w:hAnsi="Arial" w:cs="Arial"/>
        </w:rPr>
        <w:t>Make</w:t>
      </w:r>
      <w:r w:rsidR="00CF3300" w:rsidRPr="0007572B">
        <w:rPr>
          <w:rFonts w:ascii="Arial" w:hAnsi="Arial" w:cs="Arial"/>
        </w:rPr>
        <w:t xml:space="preserve"> arrangements for the proper administration of its financial affairs and to secure that one of its officers has the responsibility for the administration of those affairs. In this </w:t>
      </w:r>
      <w:r w:rsidR="00413CC3" w:rsidRPr="0007572B">
        <w:rPr>
          <w:rFonts w:ascii="Arial" w:hAnsi="Arial" w:cs="Arial"/>
        </w:rPr>
        <w:t>A</w:t>
      </w:r>
      <w:r w:rsidR="00CF3300" w:rsidRPr="0007572B">
        <w:rPr>
          <w:rFonts w:ascii="Arial" w:hAnsi="Arial" w:cs="Arial"/>
        </w:rPr>
        <w:t>uthority, that officer is the Treasurer.</w:t>
      </w:r>
    </w:p>
    <w:p w14:paraId="17A9C87E" w14:textId="77777777" w:rsidR="00CF3300" w:rsidRPr="0007572B" w:rsidRDefault="001366B9" w:rsidP="006F1659">
      <w:pPr>
        <w:numPr>
          <w:ilvl w:val="0"/>
          <w:numId w:val="1"/>
        </w:numPr>
        <w:spacing w:line="360" w:lineRule="auto"/>
        <w:rPr>
          <w:rFonts w:ascii="Arial" w:hAnsi="Arial" w:cs="Arial"/>
        </w:rPr>
      </w:pPr>
      <w:r w:rsidRPr="0007572B">
        <w:rPr>
          <w:rFonts w:ascii="Arial" w:hAnsi="Arial" w:cs="Arial"/>
        </w:rPr>
        <w:t>Manage</w:t>
      </w:r>
      <w:r w:rsidR="00CF3300" w:rsidRPr="0007572B">
        <w:rPr>
          <w:rFonts w:ascii="Arial" w:hAnsi="Arial" w:cs="Arial"/>
        </w:rPr>
        <w:t xml:space="preserve"> its affairs to secure economic, efficient and effective use of resources and safeguard its assets.</w:t>
      </w:r>
    </w:p>
    <w:p w14:paraId="677D3B60" w14:textId="77777777" w:rsidR="00CF3300" w:rsidRPr="0007572B" w:rsidRDefault="001366B9" w:rsidP="006F1659">
      <w:pPr>
        <w:numPr>
          <w:ilvl w:val="0"/>
          <w:numId w:val="1"/>
        </w:numPr>
        <w:spacing w:line="360" w:lineRule="auto"/>
        <w:jc w:val="both"/>
        <w:rPr>
          <w:rFonts w:ascii="Arial" w:hAnsi="Arial" w:cs="Arial"/>
        </w:rPr>
      </w:pPr>
      <w:r w:rsidRPr="0007572B">
        <w:rPr>
          <w:rFonts w:ascii="Arial" w:hAnsi="Arial" w:cs="Arial"/>
        </w:rPr>
        <w:t>Approve</w:t>
      </w:r>
      <w:r w:rsidR="00CF3300" w:rsidRPr="0007572B">
        <w:rPr>
          <w:rFonts w:ascii="Arial" w:hAnsi="Arial" w:cs="Arial"/>
        </w:rPr>
        <w:t xml:space="preserve"> the Statement of Accounts.</w:t>
      </w:r>
    </w:p>
    <w:p w14:paraId="4A5BB528" w14:textId="36B0C110" w:rsidR="00CF3300" w:rsidRPr="00CA3482" w:rsidRDefault="00CF3300" w:rsidP="006F1659">
      <w:pPr>
        <w:pStyle w:val="Heading3"/>
        <w:spacing w:line="360" w:lineRule="auto"/>
      </w:pPr>
      <w:bookmarkStart w:id="62" w:name="_Toc92894861"/>
      <w:bookmarkStart w:id="63" w:name="_Toc92895166"/>
      <w:bookmarkStart w:id="64" w:name="_Toc109160262"/>
      <w:bookmarkStart w:id="65" w:name="_Toc109922600"/>
      <w:r w:rsidRPr="00CA3482">
        <w:lastRenderedPageBreak/>
        <w:t>The Treasurer’s Responsibilities</w:t>
      </w:r>
      <w:bookmarkEnd w:id="62"/>
      <w:bookmarkEnd w:id="63"/>
      <w:bookmarkEnd w:id="64"/>
      <w:bookmarkEnd w:id="65"/>
    </w:p>
    <w:p w14:paraId="5CC598C8" w14:textId="77777777" w:rsidR="00CF3300" w:rsidRPr="0007572B" w:rsidRDefault="00CF3300" w:rsidP="006F1659">
      <w:pPr>
        <w:spacing w:line="360" w:lineRule="auto"/>
        <w:rPr>
          <w:rFonts w:ascii="Arial" w:hAnsi="Arial" w:cs="Arial"/>
        </w:rPr>
      </w:pPr>
      <w:r w:rsidRPr="0007572B">
        <w:rPr>
          <w:rFonts w:ascii="Arial" w:hAnsi="Arial" w:cs="Arial"/>
        </w:rPr>
        <w:t xml:space="preserve">The Treasurer is responsible for the preparation of the </w:t>
      </w:r>
      <w:r w:rsidR="00F0640C" w:rsidRPr="0007572B">
        <w:rPr>
          <w:rFonts w:ascii="Arial" w:hAnsi="Arial" w:cs="Arial"/>
        </w:rPr>
        <w:t>a</w:t>
      </w:r>
      <w:r w:rsidRPr="0007572B">
        <w:rPr>
          <w:rFonts w:ascii="Arial" w:hAnsi="Arial" w:cs="Arial"/>
        </w:rPr>
        <w:t>uthority’s Statement of Accounts in accordance with proper practices as set out in the CIPFA/LASAAC Code of Practice on Local Authority Accounting in the United Kingdom (the Code).</w:t>
      </w:r>
    </w:p>
    <w:p w14:paraId="238307BA" w14:textId="77777777" w:rsidR="00CF3300" w:rsidRPr="0007572B" w:rsidRDefault="00CF3300" w:rsidP="006F1659">
      <w:pPr>
        <w:spacing w:line="360" w:lineRule="auto"/>
        <w:jc w:val="both"/>
        <w:rPr>
          <w:rFonts w:ascii="Arial" w:hAnsi="Arial" w:cs="Arial"/>
          <w:b/>
        </w:rPr>
      </w:pPr>
    </w:p>
    <w:p w14:paraId="74CC2097" w14:textId="77777777" w:rsidR="00CF3300" w:rsidRPr="0007572B" w:rsidRDefault="00CF3300" w:rsidP="006F1659">
      <w:pPr>
        <w:spacing w:line="360" w:lineRule="auto"/>
        <w:jc w:val="both"/>
        <w:rPr>
          <w:rFonts w:ascii="Arial" w:hAnsi="Arial" w:cs="Arial"/>
        </w:rPr>
      </w:pPr>
      <w:r w:rsidRPr="0007572B">
        <w:rPr>
          <w:rFonts w:ascii="Arial" w:hAnsi="Arial" w:cs="Arial"/>
        </w:rPr>
        <w:t>In preparing this Statement of Accounts, the Treasurer has:</w:t>
      </w:r>
    </w:p>
    <w:p w14:paraId="560B3FA2" w14:textId="77777777" w:rsidR="00CF3300" w:rsidRPr="0007572B" w:rsidRDefault="001A16CB" w:rsidP="006F1659">
      <w:pPr>
        <w:numPr>
          <w:ilvl w:val="0"/>
          <w:numId w:val="3"/>
        </w:numPr>
        <w:spacing w:line="360" w:lineRule="auto"/>
        <w:jc w:val="both"/>
        <w:rPr>
          <w:rFonts w:ascii="Arial" w:hAnsi="Arial" w:cs="Arial"/>
        </w:rPr>
      </w:pPr>
      <w:r w:rsidRPr="0007572B">
        <w:rPr>
          <w:rFonts w:ascii="Arial" w:hAnsi="Arial" w:cs="Arial"/>
        </w:rPr>
        <w:t>Selected</w:t>
      </w:r>
      <w:r w:rsidR="00CF3300" w:rsidRPr="0007572B">
        <w:rPr>
          <w:rFonts w:ascii="Arial" w:hAnsi="Arial" w:cs="Arial"/>
        </w:rPr>
        <w:t xml:space="preserve"> suitable accounting policies and then applied them consistently.</w:t>
      </w:r>
    </w:p>
    <w:p w14:paraId="08951095" w14:textId="77777777" w:rsidR="00CF3300" w:rsidRPr="0007572B" w:rsidRDefault="001A16CB" w:rsidP="006F1659">
      <w:pPr>
        <w:numPr>
          <w:ilvl w:val="0"/>
          <w:numId w:val="3"/>
        </w:numPr>
        <w:spacing w:line="360" w:lineRule="auto"/>
        <w:jc w:val="both"/>
        <w:rPr>
          <w:rFonts w:ascii="Arial" w:hAnsi="Arial" w:cs="Arial"/>
        </w:rPr>
      </w:pPr>
      <w:r w:rsidRPr="0007572B">
        <w:rPr>
          <w:rFonts w:ascii="Arial" w:hAnsi="Arial" w:cs="Arial"/>
        </w:rPr>
        <w:t>Made</w:t>
      </w:r>
      <w:r w:rsidR="00CF3300" w:rsidRPr="0007572B">
        <w:rPr>
          <w:rFonts w:ascii="Arial" w:hAnsi="Arial" w:cs="Arial"/>
        </w:rPr>
        <w:t xml:space="preserve"> judgements and estimates that were reasonable and prudent.</w:t>
      </w:r>
    </w:p>
    <w:p w14:paraId="59A9D8BA" w14:textId="77777777" w:rsidR="00CF3300" w:rsidRPr="00B851EF" w:rsidRDefault="001A16CB" w:rsidP="006F1659">
      <w:pPr>
        <w:numPr>
          <w:ilvl w:val="0"/>
          <w:numId w:val="3"/>
        </w:numPr>
        <w:spacing w:line="360" w:lineRule="auto"/>
        <w:jc w:val="both"/>
        <w:rPr>
          <w:rFonts w:ascii="Arial" w:hAnsi="Arial" w:cs="Arial"/>
          <w:b/>
        </w:rPr>
      </w:pPr>
      <w:r w:rsidRPr="0007572B">
        <w:rPr>
          <w:rFonts w:ascii="Arial" w:hAnsi="Arial" w:cs="Arial"/>
        </w:rPr>
        <w:t>Complied</w:t>
      </w:r>
      <w:r w:rsidR="00413CC3" w:rsidRPr="0007572B">
        <w:rPr>
          <w:rFonts w:ascii="Arial" w:hAnsi="Arial" w:cs="Arial"/>
        </w:rPr>
        <w:t xml:space="preserve"> with the</w:t>
      </w:r>
      <w:r w:rsidR="00CF3300" w:rsidRPr="0007572B">
        <w:rPr>
          <w:rFonts w:ascii="Arial" w:hAnsi="Arial" w:cs="Arial"/>
        </w:rPr>
        <w:t xml:space="preserve"> Code.</w:t>
      </w:r>
    </w:p>
    <w:p w14:paraId="557B4F7F" w14:textId="77777777" w:rsidR="00B851EF" w:rsidRPr="0007572B" w:rsidRDefault="00B851EF" w:rsidP="00B851EF">
      <w:pPr>
        <w:spacing w:line="360" w:lineRule="auto"/>
        <w:jc w:val="both"/>
        <w:rPr>
          <w:rFonts w:ascii="Arial" w:hAnsi="Arial" w:cs="Arial"/>
          <w:b/>
        </w:rPr>
      </w:pPr>
    </w:p>
    <w:p w14:paraId="7A2178EE" w14:textId="711D4AC9" w:rsidR="00CF3300" w:rsidRPr="00CA3482" w:rsidRDefault="00CF3300" w:rsidP="006F1659">
      <w:pPr>
        <w:pStyle w:val="Heading3"/>
        <w:spacing w:line="360" w:lineRule="auto"/>
      </w:pPr>
      <w:bookmarkStart w:id="66" w:name="_Toc92894862"/>
      <w:bookmarkStart w:id="67" w:name="_Toc92895167"/>
      <w:bookmarkStart w:id="68" w:name="_Toc109160263"/>
      <w:bookmarkStart w:id="69" w:name="_Toc109922601"/>
      <w:r w:rsidRPr="00CA3482">
        <w:rPr>
          <w:rStyle w:val="SubHeaderChar"/>
          <w:b/>
          <w:bCs/>
        </w:rPr>
        <w:t>The Treasurer has also</w:t>
      </w:r>
      <w:r w:rsidRPr="00CA3482">
        <w:t>:</w:t>
      </w:r>
      <w:bookmarkEnd w:id="66"/>
      <w:bookmarkEnd w:id="67"/>
      <w:bookmarkEnd w:id="68"/>
      <w:bookmarkEnd w:id="69"/>
    </w:p>
    <w:p w14:paraId="71293CAB" w14:textId="39371F0F" w:rsidR="00CF3300" w:rsidRPr="0007572B" w:rsidRDefault="001A16CB" w:rsidP="006F1659">
      <w:pPr>
        <w:numPr>
          <w:ilvl w:val="0"/>
          <w:numId w:val="4"/>
        </w:numPr>
        <w:spacing w:line="360" w:lineRule="auto"/>
        <w:jc w:val="both"/>
        <w:rPr>
          <w:rFonts w:ascii="Arial" w:hAnsi="Arial" w:cs="Arial"/>
        </w:rPr>
      </w:pPr>
      <w:r w:rsidRPr="0007572B">
        <w:rPr>
          <w:rFonts w:ascii="Arial" w:hAnsi="Arial" w:cs="Arial"/>
        </w:rPr>
        <w:t>K</w:t>
      </w:r>
      <w:r w:rsidR="00CF3300" w:rsidRPr="0007572B">
        <w:rPr>
          <w:rFonts w:ascii="Arial" w:hAnsi="Arial" w:cs="Arial"/>
        </w:rPr>
        <w:t>ept proper accounting records which were up to date</w:t>
      </w:r>
      <w:r w:rsidR="00027EC2">
        <w:rPr>
          <w:rFonts w:ascii="Arial" w:hAnsi="Arial" w:cs="Arial"/>
        </w:rPr>
        <w:t>.</w:t>
      </w:r>
    </w:p>
    <w:p w14:paraId="56094FDA" w14:textId="77777777" w:rsidR="00CF3300" w:rsidRPr="0007572B" w:rsidRDefault="001A16CB" w:rsidP="006F1659">
      <w:pPr>
        <w:numPr>
          <w:ilvl w:val="0"/>
          <w:numId w:val="4"/>
        </w:numPr>
        <w:spacing w:line="360" w:lineRule="auto"/>
        <w:rPr>
          <w:rFonts w:ascii="Arial" w:hAnsi="Arial" w:cs="Arial"/>
        </w:rPr>
      </w:pPr>
      <w:r w:rsidRPr="0007572B">
        <w:rPr>
          <w:rFonts w:ascii="Arial" w:hAnsi="Arial" w:cs="Arial"/>
        </w:rPr>
        <w:t>T</w:t>
      </w:r>
      <w:r w:rsidR="00CF3300" w:rsidRPr="0007572B">
        <w:rPr>
          <w:rFonts w:ascii="Arial" w:hAnsi="Arial" w:cs="Arial"/>
        </w:rPr>
        <w:t>aken reasonable steps for the prevention and detection of fraud and other irregularities.</w:t>
      </w:r>
    </w:p>
    <w:p w14:paraId="3E492F0B" w14:textId="77777777" w:rsidR="00CF3300" w:rsidRPr="0007572B" w:rsidRDefault="00CF3300" w:rsidP="006F1659">
      <w:pPr>
        <w:pStyle w:val="Header"/>
        <w:tabs>
          <w:tab w:val="clear" w:pos="4153"/>
          <w:tab w:val="clear" w:pos="8306"/>
        </w:tabs>
        <w:spacing w:line="360" w:lineRule="auto"/>
        <w:jc w:val="both"/>
        <w:rPr>
          <w:rFonts w:cs="Arial"/>
          <w:b/>
        </w:rPr>
      </w:pPr>
    </w:p>
    <w:p w14:paraId="189E9277" w14:textId="7ED06B9B" w:rsidR="00CF3300" w:rsidRPr="0007572B" w:rsidRDefault="00CF3300" w:rsidP="006F1659">
      <w:pPr>
        <w:spacing w:line="360" w:lineRule="auto"/>
        <w:rPr>
          <w:rFonts w:ascii="Arial" w:hAnsi="Arial" w:cs="Arial"/>
        </w:rPr>
      </w:pPr>
      <w:r w:rsidRPr="0007572B">
        <w:rPr>
          <w:rFonts w:ascii="Arial" w:hAnsi="Arial" w:cs="Arial"/>
        </w:rPr>
        <w:t>I certify that the</w:t>
      </w:r>
      <w:r w:rsidR="00A664A1" w:rsidRPr="0007572B">
        <w:rPr>
          <w:rFonts w:ascii="Arial" w:hAnsi="Arial" w:cs="Arial"/>
        </w:rPr>
        <w:t xml:space="preserve">se </w:t>
      </w:r>
      <w:r w:rsidR="00F6328E" w:rsidRPr="0007572B">
        <w:rPr>
          <w:rFonts w:ascii="Arial" w:hAnsi="Arial" w:cs="Arial"/>
        </w:rPr>
        <w:t>un</w:t>
      </w:r>
      <w:r w:rsidR="003B01B5" w:rsidRPr="0007572B">
        <w:rPr>
          <w:rFonts w:ascii="Arial" w:hAnsi="Arial" w:cs="Arial"/>
        </w:rPr>
        <w:t>audited</w:t>
      </w:r>
      <w:r w:rsidRPr="0007572B">
        <w:rPr>
          <w:rFonts w:ascii="Arial" w:hAnsi="Arial" w:cs="Arial"/>
        </w:rPr>
        <w:t xml:space="preserve"> Statement of Accounts give a true and fair view of the financial position of the </w:t>
      </w:r>
      <w:r w:rsidR="002D40FF" w:rsidRPr="0007572B">
        <w:rPr>
          <w:rFonts w:ascii="Arial" w:hAnsi="Arial" w:cs="Arial"/>
        </w:rPr>
        <w:t>A</w:t>
      </w:r>
      <w:r w:rsidRPr="0007572B">
        <w:rPr>
          <w:rFonts w:ascii="Arial" w:hAnsi="Arial" w:cs="Arial"/>
        </w:rPr>
        <w:t xml:space="preserve">uthority as at 31 March </w:t>
      </w:r>
      <w:r w:rsidR="00FF2959" w:rsidRPr="0007572B">
        <w:rPr>
          <w:rFonts w:ascii="Arial" w:hAnsi="Arial" w:cs="Arial"/>
        </w:rPr>
        <w:t>202</w:t>
      </w:r>
      <w:r w:rsidR="00D10D8D">
        <w:rPr>
          <w:rFonts w:ascii="Arial" w:hAnsi="Arial" w:cs="Arial"/>
        </w:rPr>
        <w:t>4</w:t>
      </w:r>
      <w:r w:rsidRPr="0007572B">
        <w:rPr>
          <w:rFonts w:ascii="Arial" w:hAnsi="Arial" w:cs="Arial"/>
        </w:rPr>
        <w:t xml:space="preserve"> and of its income and ex</w:t>
      </w:r>
      <w:r w:rsidR="00D22EC9" w:rsidRPr="0007572B">
        <w:rPr>
          <w:rFonts w:ascii="Arial" w:hAnsi="Arial" w:cs="Arial"/>
        </w:rPr>
        <w:t>penditure for the year ended 31</w:t>
      </w:r>
      <w:r w:rsidRPr="0007572B">
        <w:rPr>
          <w:rFonts w:ascii="Arial" w:hAnsi="Arial" w:cs="Arial"/>
        </w:rPr>
        <w:t xml:space="preserve"> March </w:t>
      </w:r>
      <w:r w:rsidR="00FF2959" w:rsidRPr="0007572B">
        <w:rPr>
          <w:rFonts w:ascii="Arial" w:hAnsi="Arial" w:cs="Arial"/>
        </w:rPr>
        <w:t>202</w:t>
      </w:r>
      <w:r w:rsidR="00D10D8D">
        <w:rPr>
          <w:rFonts w:ascii="Arial" w:hAnsi="Arial" w:cs="Arial"/>
        </w:rPr>
        <w:t>4</w:t>
      </w:r>
      <w:r w:rsidRPr="0007572B">
        <w:rPr>
          <w:rFonts w:ascii="Arial" w:hAnsi="Arial" w:cs="Arial"/>
        </w:rPr>
        <w:t>.</w:t>
      </w:r>
    </w:p>
    <w:p w14:paraId="3B7A1490" w14:textId="17BED530" w:rsidR="00D60764" w:rsidRPr="0007572B" w:rsidRDefault="00D60764" w:rsidP="006F1659">
      <w:pPr>
        <w:spacing w:line="360" w:lineRule="auto"/>
        <w:jc w:val="both"/>
        <w:rPr>
          <w:rFonts w:ascii="Arial" w:hAnsi="Arial" w:cs="Arial"/>
          <w:b/>
        </w:rPr>
      </w:pPr>
    </w:p>
    <w:p w14:paraId="28BDB731" w14:textId="01D6FD3C" w:rsidR="005D1F85" w:rsidRPr="0007572B" w:rsidRDefault="00CB356D" w:rsidP="006F1659">
      <w:pPr>
        <w:spacing w:line="360" w:lineRule="auto"/>
        <w:jc w:val="both"/>
        <w:rPr>
          <w:rFonts w:ascii="Arial" w:hAnsi="Arial" w:cs="Arial"/>
          <w:b/>
        </w:rPr>
      </w:pPr>
      <w:r w:rsidRPr="0007572B">
        <w:rPr>
          <w:rFonts w:ascii="Arial" w:hAnsi="Arial" w:cs="Arial"/>
          <w:noProof/>
          <w:sz w:val="28"/>
          <w:szCs w:val="28"/>
          <w:lang w:eastAsia="en-GB"/>
        </w:rPr>
        <w:drawing>
          <wp:inline distT="0" distB="0" distL="0" distR="0" wp14:anchorId="2FBDA4C4" wp14:editId="7DC498F0">
            <wp:extent cx="1617518" cy="889635"/>
            <wp:effectExtent l="0" t="0" r="1905" b="5715"/>
            <wp:docPr id="299" name="Picture 299" descr="Signature of Steve Wilson, Greater Manchester Combined Authority Treasur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299" descr="Signature of Steve Wilson, Greater Manchester Combined Authority Treasure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8307" cy="906569"/>
                    </a:xfrm>
                    <a:prstGeom prst="rect">
                      <a:avLst/>
                    </a:prstGeom>
                    <a:noFill/>
                    <a:ln>
                      <a:noFill/>
                    </a:ln>
                  </pic:spPr>
                </pic:pic>
              </a:graphicData>
            </a:graphic>
          </wp:inline>
        </w:drawing>
      </w:r>
    </w:p>
    <w:p w14:paraId="54637E5F" w14:textId="276AEE95" w:rsidR="00CF3300" w:rsidRPr="0007572B" w:rsidRDefault="005D1F85" w:rsidP="006F1659">
      <w:pPr>
        <w:spacing w:line="360" w:lineRule="auto"/>
        <w:jc w:val="both"/>
        <w:rPr>
          <w:rFonts w:ascii="Arial" w:hAnsi="Arial" w:cs="Arial"/>
          <w:b/>
        </w:rPr>
      </w:pPr>
      <w:r w:rsidRPr="0007572B">
        <w:rPr>
          <w:rFonts w:ascii="Arial" w:hAnsi="Arial" w:cs="Arial"/>
          <w:b/>
        </w:rPr>
        <w:t>Steve Wilson</w:t>
      </w:r>
    </w:p>
    <w:p w14:paraId="07F3E259" w14:textId="77777777" w:rsidR="00CF3300" w:rsidRPr="0007572B" w:rsidRDefault="00CF3300" w:rsidP="006F1659">
      <w:pPr>
        <w:spacing w:line="360" w:lineRule="auto"/>
        <w:jc w:val="both"/>
        <w:rPr>
          <w:rFonts w:ascii="Arial" w:hAnsi="Arial" w:cs="Arial"/>
          <w:b/>
        </w:rPr>
      </w:pPr>
      <w:r w:rsidRPr="0007572B">
        <w:rPr>
          <w:rFonts w:ascii="Arial" w:hAnsi="Arial" w:cs="Arial"/>
          <w:b/>
        </w:rPr>
        <w:t>Greater Manchester Combined Authority</w:t>
      </w:r>
      <w:r w:rsidR="00513B48" w:rsidRPr="0007572B">
        <w:rPr>
          <w:rFonts w:ascii="Arial" w:hAnsi="Arial" w:cs="Arial"/>
          <w:b/>
        </w:rPr>
        <w:t xml:space="preserve"> Treasurer</w:t>
      </w:r>
    </w:p>
    <w:p w14:paraId="601DE994" w14:textId="5AB443E2" w:rsidR="00AC02DA" w:rsidRPr="0007572B" w:rsidRDefault="00AC02DA" w:rsidP="006F1659">
      <w:pPr>
        <w:spacing w:line="360" w:lineRule="auto"/>
        <w:rPr>
          <w:rFonts w:ascii="Arial" w:hAnsi="Arial" w:cs="Arial"/>
          <w:color w:val="000000" w:themeColor="text1"/>
          <w:sz w:val="22"/>
          <w:szCs w:val="22"/>
        </w:rPr>
      </w:pPr>
    </w:p>
    <w:p w14:paraId="509D1A7B" w14:textId="77777777" w:rsidR="00A664A1" w:rsidRPr="0007572B" w:rsidRDefault="00A664A1" w:rsidP="006F1659">
      <w:pPr>
        <w:spacing w:line="360" w:lineRule="auto"/>
        <w:rPr>
          <w:rFonts w:ascii="Arial" w:hAnsi="Arial" w:cs="Arial"/>
          <w:color w:val="000000" w:themeColor="text1"/>
          <w:sz w:val="22"/>
          <w:szCs w:val="22"/>
        </w:rPr>
      </w:pPr>
    </w:p>
    <w:p w14:paraId="7696B7B1" w14:textId="77777777" w:rsidR="008A1801" w:rsidRPr="0007572B" w:rsidRDefault="00C66C51" w:rsidP="006F1659">
      <w:pPr>
        <w:spacing w:line="360" w:lineRule="auto"/>
        <w:rPr>
          <w:rFonts w:ascii="Arial" w:hAnsi="Arial" w:cs="Arial"/>
          <w:b/>
          <w:color w:val="000000" w:themeColor="text1"/>
          <w:sz w:val="22"/>
          <w:szCs w:val="22"/>
        </w:rPr>
      </w:pPr>
      <w:r w:rsidRPr="0007572B">
        <w:rPr>
          <w:rFonts w:ascii="Arial" w:hAnsi="Arial" w:cs="Arial"/>
          <w:b/>
          <w:color w:val="000000" w:themeColor="text1"/>
          <w:sz w:val="22"/>
          <w:szCs w:val="22"/>
        </w:rPr>
        <w:br w:type="page"/>
      </w:r>
    </w:p>
    <w:p w14:paraId="0F11F4D8" w14:textId="77777777" w:rsidR="008A1801" w:rsidRPr="0007572B" w:rsidRDefault="008A1801" w:rsidP="006F1659">
      <w:pPr>
        <w:spacing w:line="360" w:lineRule="auto"/>
        <w:jc w:val="center"/>
        <w:rPr>
          <w:rFonts w:ascii="Arial" w:hAnsi="Arial" w:cs="Arial"/>
          <w:b/>
          <w:sz w:val="40"/>
          <w:szCs w:val="40"/>
        </w:rPr>
      </w:pPr>
    </w:p>
    <w:p w14:paraId="3EEAB98B" w14:textId="77777777" w:rsidR="008A1801" w:rsidRPr="0007572B" w:rsidRDefault="008A1801" w:rsidP="006F1659">
      <w:pPr>
        <w:spacing w:line="360" w:lineRule="auto"/>
        <w:jc w:val="center"/>
        <w:rPr>
          <w:rFonts w:ascii="Arial" w:hAnsi="Arial" w:cs="Arial"/>
          <w:b/>
          <w:sz w:val="40"/>
          <w:szCs w:val="40"/>
        </w:rPr>
      </w:pPr>
    </w:p>
    <w:p w14:paraId="4DDCD061" w14:textId="77777777" w:rsidR="008A1801" w:rsidRPr="0007572B" w:rsidRDefault="008A1801" w:rsidP="006F1659">
      <w:pPr>
        <w:spacing w:line="360" w:lineRule="auto"/>
        <w:jc w:val="center"/>
        <w:rPr>
          <w:rFonts w:ascii="Arial" w:hAnsi="Arial" w:cs="Arial"/>
          <w:b/>
          <w:sz w:val="40"/>
          <w:szCs w:val="40"/>
        </w:rPr>
      </w:pPr>
    </w:p>
    <w:p w14:paraId="2B32ECA3" w14:textId="77777777" w:rsidR="008A1801" w:rsidRPr="0007572B" w:rsidRDefault="008A1801" w:rsidP="006F1659">
      <w:pPr>
        <w:spacing w:line="360" w:lineRule="auto"/>
        <w:jc w:val="center"/>
        <w:rPr>
          <w:rFonts w:ascii="Arial" w:hAnsi="Arial" w:cs="Arial"/>
          <w:b/>
          <w:sz w:val="40"/>
          <w:szCs w:val="40"/>
        </w:rPr>
      </w:pPr>
    </w:p>
    <w:p w14:paraId="5BACE30F" w14:textId="6B533CBF" w:rsidR="00CB4A8E" w:rsidRPr="002A6C4C" w:rsidRDefault="008A1801" w:rsidP="006F1659">
      <w:pPr>
        <w:pStyle w:val="Heading1"/>
        <w:spacing w:line="360" w:lineRule="auto"/>
        <w:jc w:val="center"/>
      </w:pPr>
      <w:bookmarkStart w:id="70" w:name="_Toc92895168"/>
      <w:bookmarkStart w:id="71" w:name="_Toc109922602"/>
      <w:r w:rsidRPr="002A6C4C">
        <w:t>Greate</w:t>
      </w:r>
      <w:r w:rsidR="00E266B1" w:rsidRPr="002A6C4C">
        <w:t>r Manchester Combined Authority</w:t>
      </w:r>
      <w:r w:rsidR="00261631">
        <w:t xml:space="preserve"> Single Entity Accounts</w:t>
      </w:r>
      <w:bookmarkEnd w:id="70"/>
      <w:bookmarkEnd w:id="71"/>
    </w:p>
    <w:p w14:paraId="128F98FC" w14:textId="77777777" w:rsidR="00E266B1" w:rsidRPr="0007572B" w:rsidRDefault="00E266B1" w:rsidP="006F1659">
      <w:pPr>
        <w:spacing w:line="360" w:lineRule="auto"/>
        <w:jc w:val="center"/>
        <w:rPr>
          <w:rFonts w:ascii="Arial" w:hAnsi="Arial" w:cs="Arial"/>
          <w:b/>
          <w:sz w:val="40"/>
          <w:szCs w:val="40"/>
        </w:rPr>
      </w:pPr>
    </w:p>
    <w:p w14:paraId="7731744A" w14:textId="77777777" w:rsidR="00CB4A8E" w:rsidRPr="0007572B" w:rsidRDefault="00CB4A8E" w:rsidP="006F1659">
      <w:pPr>
        <w:spacing w:line="360" w:lineRule="auto"/>
        <w:jc w:val="center"/>
        <w:rPr>
          <w:rFonts w:ascii="Arial" w:hAnsi="Arial" w:cs="Arial"/>
          <w:b/>
          <w:sz w:val="40"/>
          <w:szCs w:val="40"/>
        </w:rPr>
      </w:pPr>
    </w:p>
    <w:p w14:paraId="3F473491" w14:textId="2F6E37D4" w:rsidR="00FA2AC4" w:rsidRPr="0007572B" w:rsidRDefault="00DA6CEE" w:rsidP="006F1659">
      <w:pPr>
        <w:pStyle w:val="Heaading2green"/>
        <w:spacing w:line="360" w:lineRule="auto"/>
      </w:pPr>
      <w:bookmarkStart w:id="72" w:name="_Toc109922603"/>
      <w:r w:rsidRPr="0007572B">
        <w:t xml:space="preserve">Financial </w:t>
      </w:r>
      <w:r w:rsidR="008A1801" w:rsidRPr="0007572B">
        <w:t>Statements</w:t>
      </w:r>
      <w:bookmarkEnd w:id="72"/>
    </w:p>
    <w:p w14:paraId="29B877EB" w14:textId="77777777" w:rsidR="00DA6CEE" w:rsidRPr="0007572B" w:rsidRDefault="00DA6CEE" w:rsidP="006F1659">
      <w:pPr>
        <w:spacing w:line="360" w:lineRule="auto"/>
        <w:rPr>
          <w:rFonts w:ascii="Arial" w:hAnsi="Arial" w:cs="Arial"/>
          <w:b/>
          <w:sz w:val="22"/>
          <w:szCs w:val="22"/>
        </w:rPr>
      </w:pPr>
    </w:p>
    <w:p w14:paraId="24DD32A9" w14:textId="77777777" w:rsidR="004E11FD" w:rsidRPr="0007572B" w:rsidRDefault="004E11FD" w:rsidP="006F1659">
      <w:pPr>
        <w:spacing w:line="360" w:lineRule="auto"/>
        <w:rPr>
          <w:rFonts w:ascii="Arial" w:hAnsi="Arial" w:cs="Arial"/>
          <w:b/>
          <w:sz w:val="22"/>
          <w:szCs w:val="22"/>
        </w:rPr>
      </w:pPr>
    </w:p>
    <w:p w14:paraId="54ED5163" w14:textId="77777777" w:rsidR="00BA365E" w:rsidRPr="0007572B" w:rsidRDefault="00BA365E" w:rsidP="006F1659">
      <w:pPr>
        <w:spacing w:line="360" w:lineRule="auto"/>
        <w:rPr>
          <w:rFonts w:ascii="Arial" w:hAnsi="Arial" w:cs="Arial"/>
          <w:b/>
          <w:sz w:val="22"/>
          <w:szCs w:val="22"/>
        </w:rPr>
      </w:pPr>
    </w:p>
    <w:p w14:paraId="0BBA67CA" w14:textId="77777777" w:rsidR="00BA365E" w:rsidRPr="0007572B" w:rsidRDefault="00BA365E" w:rsidP="006F1659">
      <w:pPr>
        <w:spacing w:line="360" w:lineRule="auto"/>
        <w:rPr>
          <w:rFonts w:ascii="Arial" w:hAnsi="Arial" w:cs="Arial"/>
          <w:b/>
          <w:sz w:val="22"/>
          <w:szCs w:val="22"/>
        </w:rPr>
      </w:pPr>
    </w:p>
    <w:p w14:paraId="069F70CF" w14:textId="77777777" w:rsidR="00FF6768" w:rsidRPr="0007572B" w:rsidRDefault="00FF6768" w:rsidP="006F1659">
      <w:pPr>
        <w:spacing w:line="360" w:lineRule="auto"/>
        <w:rPr>
          <w:rFonts w:ascii="Arial" w:hAnsi="Arial" w:cs="Arial"/>
          <w:b/>
          <w:sz w:val="22"/>
          <w:szCs w:val="22"/>
        </w:rPr>
        <w:sectPr w:rsidR="00FF6768" w:rsidRPr="0007572B" w:rsidSect="004833A2">
          <w:pgSz w:w="11906" w:h="16838"/>
          <w:pgMar w:top="1444" w:right="1416" w:bottom="1440" w:left="1080" w:header="568" w:footer="567" w:gutter="0"/>
          <w:cols w:space="708"/>
          <w:docGrid w:linePitch="360"/>
        </w:sectPr>
      </w:pPr>
    </w:p>
    <w:p w14:paraId="55A6082B" w14:textId="3C168176" w:rsidR="00FA2AC4" w:rsidRPr="0007572B" w:rsidRDefault="00BC54CF" w:rsidP="006F1659">
      <w:pPr>
        <w:pStyle w:val="Heading3green"/>
        <w:spacing w:line="360" w:lineRule="auto"/>
      </w:pPr>
      <w:bookmarkStart w:id="73" w:name="_Toc109922604"/>
      <w:r w:rsidRPr="0007572B">
        <w:lastRenderedPageBreak/>
        <w:t>Comprehensive I</w:t>
      </w:r>
      <w:r w:rsidR="005B1B6B" w:rsidRPr="0007572B">
        <w:t>ncome and Expenditure Statement</w:t>
      </w:r>
      <w:bookmarkEnd w:id="73"/>
    </w:p>
    <w:p w14:paraId="1DC2B6C9" w14:textId="51409BDF" w:rsidR="00BC54CF" w:rsidRDefault="00D552A9" w:rsidP="006F1659">
      <w:pPr>
        <w:spacing w:line="360" w:lineRule="auto"/>
        <w:rPr>
          <w:rFonts w:ascii="Arial" w:eastAsia="Verdana" w:hAnsi="Arial" w:cs="Arial"/>
        </w:rPr>
      </w:pPr>
      <w:r w:rsidRPr="0007572B">
        <w:rPr>
          <w:rFonts w:ascii="Arial" w:eastAsia="Verdana" w:hAnsi="Arial" w:cs="Arial"/>
        </w:rPr>
        <w:t>The Comprehensive Income and Expenditure Statement shows the accounting cost in the year of providing services in accordance with generally accepted accounting practices, rather than the amount to be funded from taxation. Authorities raise taxation (and rents) to cover expenditure in accordance with statutory requirements; this may be different from the accounting cost. The taxation position is shown in both the Expenditure and Funding Analysis and the Movement in Reserves Statement.</w:t>
      </w:r>
    </w:p>
    <w:p w14:paraId="2C665828" w14:textId="24ADF744" w:rsidR="004B2EDB" w:rsidRDefault="00B851EF" w:rsidP="006F1659">
      <w:pPr>
        <w:spacing w:line="360" w:lineRule="auto"/>
        <w:jc w:val="both"/>
        <w:rPr>
          <w:rFonts w:ascii="Arial" w:hAnsi="Arial" w:cs="Arial"/>
          <w:b/>
          <w:sz w:val="22"/>
          <w:szCs w:val="22"/>
        </w:rPr>
      </w:pPr>
      <w:r w:rsidRPr="00B851EF">
        <w:rPr>
          <w:noProof/>
        </w:rPr>
        <w:drawing>
          <wp:inline distT="0" distB="0" distL="0" distR="0" wp14:anchorId="29F5E3E7" wp14:editId="1C5979BD">
            <wp:extent cx="7172325" cy="3647328"/>
            <wp:effectExtent l="0" t="0" r="0" b="0"/>
            <wp:docPr id="142583918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839189" name="Picture 4">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43191" cy="3683365"/>
                    </a:xfrm>
                    <a:prstGeom prst="rect">
                      <a:avLst/>
                    </a:prstGeom>
                    <a:noFill/>
                    <a:ln>
                      <a:noFill/>
                    </a:ln>
                  </pic:spPr>
                </pic:pic>
              </a:graphicData>
            </a:graphic>
          </wp:inline>
        </w:drawing>
      </w:r>
    </w:p>
    <w:p w14:paraId="47720E3B" w14:textId="77777777" w:rsidR="00B851EF" w:rsidRDefault="00F930D2" w:rsidP="006F1659">
      <w:pPr>
        <w:spacing w:line="360" w:lineRule="auto"/>
        <w:jc w:val="both"/>
        <w:rPr>
          <w:rFonts w:ascii="Arial" w:hAnsi="Arial" w:cs="Arial"/>
          <w:b/>
          <w:sz w:val="22"/>
          <w:szCs w:val="22"/>
        </w:rPr>
      </w:pPr>
      <w:r w:rsidRPr="0007572B">
        <w:rPr>
          <w:rFonts w:ascii="Arial" w:hAnsi="Arial" w:cs="Arial"/>
          <w:b/>
          <w:sz w:val="22"/>
          <w:szCs w:val="22"/>
        </w:rPr>
        <w:t>Steve Wilson</w:t>
      </w:r>
    </w:p>
    <w:p w14:paraId="410D2B37" w14:textId="7F219C31" w:rsidR="00F930D2" w:rsidRPr="0007572B" w:rsidRDefault="00F930D2" w:rsidP="006F1659">
      <w:pPr>
        <w:spacing w:line="360" w:lineRule="auto"/>
        <w:jc w:val="both"/>
        <w:rPr>
          <w:rFonts w:ascii="Arial" w:hAnsi="Arial" w:cs="Arial"/>
          <w:b/>
          <w:sz w:val="22"/>
          <w:szCs w:val="22"/>
        </w:rPr>
      </w:pPr>
      <w:r w:rsidRPr="0007572B">
        <w:rPr>
          <w:rFonts w:ascii="Arial" w:hAnsi="Arial" w:cs="Arial"/>
          <w:b/>
          <w:sz w:val="22"/>
          <w:szCs w:val="22"/>
        </w:rPr>
        <w:t>Greater Manchester Combined Authority Treasurer</w:t>
      </w:r>
    </w:p>
    <w:p w14:paraId="313FBE17" w14:textId="3F9A383C" w:rsidR="00F930D2" w:rsidRPr="0007572B" w:rsidRDefault="00F930D2" w:rsidP="006F1659">
      <w:pPr>
        <w:spacing w:line="360" w:lineRule="auto"/>
        <w:jc w:val="both"/>
        <w:rPr>
          <w:rFonts w:ascii="Arial" w:hAnsi="Arial" w:cs="Arial"/>
          <w:b/>
          <w:sz w:val="22"/>
          <w:szCs w:val="22"/>
        </w:rPr>
        <w:sectPr w:rsidR="00F930D2" w:rsidRPr="0007572B" w:rsidSect="00E701E5">
          <w:pgSz w:w="16838" w:h="11906" w:orient="landscape"/>
          <w:pgMar w:top="1080" w:right="1444" w:bottom="1276" w:left="1440" w:header="568" w:footer="567" w:gutter="0"/>
          <w:cols w:space="708"/>
          <w:docGrid w:linePitch="360"/>
        </w:sectPr>
      </w:pPr>
      <w:r w:rsidRPr="0007572B">
        <w:rPr>
          <w:rFonts w:ascii="Arial" w:hAnsi="Arial" w:cs="Arial"/>
          <w:b/>
          <w:sz w:val="22"/>
          <w:szCs w:val="22"/>
        </w:rPr>
        <w:t>Date:</w:t>
      </w:r>
      <w:r>
        <w:rPr>
          <w:rFonts w:ascii="Arial" w:hAnsi="Arial" w:cs="Arial"/>
          <w:b/>
          <w:sz w:val="22"/>
          <w:szCs w:val="22"/>
        </w:rPr>
        <w:t xml:space="preserve"> </w:t>
      </w:r>
      <w:r w:rsidR="00B13566">
        <w:rPr>
          <w:rFonts w:ascii="Arial" w:hAnsi="Arial" w:cs="Arial"/>
          <w:b/>
          <w:sz w:val="22"/>
          <w:szCs w:val="22"/>
        </w:rPr>
        <w:t xml:space="preserve">31 </w:t>
      </w:r>
      <w:r w:rsidR="00B13566" w:rsidRPr="00B13566">
        <w:rPr>
          <w:rFonts w:ascii="Arial" w:hAnsi="Arial" w:cs="Arial"/>
          <w:b/>
          <w:sz w:val="22"/>
          <w:szCs w:val="22"/>
        </w:rPr>
        <w:t>Ju</w:t>
      </w:r>
      <w:r w:rsidR="0050377A">
        <w:rPr>
          <w:rFonts w:ascii="Arial" w:hAnsi="Arial" w:cs="Arial"/>
          <w:b/>
          <w:sz w:val="22"/>
          <w:szCs w:val="22"/>
        </w:rPr>
        <w:t>ne</w:t>
      </w:r>
      <w:r w:rsidR="00212C0B" w:rsidRPr="00B13566">
        <w:rPr>
          <w:rFonts w:ascii="Arial" w:hAnsi="Arial" w:cs="Arial"/>
          <w:b/>
          <w:sz w:val="22"/>
          <w:szCs w:val="22"/>
        </w:rPr>
        <w:t xml:space="preserve"> 202</w:t>
      </w:r>
      <w:r w:rsidR="00D10D8D">
        <w:rPr>
          <w:rFonts w:ascii="Arial" w:hAnsi="Arial" w:cs="Arial"/>
          <w:b/>
          <w:sz w:val="22"/>
          <w:szCs w:val="22"/>
        </w:rPr>
        <w:t>4</w:t>
      </w:r>
    </w:p>
    <w:p w14:paraId="7C08C077" w14:textId="431F5A2A" w:rsidR="00A039AC" w:rsidRPr="002A6C4C" w:rsidRDefault="00A039AC" w:rsidP="006F1659">
      <w:pPr>
        <w:pStyle w:val="Heading3green"/>
        <w:spacing w:line="360" w:lineRule="auto"/>
      </w:pPr>
      <w:bookmarkStart w:id="74" w:name="_Toc109922605"/>
      <w:r w:rsidRPr="002A6C4C">
        <w:lastRenderedPageBreak/>
        <w:t>Movement in Reserves</w:t>
      </w:r>
      <w:r w:rsidR="005B1B6B" w:rsidRPr="002A6C4C">
        <w:t xml:space="preserve"> Statement</w:t>
      </w:r>
      <w:bookmarkEnd w:id="74"/>
    </w:p>
    <w:p w14:paraId="76CC8D56" w14:textId="77777777" w:rsidR="00EC408E" w:rsidRPr="0007572B" w:rsidRDefault="00EC408E" w:rsidP="006F1659">
      <w:pPr>
        <w:spacing w:line="360" w:lineRule="auto"/>
        <w:jc w:val="both"/>
        <w:rPr>
          <w:rFonts w:ascii="Arial" w:hAnsi="Arial" w:cs="Arial"/>
          <w:sz w:val="22"/>
          <w:szCs w:val="22"/>
        </w:rPr>
      </w:pPr>
    </w:p>
    <w:p w14:paraId="2057230A" w14:textId="273399AF" w:rsidR="00D552A9" w:rsidRDefault="00D552A9" w:rsidP="006F1659">
      <w:pPr>
        <w:spacing w:line="360" w:lineRule="auto"/>
        <w:rPr>
          <w:rFonts w:ascii="Arial" w:eastAsia="Calibri" w:hAnsi="Arial" w:cs="Arial"/>
          <w:lang w:val="pt-BR"/>
        </w:rPr>
      </w:pPr>
      <w:r w:rsidRPr="0007572B">
        <w:rPr>
          <w:rFonts w:ascii="Arial" w:eastAsia="Calibri" w:hAnsi="Arial" w:cs="Arial"/>
          <w:lang w:val="pt-BR"/>
        </w:rPr>
        <w:t xml:space="preserve">The Movement in Reserves Statement shows the movement from the start of the year to the end </w:t>
      </w:r>
      <w:r w:rsidR="00627BE3">
        <w:rPr>
          <w:rFonts w:ascii="Arial" w:eastAsia="Calibri" w:hAnsi="Arial" w:cs="Arial"/>
          <w:lang w:val="pt-BR"/>
        </w:rPr>
        <w:t xml:space="preserve">of the year </w:t>
      </w:r>
      <w:r w:rsidRPr="0007572B">
        <w:rPr>
          <w:rFonts w:ascii="Arial" w:eastAsia="Calibri" w:hAnsi="Arial" w:cs="Arial"/>
          <w:lang w:val="pt-BR"/>
        </w:rPr>
        <w:t>on the different reserves held by the Authority, analysed into ‘usable reserves’ (i</w:t>
      </w:r>
      <w:r w:rsidR="009D0BC9" w:rsidRPr="0007572B">
        <w:rPr>
          <w:rFonts w:ascii="Arial" w:eastAsia="Calibri" w:hAnsi="Arial" w:cs="Arial"/>
          <w:lang w:val="pt-BR"/>
        </w:rPr>
        <w:t>.</w:t>
      </w:r>
      <w:r w:rsidRPr="0007572B">
        <w:rPr>
          <w:rFonts w:ascii="Arial" w:eastAsia="Calibri" w:hAnsi="Arial" w:cs="Arial"/>
          <w:lang w:val="pt-BR"/>
        </w:rPr>
        <w:t>e</w:t>
      </w:r>
      <w:r w:rsidR="009D0BC9" w:rsidRPr="0007572B">
        <w:rPr>
          <w:rFonts w:ascii="Arial" w:eastAsia="Calibri" w:hAnsi="Arial" w:cs="Arial"/>
          <w:lang w:val="pt-BR"/>
        </w:rPr>
        <w:t>.</w:t>
      </w:r>
      <w:r w:rsidRPr="0007572B">
        <w:rPr>
          <w:rFonts w:ascii="Arial" w:eastAsia="Calibri" w:hAnsi="Arial" w:cs="Arial"/>
          <w:lang w:val="pt-BR"/>
        </w:rPr>
        <w:t xml:space="preserve"> those that can be applied to fund expenditure or reduce local taxation) and other ‘unusable reserves’. The Statement shows how the movements in year of the Authority’s reserves are broken down between gains and losses incurred in accordance with generally accepted accounting practices and the statutory adjustments required to return to the amounts chargeable to council tax for the year. The Net Increase/Decrease line shows the statutory General Fund Balance movements in the year following those adjustments.</w:t>
      </w:r>
    </w:p>
    <w:p w14:paraId="26EA1874" w14:textId="66BE0DFB" w:rsidR="00EE467D" w:rsidRDefault="00616CD8" w:rsidP="006F1659">
      <w:pPr>
        <w:spacing w:line="360" w:lineRule="auto"/>
        <w:rPr>
          <w:rFonts w:ascii="Arial" w:hAnsi="Arial" w:cs="Arial"/>
          <w:b/>
          <w:sz w:val="28"/>
          <w:szCs w:val="28"/>
        </w:rPr>
      </w:pPr>
      <w:r w:rsidRPr="00616CD8">
        <w:rPr>
          <w:rFonts w:eastAsia="Calibri"/>
          <w:noProof/>
        </w:rPr>
        <w:drawing>
          <wp:inline distT="0" distB="0" distL="0" distR="0" wp14:anchorId="4361BD2D" wp14:editId="2FA01583">
            <wp:extent cx="8860790" cy="2785745"/>
            <wp:effectExtent l="0" t="0" r="0" b="0"/>
            <wp:docPr id="106779783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797835" name="Picture 4">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60790" cy="2785745"/>
                    </a:xfrm>
                    <a:prstGeom prst="rect">
                      <a:avLst/>
                    </a:prstGeom>
                    <a:noFill/>
                    <a:ln>
                      <a:noFill/>
                    </a:ln>
                  </pic:spPr>
                </pic:pic>
              </a:graphicData>
            </a:graphic>
          </wp:inline>
        </w:drawing>
      </w:r>
    </w:p>
    <w:p w14:paraId="5FC3589A" w14:textId="0FF39CAD" w:rsidR="00D10D8D" w:rsidRDefault="00D10D8D" w:rsidP="006F1659">
      <w:pPr>
        <w:spacing w:line="360" w:lineRule="auto"/>
        <w:rPr>
          <w:rFonts w:ascii="Arial" w:hAnsi="Arial" w:cs="Arial"/>
          <w:b/>
          <w:sz w:val="28"/>
          <w:szCs w:val="28"/>
        </w:rPr>
      </w:pPr>
    </w:p>
    <w:p w14:paraId="14760567" w14:textId="77777777" w:rsidR="00616CD8" w:rsidRDefault="00616CD8" w:rsidP="006F1659">
      <w:pPr>
        <w:spacing w:line="360" w:lineRule="auto"/>
        <w:rPr>
          <w:rFonts w:ascii="Arial" w:hAnsi="Arial" w:cs="Arial"/>
          <w:b/>
          <w:sz w:val="28"/>
          <w:szCs w:val="28"/>
        </w:rPr>
      </w:pPr>
    </w:p>
    <w:p w14:paraId="53C4D8D8" w14:textId="54E27FC0" w:rsidR="00616CD8" w:rsidRPr="0007572B" w:rsidRDefault="00616CD8" w:rsidP="006F1659">
      <w:pPr>
        <w:spacing w:line="360" w:lineRule="auto"/>
        <w:rPr>
          <w:rFonts w:ascii="Arial" w:hAnsi="Arial" w:cs="Arial"/>
          <w:b/>
          <w:sz w:val="28"/>
          <w:szCs w:val="28"/>
        </w:rPr>
        <w:sectPr w:rsidR="00616CD8" w:rsidRPr="0007572B" w:rsidSect="004833A2">
          <w:pgSz w:w="16838" w:h="11906" w:orient="landscape"/>
          <w:pgMar w:top="1080" w:right="1444" w:bottom="1416" w:left="1440" w:header="568" w:footer="567" w:gutter="0"/>
          <w:cols w:space="708"/>
          <w:docGrid w:linePitch="360"/>
        </w:sectPr>
      </w:pPr>
    </w:p>
    <w:p w14:paraId="72BE6ED4" w14:textId="60F44A9D" w:rsidR="00D2583B" w:rsidRPr="0007572B" w:rsidRDefault="00D2583B" w:rsidP="006F1659">
      <w:pPr>
        <w:pStyle w:val="Heading3green"/>
        <w:spacing w:line="360" w:lineRule="auto"/>
      </w:pPr>
      <w:bookmarkStart w:id="75" w:name="_Toc109922606"/>
      <w:r w:rsidRPr="0007572B">
        <w:lastRenderedPageBreak/>
        <w:t>Balance Sheet</w:t>
      </w:r>
      <w:bookmarkEnd w:id="75"/>
    </w:p>
    <w:p w14:paraId="60934230" w14:textId="7BA10F24" w:rsidR="009F53F8" w:rsidRPr="0007572B" w:rsidRDefault="009F53F8" w:rsidP="006F1659">
      <w:pPr>
        <w:spacing w:line="360" w:lineRule="auto"/>
        <w:rPr>
          <w:rFonts w:ascii="Arial" w:hAnsi="Arial" w:cs="Arial"/>
        </w:rPr>
      </w:pPr>
      <w:r w:rsidRPr="0007572B">
        <w:rPr>
          <w:rFonts w:ascii="Arial" w:hAnsi="Arial" w:cs="Arial"/>
        </w:rPr>
        <w:t xml:space="preserve">The </w:t>
      </w:r>
      <w:r w:rsidR="007E4DDF">
        <w:rPr>
          <w:rFonts w:ascii="Arial" w:hAnsi="Arial" w:cs="Arial"/>
        </w:rPr>
        <w:t>B</w:t>
      </w:r>
      <w:r w:rsidRPr="0007572B">
        <w:rPr>
          <w:rFonts w:ascii="Arial" w:hAnsi="Arial" w:cs="Arial"/>
        </w:rPr>
        <w:t>alance Sheet shows the value of assets and liabilities recognised by the Authority. The net assets/liabilities are matched by the usable and unusable reserves held. Usable reserves can be utilised to fund services whereas unusable reserves are accounting reserves held to reconcile the position between the accounting cost of services and the cost set out in legislation that is chargeable to precepts and taxation.</w:t>
      </w:r>
    </w:p>
    <w:p w14:paraId="7131E703" w14:textId="30C53922" w:rsidR="00F930D2" w:rsidRDefault="009F53F8" w:rsidP="006F1659">
      <w:pPr>
        <w:spacing w:line="360" w:lineRule="auto"/>
        <w:rPr>
          <w:rFonts w:ascii="Arial" w:hAnsi="Arial" w:cs="Arial"/>
        </w:rPr>
      </w:pPr>
      <w:r w:rsidRPr="0007572B">
        <w:rPr>
          <w:rFonts w:ascii="Arial" w:hAnsi="Arial" w:cs="Arial"/>
        </w:rPr>
        <w:t>Further details of balance sheet items can be found in the relevant associated notes.</w:t>
      </w:r>
    </w:p>
    <w:p w14:paraId="6A8B0CA1" w14:textId="73249A3A" w:rsidR="00D10D8D" w:rsidRPr="00616CD8" w:rsidRDefault="00F930D2" w:rsidP="006F1659">
      <w:pPr>
        <w:spacing w:line="360" w:lineRule="auto"/>
        <w:jc w:val="both"/>
        <w:rPr>
          <w:noProof/>
        </w:rPr>
      </w:pPr>
      <w:r w:rsidRPr="00F930D2">
        <w:rPr>
          <w:rFonts w:ascii="Arial" w:hAnsi="Arial" w:cs="Arial"/>
          <w:b/>
        </w:rPr>
        <w:t xml:space="preserve"> </w:t>
      </w:r>
      <w:r w:rsidR="004C594A" w:rsidRPr="004C594A">
        <w:rPr>
          <w:noProof/>
        </w:rPr>
        <w:drawing>
          <wp:inline distT="0" distB="0" distL="0" distR="0" wp14:anchorId="6C9E6D49" wp14:editId="2B6611DE">
            <wp:extent cx="4387850" cy="6090514"/>
            <wp:effectExtent l="0" t="0" r="0" b="5715"/>
            <wp:docPr id="1674474735"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474735" name="Picture 48">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97095" cy="6103346"/>
                    </a:xfrm>
                    <a:prstGeom prst="rect">
                      <a:avLst/>
                    </a:prstGeom>
                    <a:noFill/>
                    <a:ln>
                      <a:noFill/>
                    </a:ln>
                  </pic:spPr>
                </pic:pic>
              </a:graphicData>
            </a:graphic>
          </wp:inline>
        </w:drawing>
      </w:r>
    </w:p>
    <w:p w14:paraId="49907882" w14:textId="5CF798F3" w:rsidR="00B173FF" w:rsidRPr="0007572B" w:rsidRDefault="00A16916" w:rsidP="006F1659">
      <w:pPr>
        <w:spacing w:line="360" w:lineRule="auto"/>
        <w:jc w:val="both"/>
        <w:rPr>
          <w:rFonts w:ascii="Arial" w:hAnsi="Arial" w:cs="Arial"/>
          <w:b/>
        </w:rPr>
      </w:pPr>
      <w:r w:rsidRPr="0007572B">
        <w:rPr>
          <w:rFonts w:ascii="Arial" w:hAnsi="Arial" w:cs="Arial"/>
          <w:b/>
        </w:rPr>
        <w:t>Steve Wilson</w:t>
      </w:r>
    </w:p>
    <w:p w14:paraId="466BE280" w14:textId="77777777" w:rsidR="00B173FF" w:rsidRPr="0007572B" w:rsidRDefault="00B173FF" w:rsidP="006F1659">
      <w:pPr>
        <w:spacing w:line="360" w:lineRule="auto"/>
        <w:jc w:val="both"/>
        <w:rPr>
          <w:rFonts w:ascii="Arial" w:hAnsi="Arial" w:cs="Arial"/>
          <w:b/>
        </w:rPr>
      </w:pPr>
      <w:r w:rsidRPr="0007572B">
        <w:rPr>
          <w:rFonts w:ascii="Arial" w:hAnsi="Arial" w:cs="Arial"/>
          <w:b/>
        </w:rPr>
        <w:t>Greater Manchester Combined Authority Treasurer</w:t>
      </w:r>
    </w:p>
    <w:p w14:paraId="3DF8D8BA" w14:textId="29F72088" w:rsidR="00D50C37" w:rsidRPr="0007572B" w:rsidRDefault="00AD0EA6" w:rsidP="006F1659">
      <w:pPr>
        <w:spacing w:line="360" w:lineRule="auto"/>
        <w:jc w:val="both"/>
        <w:rPr>
          <w:rFonts w:ascii="Arial" w:hAnsi="Arial" w:cs="Arial"/>
          <w:b/>
          <w:sz w:val="22"/>
          <w:szCs w:val="22"/>
        </w:rPr>
      </w:pPr>
      <w:r w:rsidRPr="0007572B">
        <w:rPr>
          <w:rFonts w:ascii="Arial" w:hAnsi="Arial" w:cs="Arial"/>
          <w:b/>
        </w:rPr>
        <w:t>Date</w:t>
      </w:r>
      <w:r w:rsidR="00B51F59" w:rsidRPr="0007572B">
        <w:rPr>
          <w:rFonts w:ascii="Arial" w:hAnsi="Arial" w:cs="Arial"/>
          <w:b/>
        </w:rPr>
        <w:t xml:space="preserve">: </w:t>
      </w:r>
      <w:r w:rsidR="00B13566">
        <w:rPr>
          <w:rFonts w:ascii="Arial" w:hAnsi="Arial" w:cs="Arial"/>
          <w:b/>
        </w:rPr>
        <w:t>31 Ju</w:t>
      </w:r>
      <w:r w:rsidR="0050377A">
        <w:rPr>
          <w:rFonts w:ascii="Arial" w:hAnsi="Arial" w:cs="Arial"/>
          <w:b/>
        </w:rPr>
        <w:t>ne</w:t>
      </w:r>
      <w:r w:rsidR="00655E4C" w:rsidRPr="00B13566">
        <w:rPr>
          <w:rFonts w:ascii="Arial" w:hAnsi="Arial" w:cs="Arial"/>
          <w:b/>
        </w:rPr>
        <w:t xml:space="preserve"> 202</w:t>
      </w:r>
      <w:r w:rsidR="00D10D8D">
        <w:rPr>
          <w:rFonts w:ascii="Arial" w:hAnsi="Arial" w:cs="Arial"/>
          <w:b/>
        </w:rPr>
        <w:t>4</w:t>
      </w:r>
      <w:r w:rsidR="00D50C37" w:rsidRPr="0007572B">
        <w:rPr>
          <w:rFonts w:ascii="Arial" w:hAnsi="Arial" w:cs="Arial"/>
          <w:b/>
          <w:sz w:val="22"/>
          <w:szCs w:val="22"/>
        </w:rPr>
        <w:br w:type="page"/>
      </w:r>
    </w:p>
    <w:p w14:paraId="6F7A298C" w14:textId="05FAECE3" w:rsidR="00513B48" w:rsidRPr="0007572B" w:rsidRDefault="00513B48" w:rsidP="006F1659">
      <w:pPr>
        <w:pStyle w:val="Heading3green"/>
        <w:spacing w:line="360" w:lineRule="auto"/>
      </w:pPr>
      <w:bookmarkStart w:id="76" w:name="_Toc109922607"/>
      <w:r w:rsidRPr="0007572B">
        <w:lastRenderedPageBreak/>
        <w:t>Cash Flow Statement</w:t>
      </w:r>
      <w:bookmarkEnd w:id="76"/>
    </w:p>
    <w:p w14:paraId="3C98D4E6" w14:textId="77777777" w:rsidR="00986BB0" w:rsidRPr="0007572B" w:rsidRDefault="00986BB0" w:rsidP="006F1659">
      <w:pPr>
        <w:spacing w:line="360" w:lineRule="auto"/>
        <w:jc w:val="both"/>
        <w:rPr>
          <w:rFonts w:ascii="Arial" w:hAnsi="Arial" w:cs="Arial"/>
          <w:sz w:val="20"/>
          <w:szCs w:val="20"/>
        </w:rPr>
      </w:pPr>
    </w:p>
    <w:p w14:paraId="07D63A90" w14:textId="77777777" w:rsidR="00716A39" w:rsidRPr="0007572B" w:rsidRDefault="00D552A9" w:rsidP="006F1659">
      <w:pPr>
        <w:spacing w:line="360" w:lineRule="auto"/>
        <w:rPr>
          <w:rFonts w:ascii="Arial" w:eastAsia="Calibri" w:hAnsi="Arial" w:cs="Arial"/>
          <w:lang w:val="pt-BR"/>
        </w:rPr>
      </w:pPr>
      <w:r w:rsidRPr="0007572B">
        <w:rPr>
          <w:rFonts w:ascii="Arial" w:eastAsia="Calibri" w:hAnsi="Arial" w:cs="Arial"/>
          <w:lang w:val="pt-BR"/>
        </w:rPr>
        <w:t xml:space="preserve">The Cash Flow Statement shows the changes in cash and cash equivalents of the Authority during the reporting period. The statement shows how the Authority generates and uses cash and cash equivalents by classifying cash flows as operating, investing and financing activities. The amount of net cash flows arising from operating activities is a key indicator of the extent to which the operations of the Authority are funded by way of taxation and grant income or from the recipients of services provided by the Authority. </w:t>
      </w:r>
    </w:p>
    <w:p w14:paraId="2702127E" w14:textId="77777777" w:rsidR="00716A39" w:rsidRPr="0007572B" w:rsidRDefault="00716A39" w:rsidP="006F1659">
      <w:pPr>
        <w:spacing w:line="360" w:lineRule="auto"/>
        <w:rPr>
          <w:rFonts w:ascii="Arial" w:eastAsia="Calibri" w:hAnsi="Arial" w:cs="Arial"/>
          <w:lang w:val="pt-BR"/>
        </w:rPr>
      </w:pPr>
    </w:p>
    <w:p w14:paraId="4E2C4AE7" w14:textId="3117562C" w:rsidR="008A1801" w:rsidRDefault="00D552A9" w:rsidP="006F1659">
      <w:pPr>
        <w:spacing w:line="360" w:lineRule="auto"/>
        <w:rPr>
          <w:rFonts w:ascii="Arial" w:eastAsia="Calibri" w:hAnsi="Arial" w:cs="Arial"/>
          <w:lang w:val="pt-BR"/>
        </w:rPr>
      </w:pPr>
      <w:r w:rsidRPr="0007572B">
        <w:rPr>
          <w:rFonts w:ascii="Arial" w:eastAsia="Calibri" w:hAnsi="Arial" w:cs="Arial"/>
          <w:lang w:val="pt-BR"/>
        </w:rPr>
        <w:t>Investing activities represent the extent to which cash outflows have been made for resources which are intended to contribute to the Authority’s future service delivery. Cash flows arising from financing activities are useful in predicting claims on future cash flows by providers of capital (i</w:t>
      </w:r>
      <w:r w:rsidR="009D0BC9" w:rsidRPr="0007572B">
        <w:rPr>
          <w:rFonts w:ascii="Arial" w:eastAsia="Calibri" w:hAnsi="Arial" w:cs="Arial"/>
          <w:lang w:val="pt-BR"/>
        </w:rPr>
        <w:t>.</w:t>
      </w:r>
      <w:r w:rsidRPr="0007572B">
        <w:rPr>
          <w:rFonts w:ascii="Arial" w:eastAsia="Calibri" w:hAnsi="Arial" w:cs="Arial"/>
          <w:lang w:val="pt-BR"/>
        </w:rPr>
        <w:t>e</w:t>
      </w:r>
      <w:r w:rsidR="009D0BC9" w:rsidRPr="0007572B">
        <w:rPr>
          <w:rFonts w:ascii="Arial" w:eastAsia="Calibri" w:hAnsi="Arial" w:cs="Arial"/>
          <w:lang w:val="pt-BR"/>
        </w:rPr>
        <w:t>.</w:t>
      </w:r>
      <w:r w:rsidRPr="0007572B">
        <w:rPr>
          <w:rFonts w:ascii="Arial" w:eastAsia="Calibri" w:hAnsi="Arial" w:cs="Arial"/>
          <w:lang w:val="pt-BR"/>
        </w:rPr>
        <w:t xml:space="preserve"> borrowing) to the Authority.</w:t>
      </w:r>
    </w:p>
    <w:p w14:paraId="0E27FEEE" w14:textId="77777777" w:rsidR="00204D0B" w:rsidRDefault="00204D0B" w:rsidP="006F1659">
      <w:pPr>
        <w:spacing w:line="360" w:lineRule="auto"/>
        <w:rPr>
          <w:rFonts w:ascii="Arial" w:eastAsia="Calibri" w:hAnsi="Arial" w:cs="Arial"/>
          <w:lang w:val="pt-BR"/>
        </w:rPr>
      </w:pPr>
    </w:p>
    <w:p w14:paraId="14426779" w14:textId="53F1722E" w:rsidR="00543B15" w:rsidRPr="00616CD8" w:rsidRDefault="00616CD8" w:rsidP="006F1659">
      <w:pPr>
        <w:spacing w:line="360" w:lineRule="auto"/>
        <w:jc w:val="both"/>
        <w:rPr>
          <w:rFonts w:ascii="Arial" w:hAnsi="Arial" w:cs="Arial"/>
          <w:b/>
          <w:highlight w:val="yellow"/>
        </w:rPr>
      </w:pPr>
      <w:r w:rsidRPr="00616CD8">
        <w:rPr>
          <w:noProof/>
        </w:rPr>
        <w:drawing>
          <wp:inline distT="0" distB="0" distL="0" distR="0" wp14:anchorId="324935D2" wp14:editId="05C82BDF">
            <wp:extent cx="5746750" cy="2419350"/>
            <wp:effectExtent l="0" t="0" r="6350" b="0"/>
            <wp:docPr id="1201378093"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378093" name="Picture 6">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6750" cy="2419350"/>
                    </a:xfrm>
                    <a:prstGeom prst="rect">
                      <a:avLst/>
                    </a:prstGeom>
                    <a:noFill/>
                    <a:ln>
                      <a:noFill/>
                    </a:ln>
                  </pic:spPr>
                </pic:pic>
              </a:graphicData>
            </a:graphic>
          </wp:inline>
        </w:drawing>
      </w:r>
    </w:p>
    <w:p w14:paraId="5044F22F" w14:textId="305D36E4" w:rsidR="00062B2C" w:rsidRPr="0007572B" w:rsidRDefault="00062B2C" w:rsidP="006F1659">
      <w:pPr>
        <w:spacing w:line="360" w:lineRule="auto"/>
        <w:jc w:val="both"/>
        <w:rPr>
          <w:rFonts w:ascii="Arial" w:hAnsi="Arial" w:cs="Arial"/>
          <w:sz w:val="22"/>
          <w:szCs w:val="22"/>
        </w:rPr>
      </w:pPr>
    </w:p>
    <w:p w14:paraId="000BE180" w14:textId="77777777" w:rsidR="00F2757F" w:rsidRPr="0007572B" w:rsidRDefault="00F2757F" w:rsidP="006F1659">
      <w:pPr>
        <w:spacing w:line="360" w:lineRule="auto"/>
        <w:jc w:val="both"/>
        <w:rPr>
          <w:rFonts w:ascii="Arial" w:hAnsi="Arial" w:cs="Arial"/>
          <w:b/>
          <w:sz w:val="22"/>
          <w:szCs w:val="22"/>
        </w:rPr>
      </w:pPr>
    </w:p>
    <w:p w14:paraId="62D6989B" w14:textId="77777777" w:rsidR="0095384C" w:rsidRPr="0007572B" w:rsidRDefault="0095384C" w:rsidP="006F1659">
      <w:pPr>
        <w:spacing w:line="360" w:lineRule="auto"/>
        <w:rPr>
          <w:rFonts w:ascii="Arial" w:hAnsi="Arial" w:cs="Arial"/>
          <w:b/>
          <w:sz w:val="40"/>
          <w:szCs w:val="40"/>
        </w:rPr>
      </w:pPr>
      <w:r w:rsidRPr="0007572B">
        <w:rPr>
          <w:rFonts w:ascii="Arial" w:hAnsi="Arial" w:cs="Arial"/>
          <w:b/>
          <w:sz w:val="40"/>
          <w:szCs w:val="40"/>
        </w:rPr>
        <w:br w:type="page"/>
      </w:r>
    </w:p>
    <w:p w14:paraId="4419846C" w14:textId="77777777" w:rsidR="00E266B1" w:rsidRPr="0007572B" w:rsidRDefault="00E266B1" w:rsidP="006F1659">
      <w:pPr>
        <w:spacing w:line="360" w:lineRule="auto"/>
        <w:jc w:val="center"/>
        <w:rPr>
          <w:rFonts w:ascii="Arial" w:hAnsi="Arial" w:cs="Arial"/>
          <w:b/>
          <w:sz w:val="40"/>
          <w:szCs w:val="40"/>
        </w:rPr>
      </w:pPr>
    </w:p>
    <w:p w14:paraId="21F9FEF3" w14:textId="111CD10A" w:rsidR="00CB4A8E" w:rsidRPr="0007572B" w:rsidRDefault="00CB4A8E" w:rsidP="006F1659">
      <w:pPr>
        <w:pStyle w:val="Heaading2green"/>
        <w:spacing w:line="360" w:lineRule="auto"/>
      </w:pPr>
      <w:bookmarkStart w:id="77" w:name="_Toc92895174"/>
      <w:bookmarkStart w:id="78" w:name="_Toc109922608"/>
      <w:r w:rsidRPr="0007572B">
        <w:t>Single Entity Accounts</w:t>
      </w:r>
      <w:bookmarkEnd w:id="77"/>
      <w:bookmarkEnd w:id="78"/>
    </w:p>
    <w:p w14:paraId="0EB67058" w14:textId="77777777" w:rsidR="00CB4A8E" w:rsidRPr="0007572B" w:rsidRDefault="00CB4A8E" w:rsidP="006F1659">
      <w:pPr>
        <w:spacing w:line="360" w:lineRule="auto"/>
        <w:jc w:val="center"/>
        <w:rPr>
          <w:rFonts w:ascii="Arial" w:hAnsi="Arial" w:cs="Arial"/>
          <w:b/>
          <w:sz w:val="40"/>
          <w:szCs w:val="40"/>
        </w:rPr>
      </w:pPr>
    </w:p>
    <w:p w14:paraId="08009F10" w14:textId="7331A0AD" w:rsidR="00CB4A8E" w:rsidRPr="0007572B" w:rsidRDefault="00CB4A8E" w:rsidP="006F1659">
      <w:pPr>
        <w:pStyle w:val="Heaading2green"/>
        <w:spacing w:line="360" w:lineRule="auto"/>
      </w:pPr>
      <w:bookmarkStart w:id="79" w:name="_Toc109922609"/>
      <w:r w:rsidRPr="0007572B">
        <w:t>Notes to the Financial Statements</w:t>
      </w:r>
      <w:bookmarkEnd w:id="79"/>
    </w:p>
    <w:p w14:paraId="1AE2DA0B" w14:textId="77777777" w:rsidR="00606E4A" w:rsidRPr="0007572B" w:rsidRDefault="00606E4A" w:rsidP="006F1659">
      <w:pPr>
        <w:spacing w:line="360" w:lineRule="auto"/>
        <w:rPr>
          <w:rFonts w:ascii="Arial" w:hAnsi="Arial" w:cs="Arial"/>
          <w:b/>
          <w:sz w:val="40"/>
          <w:szCs w:val="40"/>
        </w:rPr>
      </w:pPr>
      <w:r w:rsidRPr="0007572B">
        <w:rPr>
          <w:rFonts w:ascii="Arial" w:hAnsi="Arial" w:cs="Arial"/>
          <w:b/>
          <w:sz w:val="40"/>
          <w:szCs w:val="40"/>
        </w:rPr>
        <w:br w:type="page"/>
      </w:r>
    </w:p>
    <w:p w14:paraId="50CCA0A5" w14:textId="5D931CDF" w:rsidR="00B266FC" w:rsidRPr="004D2865" w:rsidRDefault="00B266FC" w:rsidP="006F1659">
      <w:pPr>
        <w:pStyle w:val="Heading3greennumbered"/>
        <w:spacing w:line="360" w:lineRule="auto"/>
      </w:pPr>
      <w:bookmarkStart w:id="80" w:name="_Toc92894872"/>
      <w:bookmarkStart w:id="81" w:name="_Toc92895176"/>
      <w:bookmarkStart w:id="82" w:name="_Toc109922610"/>
      <w:r w:rsidRPr="004D2865">
        <w:lastRenderedPageBreak/>
        <w:t>1 Accounting Concepts and Policies</w:t>
      </w:r>
      <w:bookmarkEnd w:id="80"/>
      <w:bookmarkEnd w:id="81"/>
      <w:bookmarkEnd w:id="82"/>
    </w:p>
    <w:p w14:paraId="19C16F86" w14:textId="77777777" w:rsidR="00924E51" w:rsidRPr="004D2865" w:rsidRDefault="00924E51" w:rsidP="006F1659">
      <w:pPr>
        <w:spacing w:line="360" w:lineRule="auto"/>
        <w:rPr>
          <w:rFonts w:eastAsiaTheme="minorHAnsi"/>
        </w:rPr>
      </w:pPr>
    </w:p>
    <w:p w14:paraId="376BD4E5" w14:textId="77777777" w:rsidR="00655E4C" w:rsidRPr="0007572B" w:rsidRDefault="00655E4C" w:rsidP="006F1659">
      <w:pPr>
        <w:pStyle w:val="Heading4bold"/>
        <w:spacing w:line="360" w:lineRule="auto"/>
        <w:rPr>
          <w:rFonts w:eastAsiaTheme="minorHAnsi"/>
          <w:lang w:val="en-US"/>
        </w:rPr>
      </w:pPr>
      <w:r w:rsidRPr="0007572B">
        <w:rPr>
          <w:rFonts w:eastAsiaTheme="minorHAnsi"/>
          <w:lang w:val="en-US"/>
        </w:rPr>
        <w:t>1.1. General Principles</w:t>
      </w:r>
    </w:p>
    <w:p w14:paraId="3ED32990" w14:textId="0F18A4C2"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color w:val="000000"/>
          <w:sz w:val="24"/>
          <w:szCs w:val="24"/>
          <w:lang w:eastAsia="en-GB"/>
        </w:rPr>
        <w:t xml:space="preserve">The </w:t>
      </w:r>
      <w:r w:rsidRPr="0007572B">
        <w:rPr>
          <w:rFonts w:ascii="Arial" w:hAnsi="Arial" w:cs="Arial"/>
          <w:bCs/>
          <w:sz w:val="24"/>
          <w:szCs w:val="24"/>
          <w:lang w:eastAsia="en-GB"/>
        </w:rPr>
        <w:t xml:space="preserve">Statement of Accounts summarises the Authority’s transactions for the </w:t>
      </w:r>
      <w:r w:rsidR="00D1125B">
        <w:rPr>
          <w:rFonts w:ascii="Arial" w:hAnsi="Arial" w:cs="Arial"/>
          <w:bCs/>
          <w:sz w:val="24"/>
          <w:szCs w:val="24"/>
          <w:lang w:eastAsia="en-GB"/>
        </w:rPr>
        <w:t>2023/24</w:t>
      </w:r>
      <w:r w:rsidRPr="0007572B">
        <w:rPr>
          <w:rFonts w:ascii="Arial" w:hAnsi="Arial" w:cs="Arial"/>
          <w:bCs/>
          <w:sz w:val="24"/>
          <w:szCs w:val="24"/>
          <w:lang w:eastAsia="en-GB"/>
        </w:rPr>
        <w:t xml:space="preserve"> financial year and its position at the year-end of 31 March 202</w:t>
      </w:r>
      <w:r w:rsidR="00D10D8D">
        <w:rPr>
          <w:rFonts w:ascii="Arial" w:hAnsi="Arial" w:cs="Arial"/>
          <w:bCs/>
          <w:sz w:val="24"/>
          <w:szCs w:val="24"/>
          <w:lang w:eastAsia="en-GB"/>
        </w:rPr>
        <w:t>4</w:t>
      </w:r>
      <w:r w:rsidRPr="0007572B">
        <w:rPr>
          <w:rFonts w:ascii="Arial" w:hAnsi="Arial" w:cs="Arial"/>
          <w:bCs/>
          <w:sz w:val="24"/>
          <w:szCs w:val="24"/>
          <w:lang w:eastAsia="en-GB"/>
        </w:rPr>
        <w:t xml:space="preserve">. The Authority is required to prepare an annual Statement of Accounts by the Accounts and Audit Regulations 2015. These regulations require the Accounts to be prepared in accordance with proper accounting practices. </w:t>
      </w:r>
    </w:p>
    <w:p w14:paraId="45EE4105" w14:textId="77777777" w:rsidR="00655E4C" w:rsidRPr="0007572B" w:rsidRDefault="00655E4C" w:rsidP="006F1659">
      <w:pPr>
        <w:pStyle w:val="Normal0"/>
        <w:spacing w:line="360" w:lineRule="auto"/>
        <w:rPr>
          <w:rFonts w:ascii="Arial" w:hAnsi="Arial" w:cs="Arial"/>
          <w:bCs/>
          <w:sz w:val="24"/>
          <w:szCs w:val="24"/>
          <w:lang w:eastAsia="en-GB"/>
        </w:rPr>
      </w:pPr>
    </w:p>
    <w:p w14:paraId="60413023" w14:textId="626EB2D8" w:rsidR="00655E4C" w:rsidRPr="0007572B" w:rsidRDefault="00655E4C" w:rsidP="006F1659">
      <w:pPr>
        <w:pStyle w:val="Normal0"/>
        <w:autoSpaceDE w:val="0"/>
        <w:autoSpaceDN w:v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These practices primarily comprise the Code of Practice on Local Authority Accounting in the United Kingdom </w:t>
      </w:r>
      <w:r w:rsidR="00D1125B">
        <w:rPr>
          <w:rFonts w:ascii="Arial" w:hAnsi="Arial" w:cs="Arial"/>
          <w:bCs/>
          <w:sz w:val="24"/>
          <w:szCs w:val="24"/>
          <w:lang w:eastAsia="en-GB"/>
        </w:rPr>
        <w:t>2023/24</w:t>
      </w:r>
      <w:r w:rsidRPr="0007572B">
        <w:rPr>
          <w:rFonts w:ascii="Arial" w:hAnsi="Arial" w:cs="Arial"/>
          <w:bCs/>
          <w:sz w:val="24"/>
          <w:szCs w:val="24"/>
          <w:lang w:eastAsia="en-GB"/>
        </w:rPr>
        <w:t>, supported by International Financial Reporting Standards (IFRS) and statutory guidance issued under section 12 of the Local Government Act 2003.</w:t>
      </w:r>
    </w:p>
    <w:p w14:paraId="3FE087F4" w14:textId="77777777" w:rsidR="00655E4C" w:rsidRPr="0007572B" w:rsidRDefault="00655E4C" w:rsidP="006F1659">
      <w:pPr>
        <w:pStyle w:val="Normal0"/>
        <w:spacing w:line="360" w:lineRule="auto"/>
        <w:rPr>
          <w:rFonts w:ascii="Arial" w:hAnsi="Arial" w:cs="Arial"/>
          <w:bCs/>
          <w:sz w:val="24"/>
          <w:szCs w:val="24"/>
          <w:lang w:eastAsia="en-GB"/>
        </w:rPr>
      </w:pPr>
    </w:p>
    <w:p w14:paraId="23CC824B" w14:textId="77777777" w:rsidR="00655E4C" w:rsidRDefault="00655E4C" w:rsidP="006F1659">
      <w:pPr>
        <w:spacing w:line="360" w:lineRule="auto"/>
        <w:rPr>
          <w:rFonts w:ascii="Arial" w:hAnsi="Arial" w:cs="Arial"/>
          <w:bCs/>
          <w:lang w:eastAsia="en-GB"/>
        </w:rPr>
      </w:pPr>
      <w:r w:rsidRPr="0007572B">
        <w:rPr>
          <w:rFonts w:ascii="Arial" w:hAnsi="Arial" w:cs="Arial"/>
          <w:bCs/>
          <w:lang w:eastAsia="en-GB"/>
        </w:rPr>
        <w:t>The accounting convention adopted in the Statement of Accounts is principally historical cost, modified by the revaluation of certain categories of non-current assets and financial instruments.</w:t>
      </w:r>
    </w:p>
    <w:p w14:paraId="77AF4B3D" w14:textId="77777777" w:rsidR="00655E4C" w:rsidRPr="0007572B" w:rsidRDefault="00655E4C" w:rsidP="006F1659">
      <w:pPr>
        <w:spacing w:line="360" w:lineRule="auto"/>
        <w:rPr>
          <w:rFonts w:ascii="Arial" w:hAnsi="Arial" w:cs="Arial"/>
          <w:bCs/>
          <w:color w:val="000000"/>
          <w:lang w:val="en-US" w:eastAsia="en-GB"/>
        </w:rPr>
      </w:pPr>
    </w:p>
    <w:p w14:paraId="1AE654C1" w14:textId="77777777" w:rsidR="00655E4C" w:rsidRPr="0007572B" w:rsidRDefault="00655E4C" w:rsidP="006F1659">
      <w:pPr>
        <w:pStyle w:val="Heading4bold"/>
        <w:spacing w:line="360" w:lineRule="auto"/>
        <w:rPr>
          <w:lang w:eastAsia="en-GB"/>
        </w:rPr>
      </w:pPr>
      <w:r w:rsidRPr="0007572B">
        <w:rPr>
          <w:lang w:eastAsia="en-GB"/>
        </w:rPr>
        <w:t>1.2. Accounting Concepts</w:t>
      </w:r>
    </w:p>
    <w:p w14:paraId="114E31AE" w14:textId="77777777" w:rsidR="00655E4C" w:rsidRPr="00C5321C" w:rsidRDefault="00655E4C" w:rsidP="006F1659">
      <w:pPr>
        <w:spacing w:line="360" w:lineRule="auto"/>
        <w:rPr>
          <w:rFonts w:ascii="Arial" w:hAnsi="Arial" w:cs="Arial"/>
          <w:bCs/>
          <w:lang w:eastAsia="en-GB"/>
        </w:rPr>
      </w:pPr>
      <w:r w:rsidRPr="0007572B">
        <w:rPr>
          <w:rFonts w:ascii="Arial" w:hAnsi="Arial" w:cs="Arial"/>
          <w:bCs/>
          <w:lang w:eastAsia="en-GB"/>
        </w:rPr>
        <w:t xml:space="preserve">The accounts are prepared on a going concern basis. This </w:t>
      </w:r>
      <w:r w:rsidRPr="00C5321C">
        <w:rPr>
          <w:rFonts w:ascii="Arial" w:hAnsi="Arial" w:cs="Arial"/>
          <w:bCs/>
          <w:lang w:eastAsia="en-GB"/>
        </w:rPr>
        <w:t xml:space="preserve">assumes </w:t>
      </w:r>
      <w:r w:rsidRPr="00C5321C">
        <w:rPr>
          <w:rFonts w:ascii="Arial" w:hAnsi="Arial" w:cs="Arial"/>
        </w:rPr>
        <w:t>that the functions of the authority will continue in operational existence for the foreseeable future</w:t>
      </w:r>
      <w:r w:rsidRPr="00C5321C">
        <w:rPr>
          <w:rFonts w:ascii="Arial" w:hAnsi="Arial" w:cs="Arial"/>
          <w:bCs/>
          <w:lang w:eastAsia="en-GB"/>
        </w:rPr>
        <w:t>.</w:t>
      </w:r>
    </w:p>
    <w:p w14:paraId="7FD49136" w14:textId="77777777" w:rsidR="00655E4C" w:rsidRPr="0007572B" w:rsidRDefault="00655E4C" w:rsidP="006F1659">
      <w:pPr>
        <w:spacing w:line="360" w:lineRule="auto"/>
        <w:rPr>
          <w:rFonts w:ascii="Arial" w:hAnsi="Arial" w:cs="Arial"/>
          <w:bCs/>
          <w:lang w:eastAsia="en-GB"/>
        </w:rPr>
      </w:pPr>
    </w:p>
    <w:p w14:paraId="18D3BCE1" w14:textId="75929D4A" w:rsidR="00655E4C" w:rsidRPr="0007572B" w:rsidRDefault="00655E4C" w:rsidP="006F1659">
      <w:pPr>
        <w:spacing w:line="360" w:lineRule="auto"/>
        <w:rPr>
          <w:rFonts w:ascii="Arial" w:hAnsi="Arial" w:cs="Arial"/>
          <w:bCs/>
          <w:lang w:eastAsia="en-GB"/>
        </w:rPr>
      </w:pPr>
      <w:r w:rsidRPr="0007572B">
        <w:rPr>
          <w:rFonts w:ascii="Arial" w:hAnsi="Arial" w:cs="Arial"/>
          <w:bCs/>
          <w:lang w:eastAsia="en-GB"/>
        </w:rPr>
        <w:t xml:space="preserve">As a combined authority, the GMCA has to operate within its powers. The services provided by the GMCA include waste disposal functions, fire and rescue functions, police and crime commissioner, transport, economic development and regeneration. These services are funded by levies paid by the </w:t>
      </w:r>
      <w:r w:rsidR="006A7A2D">
        <w:rPr>
          <w:rFonts w:ascii="Arial" w:hAnsi="Arial" w:cs="Arial"/>
          <w:bCs/>
          <w:lang w:eastAsia="en-GB"/>
        </w:rPr>
        <w:t>ten</w:t>
      </w:r>
      <w:r w:rsidRPr="0007572B">
        <w:rPr>
          <w:rFonts w:ascii="Arial" w:hAnsi="Arial" w:cs="Arial"/>
          <w:bCs/>
          <w:lang w:eastAsia="en-GB"/>
        </w:rPr>
        <w:t xml:space="preserve"> Greater Manchester authorities, precepts collected by the </w:t>
      </w:r>
      <w:r w:rsidR="006A7A2D">
        <w:rPr>
          <w:rFonts w:ascii="Arial" w:hAnsi="Arial" w:cs="Arial"/>
          <w:bCs/>
          <w:lang w:eastAsia="en-GB"/>
        </w:rPr>
        <w:t>ten</w:t>
      </w:r>
      <w:r w:rsidRPr="0007572B">
        <w:rPr>
          <w:rFonts w:ascii="Arial" w:hAnsi="Arial" w:cs="Arial"/>
          <w:bCs/>
          <w:lang w:eastAsia="en-GB"/>
        </w:rPr>
        <w:t xml:space="preserve"> Greater Manchester authorities and grants provided by central government. The Authority does not anticipate that these levies, precepts or grants will cease in the foreseeable future given the statutory requirements placed on the GMCA to provide these services. </w:t>
      </w:r>
    </w:p>
    <w:p w14:paraId="0E01CBBF" w14:textId="77777777" w:rsidR="00655E4C" w:rsidRPr="0007572B" w:rsidRDefault="00655E4C" w:rsidP="006F1659">
      <w:pPr>
        <w:spacing w:line="360" w:lineRule="auto"/>
        <w:rPr>
          <w:rFonts w:ascii="Arial" w:hAnsi="Arial" w:cs="Arial"/>
          <w:bCs/>
          <w:lang w:eastAsia="en-GB"/>
        </w:rPr>
      </w:pPr>
    </w:p>
    <w:p w14:paraId="43DE6B6A" w14:textId="77777777" w:rsidR="00D0656E" w:rsidRDefault="00655E4C" w:rsidP="006F1659">
      <w:pPr>
        <w:spacing w:line="360" w:lineRule="auto"/>
        <w:rPr>
          <w:rFonts w:ascii="Arial" w:hAnsi="Arial" w:cs="Arial"/>
          <w:bCs/>
          <w:lang w:eastAsia="en-GB"/>
        </w:rPr>
      </w:pPr>
      <w:r w:rsidRPr="0007572B">
        <w:rPr>
          <w:rFonts w:ascii="Arial" w:hAnsi="Arial" w:cs="Arial"/>
          <w:bCs/>
          <w:lang w:eastAsia="en-GB"/>
        </w:rPr>
        <w:lastRenderedPageBreak/>
        <w:t xml:space="preserve">The group includes TfGM, which provides the transport network across Greater Manchester, and although transport related borrowing sits on the GMCA </w:t>
      </w:r>
      <w:r w:rsidR="00D0656E">
        <w:rPr>
          <w:rFonts w:ascii="Arial" w:hAnsi="Arial" w:cs="Arial"/>
          <w:bCs/>
          <w:lang w:eastAsia="en-GB"/>
        </w:rPr>
        <w:t xml:space="preserve">- Single Entity </w:t>
      </w:r>
      <w:r w:rsidRPr="0007572B">
        <w:rPr>
          <w:rFonts w:ascii="Arial" w:hAnsi="Arial" w:cs="Arial"/>
          <w:bCs/>
          <w:lang w:eastAsia="en-GB"/>
        </w:rPr>
        <w:t>balance sheet, all the transport assets sit on TFGM's balance sheet</w:t>
      </w:r>
      <w:r w:rsidR="002F083C">
        <w:rPr>
          <w:rFonts w:ascii="Arial" w:hAnsi="Arial" w:cs="Arial"/>
          <w:bCs/>
          <w:lang w:eastAsia="en-GB"/>
        </w:rPr>
        <w:t xml:space="preserve"> within the</w:t>
      </w:r>
    </w:p>
    <w:p w14:paraId="75F22737" w14:textId="458E59F9" w:rsidR="00655E4C" w:rsidRDefault="00D0656E" w:rsidP="006F1659">
      <w:pPr>
        <w:spacing w:line="360" w:lineRule="auto"/>
        <w:rPr>
          <w:rFonts w:ascii="Arial" w:hAnsi="Arial" w:cs="Arial"/>
          <w:bCs/>
          <w:lang w:eastAsia="en-GB"/>
        </w:rPr>
      </w:pPr>
      <w:r>
        <w:rPr>
          <w:rFonts w:ascii="Arial" w:hAnsi="Arial" w:cs="Arial"/>
          <w:bCs/>
          <w:lang w:eastAsia="en-GB"/>
        </w:rPr>
        <w:t xml:space="preserve">GMCA - </w:t>
      </w:r>
      <w:r w:rsidR="002F083C">
        <w:rPr>
          <w:rFonts w:ascii="Arial" w:hAnsi="Arial" w:cs="Arial"/>
          <w:bCs/>
          <w:lang w:eastAsia="en-GB"/>
        </w:rPr>
        <w:t>Group accounts</w:t>
      </w:r>
      <w:r w:rsidR="00655E4C" w:rsidRPr="0007572B">
        <w:rPr>
          <w:rFonts w:ascii="Arial" w:hAnsi="Arial" w:cs="Arial"/>
          <w:bCs/>
          <w:lang w:eastAsia="en-GB"/>
        </w:rPr>
        <w:t>. GMCA carries sufficient reserves in respect of each of its functions to provide resilience in the event of volatility in its various funding sources.</w:t>
      </w:r>
    </w:p>
    <w:p w14:paraId="65D75819" w14:textId="77777777" w:rsidR="00655E4C" w:rsidRPr="0007572B" w:rsidRDefault="00655E4C" w:rsidP="006F1659">
      <w:pPr>
        <w:spacing w:line="360" w:lineRule="auto"/>
        <w:rPr>
          <w:rFonts w:ascii="Arial" w:hAnsi="Arial" w:cs="Arial"/>
          <w:bCs/>
          <w:lang w:eastAsia="en-GB"/>
        </w:rPr>
      </w:pPr>
    </w:p>
    <w:p w14:paraId="115B9F4F" w14:textId="77777777" w:rsidR="00655E4C" w:rsidRPr="0007572B" w:rsidRDefault="00655E4C" w:rsidP="006F1659">
      <w:pPr>
        <w:pStyle w:val="Heading4bold"/>
        <w:spacing w:line="360" w:lineRule="auto"/>
        <w:rPr>
          <w:lang w:eastAsia="en-GB"/>
        </w:rPr>
      </w:pPr>
      <w:r w:rsidRPr="002555A0">
        <w:rPr>
          <w:lang w:eastAsia="en-GB"/>
        </w:rPr>
        <w:t xml:space="preserve">1.3. Accruals </w:t>
      </w:r>
      <w:r w:rsidRPr="0007572B">
        <w:rPr>
          <w:lang w:eastAsia="en-GB"/>
        </w:rPr>
        <w:t>of Income and Expenditure</w:t>
      </w:r>
    </w:p>
    <w:p w14:paraId="02FB6694"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Activity is accounted for in the year that it takes place, not simply when cash payments are made or received. In particular:</w:t>
      </w:r>
    </w:p>
    <w:p w14:paraId="019AFD2F" w14:textId="77777777" w:rsidR="00655E4C" w:rsidRPr="0007572B" w:rsidRDefault="00655E4C" w:rsidP="006F1659">
      <w:pPr>
        <w:pStyle w:val="Normal0"/>
        <w:spacing w:line="360" w:lineRule="auto"/>
        <w:rPr>
          <w:rFonts w:ascii="Arial" w:hAnsi="Arial" w:cs="Arial"/>
          <w:bCs/>
          <w:sz w:val="24"/>
          <w:szCs w:val="24"/>
          <w:lang w:eastAsia="en-GB"/>
        </w:rPr>
      </w:pPr>
    </w:p>
    <w:p w14:paraId="31EF9725" w14:textId="77777777" w:rsidR="00655E4C" w:rsidRPr="0007572B" w:rsidRDefault="00655E4C" w:rsidP="006F1659">
      <w:pPr>
        <w:pStyle w:val="ListParagraph"/>
        <w:numPr>
          <w:ilvl w:val="0"/>
          <w:numId w:val="18"/>
        </w:numPr>
        <w:spacing w:line="360" w:lineRule="auto"/>
        <w:ind w:left="993" w:hanging="426"/>
        <w:rPr>
          <w:rFonts w:ascii="Arial" w:hAnsi="Arial" w:cs="Arial"/>
          <w:bCs/>
          <w:sz w:val="24"/>
          <w:szCs w:val="24"/>
        </w:rPr>
      </w:pPr>
      <w:r w:rsidRPr="0007572B">
        <w:rPr>
          <w:rFonts w:ascii="Arial" w:hAnsi="Arial" w:cs="Arial"/>
          <w:bCs/>
          <w:sz w:val="24"/>
          <w:szCs w:val="24"/>
        </w:rPr>
        <w:t>Supplies are recorded as expenditure when they are consumed. Where there is a gap between the date supplies are received and their consumption they are carried as inventories on the Balance Sheet;</w:t>
      </w:r>
    </w:p>
    <w:p w14:paraId="4F863137" w14:textId="77777777" w:rsidR="00655E4C" w:rsidRPr="0007572B" w:rsidRDefault="00655E4C" w:rsidP="006F1659">
      <w:pPr>
        <w:pStyle w:val="ListParagraph"/>
        <w:numPr>
          <w:ilvl w:val="0"/>
          <w:numId w:val="18"/>
        </w:numPr>
        <w:spacing w:line="360" w:lineRule="auto"/>
        <w:ind w:left="993" w:hanging="426"/>
        <w:rPr>
          <w:rFonts w:ascii="Arial" w:hAnsi="Arial" w:cs="Arial"/>
          <w:bCs/>
          <w:sz w:val="24"/>
          <w:szCs w:val="24"/>
        </w:rPr>
      </w:pPr>
      <w:r w:rsidRPr="0007572B">
        <w:rPr>
          <w:rFonts w:ascii="Arial" w:hAnsi="Arial" w:cs="Arial"/>
          <w:bCs/>
          <w:sz w:val="24"/>
          <w:szCs w:val="24"/>
        </w:rPr>
        <w:t>Expenses relating to services received (including services provided by employees) are recorded as expenditure when the services are received rather than when payments are made;</w:t>
      </w:r>
    </w:p>
    <w:p w14:paraId="6A1ADC50" w14:textId="77777777" w:rsidR="00655E4C" w:rsidRPr="0007572B" w:rsidRDefault="00655E4C" w:rsidP="006F1659">
      <w:pPr>
        <w:pStyle w:val="ListParagraph"/>
        <w:numPr>
          <w:ilvl w:val="0"/>
          <w:numId w:val="18"/>
        </w:numPr>
        <w:spacing w:line="360" w:lineRule="auto"/>
        <w:ind w:left="993" w:hanging="426"/>
        <w:rPr>
          <w:rFonts w:ascii="Arial" w:hAnsi="Arial" w:cs="Arial"/>
          <w:bCs/>
          <w:sz w:val="24"/>
          <w:szCs w:val="24"/>
        </w:rPr>
      </w:pPr>
      <w:r w:rsidRPr="0007572B">
        <w:rPr>
          <w:rFonts w:ascii="Arial" w:hAnsi="Arial" w:cs="Arial"/>
          <w:bCs/>
          <w:sz w:val="24"/>
          <w:szCs w:val="24"/>
        </w:rPr>
        <w:t>Interest receivable on investments and payable on borrowings is accounted for respectively as income and expenditure on the basis of the effective interest rate for the relevant financial instrument rather than on the basis of the cash flows fixed or determined by the contract;</w:t>
      </w:r>
    </w:p>
    <w:p w14:paraId="2382DC9B" w14:textId="77777777" w:rsidR="00655E4C" w:rsidRDefault="00655E4C" w:rsidP="006F1659">
      <w:pPr>
        <w:pStyle w:val="ListParagraph"/>
        <w:numPr>
          <w:ilvl w:val="0"/>
          <w:numId w:val="18"/>
        </w:numPr>
        <w:spacing w:after="0" w:line="360" w:lineRule="auto"/>
        <w:ind w:left="992" w:hanging="425"/>
        <w:rPr>
          <w:rFonts w:ascii="Arial" w:hAnsi="Arial" w:cs="Arial"/>
          <w:bCs/>
          <w:sz w:val="24"/>
          <w:szCs w:val="24"/>
        </w:rPr>
      </w:pPr>
      <w:r w:rsidRPr="0007572B">
        <w:rPr>
          <w:rFonts w:ascii="Arial" w:hAnsi="Arial" w:cs="Arial"/>
          <w:bCs/>
          <w:sz w:val="24"/>
          <w:szCs w:val="24"/>
        </w:rPr>
        <w:t>Where revenue and expenditure have been recognised but cash has not been received or paid, a debtor or creditor for the relevant amount is recorded in the Balance sheet.</w:t>
      </w:r>
    </w:p>
    <w:p w14:paraId="6E55DD3B" w14:textId="77777777" w:rsidR="00655E4C" w:rsidRPr="0007572B" w:rsidRDefault="00655E4C" w:rsidP="006F1659">
      <w:pPr>
        <w:pStyle w:val="ListParagraph"/>
        <w:spacing w:after="0" w:line="360" w:lineRule="auto"/>
        <w:ind w:left="992"/>
        <w:rPr>
          <w:rFonts w:ascii="Arial" w:hAnsi="Arial" w:cs="Arial"/>
          <w:bCs/>
          <w:sz w:val="24"/>
          <w:szCs w:val="24"/>
        </w:rPr>
      </w:pPr>
    </w:p>
    <w:p w14:paraId="6F14FFBD" w14:textId="77777777" w:rsidR="00655E4C" w:rsidRPr="0007572B" w:rsidRDefault="00655E4C" w:rsidP="006F1659">
      <w:pPr>
        <w:pStyle w:val="Heading4bold"/>
        <w:spacing w:line="360" w:lineRule="auto"/>
        <w:rPr>
          <w:lang w:eastAsia="en-GB"/>
        </w:rPr>
      </w:pPr>
      <w:r w:rsidRPr="0007572B">
        <w:rPr>
          <w:lang w:eastAsia="en-GB"/>
        </w:rPr>
        <w:t>1.4. Cash and Cash Equivalents</w:t>
      </w:r>
    </w:p>
    <w:p w14:paraId="13A3F7AA"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Cash is represented by cash in hand and deposits with financial institutions and local authorities, repayable without penalty on notice of no more than 24 hours. </w:t>
      </w:r>
    </w:p>
    <w:p w14:paraId="1460EDEE" w14:textId="77777777" w:rsidR="00655E4C" w:rsidRPr="0007572B" w:rsidRDefault="00655E4C" w:rsidP="006F1659">
      <w:pPr>
        <w:pStyle w:val="Normal0"/>
        <w:spacing w:line="360" w:lineRule="auto"/>
        <w:rPr>
          <w:rFonts w:ascii="Arial" w:hAnsi="Arial" w:cs="Arial"/>
          <w:bCs/>
          <w:sz w:val="24"/>
          <w:szCs w:val="24"/>
          <w:lang w:eastAsia="en-GB"/>
        </w:rPr>
      </w:pPr>
    </w:p>
    <w:p w14:paraId="65948DA3"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Cash equivalents are highly liquid investments that mature in no more than three months from the balance sheet date and that are readily convertible to known amounts of cash with insignificant risk of change in value.</w:t>
      </w:r>
    </w:p>
    <w:p w14:paraId="0F0A9FAD" w14:textId="77777777" w:rsidR="00655E4C" w:rsidRPr="0007572B" w:rsidRDefault="00655E4C" w:rsidP="006F1659">
      <w:pPr>
        <w:pStyle w:val="Normal0"/>
        <w:spacing w:line="360" w:lineRule="auto"/>
        <w:rPr>
          <w:rFonts w:ascii="Arial" w:hAnsi="Arial" w:cs="Arial"/>
          <w:bCs/>
          <w:sz w:val="24"/>
          <w:szCs w:val="24"/>
          <w:lang w:eastAsia="en-GB"/>
        </w:rPr>
      </w:pPr>
    </w:p>
    <w:p w14:paraId="259C742F" w14:textId="77777777" w:rsidR="00655E4C" w:rsidRDefault="00655E4C" w:rsidP="006F1659">
      <w:pPr>
        <w:spacing w:line="360" w:lineRule="auto"/>
        <w:rPr>
          <w:rFonts w:ascii="Arial" w:hAnsi="Arial" w:cs="Arial"/>
          <w:bCs/>
          <w:lang w:eastAsia="en-GB"/>
        </w:rPr>
      </w:pPr>
      <w:r w:rsidRPr="0007572B">
        <w:rPr>
          <w:rFonts w:ascii="Arial" w:hAnsi="Arial" w:cs="Arial"/>
          <w:bCs/>
          <w:lang w:eastAsia="en-GB"/>
        </w:rPr>
        <w:lastRenderedPageBreak/>
        <w:t>In the Cash Flow Statement, cash and cash equivalents are shown net of bank overdrafts that are repayable on demand and form an integral part of the Authority’s cash management.</w:t>
      </w:r>
    </w:p>
    <w:p w14:paraId="7E21FBB9" w14:textId="77777777" w:rsidR="00655E4C" w:rsidRPr="0007572B" w:rsidRDefault="00655E4C" w:rsidP="006F1659">
      <w:pPr>
        <w:spacing w:line="360" w:lineRule="auto"/>
        <w:rPr>
          <w:rFonts w:ascii="Arial" w:hAnsi="Arial" w:cs="Arial"/>
          <w:bCs/>
          <w:color w:val="000000"/>
          <w:lang w:val="en-US" w:eastAsia="en-GB"/>
        </w:rPr>
      </w:pPr>
    </w:p>
    <w:p w14:paraId="78C2E170" w14:textId="77777777" w:rsidR="00655E4C" w:rsidRPr="0007572B" w:rsidRDefault="00655E4C" w:rsidP="006F1659">
      <w:pPr>
        <w:pStyle w:val="Heading4bold"/>
        <w:spacing w:line="360" w:lineRule="auto"/>
        <w:rPr>
          <w:lang w:eastAsia="en-GB"/>
        </w:rPr>
      </w:pPr>
      <w:r w:rsidRPr="0007572B">
        <w:rPr>
          <w:lang w:eastAsia="en-GB"/>
        </w:rPr>
        <w:t>1.5. Prior Period Adjustments, Changes in Accounting Policies and Estimates and Errors</w:t>
      </w:r>
    </w:p>
    <w:p w14:paraId="674F81FE"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Prior period adjustments may arise as a result of a change in accounting policies, or to correct a material error. Changes in accounting estimates are accounted for prospectively, in other words, in the current and future years affected by the change and do not give rise to a prior period adjustment.</w:t>
      </w:r>
    </w:p>
    <w:p w14:paraId="703AD44C" w14:textId="77777777" w:rsidR="00655E4C" w:rsidRPr="0007572B" w:rsidRDefault="00655E4C" w:rsidP="006F1659">
      <w:pPr>
        <w:pStyle w:val="Normal0"/>
        <w:spacing w:line="360" w:lineRule="auto"/>
        <w:rPr>
          <w:rFonts w:ascii="Arial" w:hAnsi="Arial" w:cs="Arial"/>
          <w:bCs/>
          <w:sz w:val="24"/>
          <w:szCs w:val="24"/>
          <w:lang w:eastAsia="en-GB"/>
        </w:rPr>
      </w:pPr>
    </w:p>
    <w:p w14:paraId="1BEF5E73"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Changes in accounting policies are only made when required by proper accounting practices or the change provides more reliable or relevant information about the effect of transactions, other events and conditions on the Authority’s financial position or financial performance. </w:t>
      </w:r>
    </w:p>
    <w:p w14:paraId="4907188D" w14:textId="77777777" w:rsidR="00655E4C" w:rsidRPr="0007572B" w:rsidRDefault="00655E4C" w:rsidP="006F1659">
      <w:pPr>
        <w:pStyle w:val="Normal0"/>
        <w:spacing w:line="360" w:lineRule="auto"/>
        <w:rPr>
          <w:rFonts w:ascii="Arial" w:hAnsi="Arial" w:cs="Arial"/>
          <w:bCs/>
          <w:sz w:val="24"/>
          <w:szCs w:val="24"/>
          <w:lang w:eastAsia="en-GB"/>
        </w:rPr>
      </w:pPr>
    </w:p>
    <w:p w14:paraId="7BAE6D18" w14:textId="422E4749" w:rsidR="00655E4C" w:rsidRDefault="00655E4C" w:rsidP="009A1A83">
      <w:pPr>
        <w:spacing w:line="360" w:lineRule="auto"/>
        <w:rPr>
          <w:rFonts w:ascii="Arial" w:hAnsi="Arial" w:cs="Arial"/>
          <w:bCs/>
          <w:lang w:eastAsia="en-GB"/>
        </w:rPr>
      </w:pPr>
      <w:r w:rsidRPr="0007572B">
        <w:rPr>
          <w:rFonts w:ascii="Arial" w:hAnsi="Arial" w:cs="Arial"/>
          <w:bCs/>
          <w:lang w:eastAsia="en-GB"/>
        </w:rPr>
        <w:t>Where a change is made, it is applied retrospectively (unless stated otherwise) by adjusting opening balances and comparative amounts for the prior period as if the new policy had always been applied. If material errors are discovered in a prior period, figures are corrected retrospectively, by amending opening balances and comparative amounts for the prior period.</w:t>
      </w:r>
    </w:p>
    <w:p w14:paraId="164A8746" w14:textId="77777777" w:rsidR="009A1A83" w:rsidRPr="009A1A83" w:rsidRDefault="009A1A83" w:rsidP="009A1A83">
      <w:pPr>
        <w:spacing w:line="360" w:lineRule="auto"/>
        <w:rPr>
          <w:rFonts w:ascii="Arial" w:hAnsi="Arial" w:cs="Arial"/>
          <w:bCs/>
          <w:color w:val="000000"/>
          <w:lang w:val="en-US" w:eastAsia="en-GB"/>
        </w:rPr>
      </w:pPr>
    </w:p>
    <w:p w14:paraId="6D9C36CA" w14:textId="77777777" w:rsidR="00655E4C" w:rsidRPr="00665347" w:rsidRDefault="00655E4C" w:rsidP="00665347">
      <w:pPr>
        <w:pStyle w:val="Heading4bold"/>
      </w:pPr>
      <w:r w:rsidRPr="00665347">
        <w:t>1.6. Charges to Revenue for Non-Current Assets</w:t>
      </w:r>
    </w:p>
    <w:p w14:paraId="1CEED401"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The Comprehensive Income and Expenditure Statement is debited with the following amounts to record the cost of holding non-current assets during the year:</w:t>
      </w:r>
    </w:p>
    <w:p w14:paraId="1147DE24" w14:textId="77777777" w:rsidR="00655E4C" w:rsidRPr="0007572B" w:rsidRDefault="00655E4C" w:rsidP="006F1659">
      <w:pPr>
        <w:pStyle w:val="Normal0"/>
        <w:spacing w:line="360" w:lineRule="auto"/>
        <w:rPr>
          <w:rFonts w:ascii="Arial" w:hAnsi="Arial" w:cs="Arial"/>
          <w:bCs/>
          <w:sz w:val="24"/>
          <w:szCs w:val="24"/>
          <w:lang w:eastAsia="en-GB"/>
        </w:rPr>
      </w:pPr>
    </w:p>
    <w:p w14:paraId="0D21D243" w14:textId="77777777" w:rsidR="00655E4C" w:rsidRPr="0007572B" w:rsidRDefault="00655E4C" w:rsidP="006F1659">
      <w:pPr>
        <w:pStyle w:val="ListParagraph"/>
        <w:numPr>
          <w:ilvl w:val="0"/>
          <w:numId w:val="19"/>
        </w:numPr>
        <w:spacing w:line="360" w:lineRule="auto"/>
        <w:ind w:hanging="513"/>
        <w:rPr>
          <w:rFonts w:ascii="Arial" w:hAnsi="Arial" w:cs="Arial"/>
          <w:bCs/>
          <w:sz w:val="24"/>
          <w:szCs w:val="24"/>
        </w:rPr>
      </w:pPr>
      <w:r w:rsidRPr="0007572B">
        <w:rPr>
          <w:rFonts w:ascii="Arial" w:hAnsi="Arial" w:cs="Arial"/>
          <w:bCs/>
          <w:sz w:val="24"/>
          <w:szCs w:val="24"/>
        </w:rPr>
        <w:t>Depreciation attributable to the assets used by the relevant service;</w:t>
      </w:r>
    </w:p>
    <w:p w14:paraId="658C1D3E" w14:textId="77777777" w:rsidR="00655E4C" w:rsidRPr="0007572B" w:rsidRDefault="00655E4C" w:rsidP="006F1659">
      <w:pPr>
        <w:pStyle w:val="ListParagraph"/>
        <w:numPr>
          <w:ilvl w:val="0"/>
          <w:numId w:val="19"/>
        </w:numPr>
        <w:spacing w:line="360" w:lineRule="auto"/>
        <w:ind w:hanging="513"/>
        <w:rPr>
          <w:rFonts w:ascii="Arial" w:hAnsi="Arial" w:cs="Arial"/>
          <w:bCs/>
          <w:sz w:val="24"/>
          <w:szCs w:val="24"/>
        </w:rPr>
      </w:pPr>
      <w:r w:rsidRPr="0007572B">
        <w:rPr>
          <w:rFonts w:ascii="Arial" w:hAnsi="Arial" w:cs="Arial"/>
          <w:bCs/>
          <w:sz w:val="24"/>
          <w:szCs w:val="24"/>
        </w:rPr>
        <w:t>Revaluation and impairment losses on assets used by the service where there are no accumulated gains in the Revaluation Reserve against which the losses can be written off;</w:t>
      </w:r>
    </w:p>
    <w:p w14:paraId="4B4AC99C" w14:textId="77777777" w:rsidR="00655E4C" w:rsidRPr="0007572B" w:rsidRDefault="00655E4C" w:rsidP="006F1659">
      <w:pPr>
        <w:pStyle w:val="ListParagraph"/>
        <w:numPr>
          <w:ilvl w:val="0"/>
          <w:numId w:val="19"/>
        </w:numPr>
        <w:spacing w:line="360" w:lineRule="auto"/>
        <w:ind w:hanging="513"/>
        <w:rPr>
          <w:rFonts w:ascii="Arial" w:hAnsi="Arial" w:cs="Arial"/>
          <w:bCs/>
          <w:sz w:val="24"/>
          <w:szCs w:val="24"/>
        </w:rPr>
      </w:pPr>
      <w:r w:rsidRPr="0007572B">
        <w:rPr>
          <w:rFonts w:ascii="Arial" w:hAnsi="Arial" w:cs="Arial"/>
          <w:bCs/>
          <w:sz w:val="24"/>
          <w:szCs w:val="24"/>
        </w:rPr>
        <w:t>Amortisation of intangible non-current assets attributable to the service.</w:t>
      </w:r>
    </w:p>
    <w:p w14:paraId="248944AD" w14:textId="77777777" w:rsidR="00655E4C" w:rsidRPr="00042AAC"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lastRenderedPageBreak/>
        <w:t xml:space="preserve">The Authority is not required to raise precepts, levies or GM authority contributions to fund depreciation, revaluation and impairment losses or amortisations. </w:t>
      </w:r>
      <w:r w:rsidRPr="00042AAC">
        <w:rPr>
          <w:rFonts w:ascii="Arial" w:hAnsi="Arial" w:cs="Arial"/>
          <w:bCs/>
          <w:sz w:val="24"/>
          <w:szCs w:val="24"/>
          <w:lang w:eastAsia="en-GB"/>
        </w:rPr>
        <w:t xml:space="preserve">However, it is required to make an annual contribution from revenue towards the reduction in its overall borrowing requirement equal to a minimum revenue provision (MRP) amount calculated on a prudent basis determined by the Authority in accordance with statutory guidance. </w:t>
      </w:r>
    </w:p>
    <w:p w14:paraId="411C62DC" w14:textId="77777777" w:rsidR="00655E4C" w:rsidRPr="00042AAC" w:rsidRDefault="00655E4C" w:rsidP="006F1659">
      <w:pPr>
        <w:pStyle w:val="Normal0"/>
        <w:spacing w:line="360" w:lineRule="auto"/>
        <w:rPr>
          <w:rFonts w:ascii="Arial" w:hAnsi="Arial" w:cs="Arial"/>
          <w:bCs/>
          <w:sz w:val="24"/>
          <w:szCs w:val="24"/>
          <w:lang w:eastAsia="en-GB"/>
        </w:rPr>
      </w:pPr>
    </w:p>
    <w:p w14:paraId="79096CBB" w14:textId="77777777" w:rsidR="00655E4C" w:rsidRDefault="00655E4C" w:rsidP="006F1659">
      <w:pPr>
        <w:spacing w:line="360" w:lineRule="auto"/>
        <w:rPr>
          <w:rFonts w:ascii="Arial" w:hAnsi="Arial" w:cs="Arial"/>
          <w:bCs/>
          <w:lang w:eastAsia="en-GB"/>
        </w:rPr>
      </w:pPr>
      <w:r w:rsidRPr="00042AAC">
        <w:rPr>
          <w:rFonts w:ascii="Arial" w:hAnsi="Arial" w:cs="Arial"/>
          <w:bCs/>
          <w:lang w:eastAsia="en-GB"/>
        </w:rPr>
        <w:t>Depreciation, revaluation and impairment losses and amortisations are therefore replaced by the MRP contribution in the General Fund Balance, by way of an adjusting transaction with the Capital Adjustment Account in the Movement in Reserves Statement for the difference between the two.</w:t>
      </w:r>
    </w:p>
    <w:p w14:paraId="799D47D4" w14:textId="77777777" w:rsidR="00655E4C" w:rsidRPr="0007572B" w:rsidRDefault="00655E4C" w:rsidP="006F1659">
      <w:pPr>
        <w:spacing w:line="360" w:lineRule="auto"/>
        <w:rPr>
          <w:rFonts w:ascii="Arial" w:hAnsi="Arial" w:cs="Arial"/>
          <w:bCs/>
          <w:color w:val="000000"/>
          <w:lang w:val="en-US" w:eastAsia="en-GB"/>
        </w:rPr>
      </w:pPr>
    </w:p>
    <w:p w14:paraId="21D980A3" w14:textId="77777777" w:rsidR="00655E4C" w:rsidRPr="0007572B" w:rsidRDefault="00655E4C" w:rsidP="006F1659">
      <w:pPr>
        <w:pStyle w:val="Heading4bold"/>
        <w:spacing w:line="360" w:lineRule="auto"/>
        <w:rPr>
          <w:lang w:eastAsia="en-GB"/>
        </w:rPr>
      </w:pPr>
      <w:r w:rsidRPr="0007572B">
        <w:rPr>
          <w:color w:val="000000"/>
          <w:lang w:eastAsia="en-GB"/>
        </w:rPr>
        <w:t>1.7. T</w:t>
      </w:r>
      <w:r w:rsidRPr="0007572B">
        <w:rPr>
          <w:lang w:eastAsia="en-GB"/>
        </w:rPr>
        <w:t>ermination Benefits</w:t>
      </w:r>
    </w:p>
    <w:p w14:paraId="3028A0FE" w14:textId="69C56C58"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Termination benefits are amounts payable, as a result of a decision by the Authority, to terminate an Officer’s employment or an Officer’s decision to accept voluntary redundancy in exchange for those benefits</w:t>
      </w:r>
      <w:r w:rsidR="0040773A">
        <w:rPr>
          <w:rFonts w:ascii="Arial" w:hAnsi="Arial" w:cs="Arial"/>
          <w:bCs/>
          <w:sz w:val="24"/>
          <w:szCs w:val="24"/>
          <w:lang w:eastAsia="en-GB"/>
        </w:rPr>
        <w:t>. These</w:t>
      </w:r>
      <w:r w:rsidRPr="0007572B">
        <w:rPr>
          <w:rFonts w:ascii="Arial" w:hAnsi="Arial" w:cs="Arial"/>
          <w:bCs/>
          <w:sz w:val="24"/>
          <w:szCs w:val="24"/>
          <w:lang w:eastAsia="en-GB"/>
        </w:rPr>
        <w:t xml:space="preserve"> are charged on an accruals basis to the appropriate service in the Comprehensive Income and Expenditure Statement when the Authority is demonstrably committed to the termination of the employment of an Officer or group of Officers or making an offer to encourage voluntary redundancy. </w:t>
      </w:r>
    </w:p>
    <w:p w14:paraId="21B4F775" w14:textId="77777777" w:rsidR="00655E4C" w:rsidRPr="0007572B" w:rsidRDefault="00655E4C" w:rsidP="006F1659">
      <w:pPr>
        <w:pStyle w:val="Normal0"/>
        <w:spacing w:line="360" w:lineRule="auto"/>
        <w:rPr>
          <w:rFonts w:ascii="Arial" w:hAnsi="Arial" w:cs="Arial"/>
          <w:bCs/>
          <w:sz w:val="24"/>
          <w:szCs w:val="24"/>
          <w:lang w:eastAsia="en-GB"/>
        </w:rPr>
      </w:pPr>
    </w:p>
    <w:p w14:paraId="36860C69" w14:textId="77777777" w:rsidR="00655E4C" w:rsidRDefault="00655E4C" w:rsidP="006F1659">
      <w:pPr>
        <w:spacing w:line="360" w:lineRule="auto"/>
        <w:rPr>
          <w:rFonts w:ascii="Arial" w:hAnsi="Arial" w:cs="Arial"/>
          <w:bCs/>
          <w:lang w:eastAsia="en-GB"/>
        </w:rPr>
      </w:pPr>
      <w:r w:rsidRPr="0007572B">
        <w:rPr>
          <w:rFonts w:ascii="Arial" w:hAnsi="Arial" w:cs="Arial"/>
          <w:bCs/>
          <w:lang w:eastAsia="en-GB"/>
        </w:rPr>
        <w:t>Where termination benefits involve the enhancement of pensions, statutory provisions require the General Fund Balance to be charged with the amount payable by the Authority to the pension fund or pensioner in the year, not the amount calculated according to the relevant accounting standards. In the Movement in Reserves Statement, appropriations are made to and from the Pensions Reserve to remove the notional debits and credits for pension enhancement termination benefits and replace them with debits for the cash paid to the pension fund and pensioners and any such amounts payable but unpaid at the year-end.</w:t>
      </w:r>
    </w:p>
    <w:p w14:paraId="4F96E7DE" w14:textId="77777777" w:rsidR="00655E4C" w:rsidRPr="0007572B" w:rsidRDefault="00655E4C" w:rsidP="006F1659">
      <w:pPr>
        <w:spacing w:line="360" w:lineRule="auto"/>
        <w:rPr>
          <w:rFonts w:ascii="Arial" w:hAnsi="Arial" w:cs="Arial"/>
          <w:bCs/>
          <w:color w:val="000000"/>
          <w:lang w:val="en-US" w:eastAsia="en-GB"/>
        </w:rPr>
      </w:pPr>
    </w:p>
    <w:p w14:paraId="6B4A13AD" w14:textId="77777777" w:rsidR="00655E4C" w:rsidRPr="0007572B" w:rsidRDefault="00655E4C" w:rsidP="006F1659">
      <w:pPr>
        <w:pStyle w:val="Heading4bold"/>
        <w:spacing w:line="360" w:lineRule="auto"/>
        <w:rPr>
          <w:lang w:eastAsia="en-GB"/>
        </w:rPr>
      </w:pPr>
      <w:bookmarkStart w:id="83" w:name="_Hlk138337101"/>
      <w:r w:rsidRPr="0007572B">
        <w:rPr>
          <w:lang w:eastAsia="en-GB"/>
        </w:rPr>
        <w:t>1.8. Post-Employment Benefits – Pensions</w:t>
      </w:r>
    </w:p>
    <w:p w14:paraId="13E1C07F"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Employees of the Authority are divided between two separate pension schemes: The Firefighters’ Pension Scheme for its uniformed firefighters and the Local Government Pension Scheme for all other staff.</w:t>
      </w:r>
    </w:p>
    <w:p w14:paraId="56A28A4C" w14:textId="77777777" w:rsidR="00655E4C" w:rsidRPr="0007572B" w:rsidRDefault="00655E4C" w:rsidP="006F1659">
      <w:pPr>
        <w:pStyle w:val="Normal0"/>
        <w:spacing w:line="360" w:lineRule="auto"/>
        <w:rPr>
          <w:rFonts w:ascii="Arial" w:hAnsi="Arial" w:cs="Arial"/>
          <w:bCs/>
          <w:sz w:val="24"/>
          <w:szCs w:val="24"/>
          <w:lang w:eastAsia="en-GB"/>
        </w:rPr>
      </w:pPr>
    </w:p>
    <w:p w14:paraId="34A06E5C" w14:textId="77777777" w:rsidR="00655E4C" w:rsidRDefault="00655E4C" w:rsidP="006F1659">
      <w:pPr>
        <w:spacing w:line="360" w:lineRule="auto"/>
        <w:rPr>
          <w:rFonts w:ascii="Arial" w:hAnsi="Arial" w:cs="Arial"/>
          <w:bCs/>
          <w:lang w:eastAsia="en-GB"/>
        </w:rPr>
      </w:pPr>
      <w:r w:rsidRPr="0007572B">
        <w:rPr>
          <w:rFonts w:ascii="Arial" w:hAnsi="Arial" w:cs="Arial"/>
          <w:bCs/>
          <w:lang w:eastAsia="en-GB"/>
        </w:rPr>
        <w:lastRenderedPageBreak/>
        <w:t xml:space="preserve">In accordance with proper practices the Authority has fully complied with the International </w:t>
      </w:r>
      <w:r>
        <w:rPr>
          <w:rFonts w:ascii="Arial" w:hAnsi="Arial" w:cs="Arial"/>
          <w:bCs/>
          <w:lang w:eastAsia="en-GB"/>
        </w:rPr>
        <w:t>Accounting</w:t>
      </w:r>
      <w:r w:rsidRPr="0007572B">
        <w:rPr>
          <w:rFonts w:ascii="Arial" w:hAnsi="Arial" w:cs="Arial"/>
          <w:bCs/>
          <w:lang w:eastAsia="en-GB"/>
        </w:rPr>
        <w:t xml:space="preserve"> Standard IAS19 (Employee Benefits). All Pension schemes are classified as ‘defined benefit’ schemes under IAS19 and the accounting principles and their effect on the financial statements are explained below.</w:t>
      </w:r>
    </w:p>
    <w:p w14:paraId="09B696B8" w14:textId="77777777" w:rsidR="00655E4C" w:rsidRPr="0007572B" w:rsidRDefault="00655E4C" w:rsidP="006F1659">
      <w:pPr>
        <w:spacing w:line="360" w:lineRule="auto"/>
        <w:rPr>
          <w:rFonts w:ascii="Arial" w:hAnsi="Arial" w:cs="Arial"/>
          <w:bCs/>
          <w:color w:val="000000"/>
          <w:lang w:val="en-US" w:eastAsia="en-GB"/>
        </w:rPr>
      </w:pPr>
    </w:p>
    <w:p w14:paraId="3CC0B569" w14:textId="77777777" w:rsidR="00655E4C" w:rsidRDefault="00655E4C" w:rsidP="006F1659">
      <w:pPr>
        <w:pStyle w:val="Heading5"/>
        <w:spacing w:line="360" w:lineRule="auto"/>
        <w:rPr>
          <w:lang w:eastAsia="en-GB"/>
        </w:rPr>
      </w:pPr>
      <w:r w:rsidRPr="0007572B">
        <w:rPr>
          <w:lang w:eastAsia="en-GB"/>
        </w:rPr>
        <w:t>1.8.1. The Firefighters’ Pension Scheme</w:t>
      </w:r>
    </w:p>
    <w:p w14:paraId="47FC4932" w14:textId="77777777" w:rsidR="00655E4C" w:rsidRPr="004D2865" w:rsidRDefault="00655E4C" w:rsidP="006F1659">
      <w:pPr>
        <w:spacing w:line="360" w:lineRule="auto"/>
        <w:rPr>
          <w:lang w:eastAsia="en-GB"/>
        </w:rPr>
      </w:pPr>
    </w:p>
    <w:p w14:paraId="3490EB04" w14:textId="77777777" w:rsidR="00655E4C" w:rsidRPr="0007572B" w:rsidRDefault="00655E4C" w:rsidP="006F1659">
      <w:pPr>
        <w:spacing w:after="120" w:line="360" w:lineRule="auto"/>
        <w:rPr>
          <w:rFonts w:ascii="Arial" w:hAnsi="Arial" w:cs="Arial"/>
          <w:szCs w:val="28"/>
        </w:rPr>
      </w:pPr>
      <w:r w:rsidRPr="0007572B">
        <w:rPr>
          <w:rFonts w:ascii="Arial" w:hAnsi="Arial" w:cs="Arial"/>
          <w:szCs w:val="28"/>
        </w:rPr>
        <w:t>This is a defined benefit scheme, the rules of which are set out in the Firefighters’ Pension Regulations. The scheme is wholly unfunded. No investment assets have been built up to meet liabilities and cash ha</w:t>
      </w:r>
      <w:r>
        <w:rPr>
          <w:rFonts w:ascii="Arial" w:hAnsi="Arial" w:cs="Arial"/>
          <w:szCs w:val="28"/>
        </w:rPr>
        <w:t>s</w:t>
      </w:r>
      <w:r w:rsidRPr="0007572B">
        <w:rPr>
          <w:rFonts w:ascii="Arial" w:hAnsi="Arial" w:cs="Arial"/>
          <w:szCs w:val="28"/>
        </w:rPr>
        <w:t xml:space="preserve"> to be generated from employee and employer contributions to meet actual pension payments as they fall due.</w:t>
      </w:r>
    </w:p>
    <w:p w14:paraId="3694C8DA" w14:textId="77777777" w:rsidR="00655E4C" w:rsidRPr="0007572B" w:rsidRDefault="00655E4C" w:rsidP="006F1659">
      <w:pPr>
        <w:spacing w:after="120" w:line="360" w:lineRule="auto"/>
        <w:rPr>
          <w:rFonts w:ascii="Arial" w:hAnsi="Arial" w:cs="Arial"/>
          <w:szCs w:val="28"/>
        </w:rPr>
      </w:pPr>
      <w:r w:rsidRPr="0007572B">
        <w:rPr>
          <w:rFonts w:ascii="Arial" w:hAnsi="Arial" w:cs="Arial"/>
          <w:szCs w:val="28"/>
        </w:rPr>
        <w:t>The Combined Authority as an employer, and firefighters as members, pay pension contribution</w:t>
      </w:r>
      <w:r>
        <w:rPr>
          <w:rFonts w:ascii="Arial" w:hAnsi="Arial" w:cs="Arial"/>
          <w:szCs w:val="28"/>
        </w:rPr>
        <w:t>s</w:t>
      </w:r>
      <w:r w:rsidRPr="0007572B">
        <w:rPr>
          <w:rFonts w:ascii="Arial" w:hAnsi="Arial" w:cs="Arial"/>
          <w:szCs w:val="28"/>
        </w:rPr>
        <w:t xml:space="preserve"> based on a percentage of pensionable pay into the Firefighters’ Pension Fund Account. Pension benefits are paid out of the Pension Fund Account.</w:t>
      </w:r>
    </w:p>
    <w:p w14:paraId="04EA2938" w14:textId="77777777" w:rsidR="00655E4C" w:rsidRPr="0007572B" w:rsidRDefault="00655E4C" w:rsidP="006F1659">
      <w:pPr>
        <w:spacing w:after="120" w:line="360" w:lineRule="auto"/>
        <w:rPr>
          <w:rFonts w:ascii="Arial" w:hAnsi="Arial" w:cs="Arial"/>
          <w:szCs w:val="28"/>
        </w:rPr>
      </w:pPr>
      <w:r w:rsidRPr="0007572B">
        <w:rPr>
          <w:rFonts w:ascii="Arial" w:hAnsi="Arial" w:cs="Arial"/>
          <w:szCs w:val="28"/>
        </w:rPr>
        <w:t>The amounts payable into and out of the Pension Fund Account are specified by regulations. Any surplus or deficit on the Pension Fund Account must be transferred to or from the Authority and ultimately repaid to or received from the Home Office.</w:t>
      </w:r>
    </w:p>
    <w:p w14:paraId="263BEA8A" w14:textId="77777777" w:rsidR="00655E4C" w:rsidRPr="0007572B" w:rsidRDefault="00655E4C" w:rsidP="006F1659">
      <w:pPr>
        <w:spacing w:after="120" w:line="360" w:lineRule="auto"/>
        <w:rPr>
          <w:rFonts w:ascii="Arial" w:hAnsi="Arial" w:cs="Arial"/>
        </w:rPr>
      </w:pPr>
      <w:r w:rsidRPr="0007572B">
        <w:rPr>
          <w:rFonts w:ascii="Arial" w:hAnsi="Arial" w:cs="Arial"/>
        </w:rPr>
        <w:t>Injury awards are not part of the pension scheme and are charged directly to the Comprehensive Income and Expenditure Statement. However, liabilities in respect of injury awards are disclosed as part of the overall pensions liability.</w:t>
      </w:r>
    </w:p>
    <w:p w14:paraId="63A17584" w14:textId="77777777" w:rsidR="00655E4C" w:rsidRDefault="00655E4C" w:rsidP="006F1659">
      <w:pPr>
        <w:spacing w:line="360" w:lineRule="auto"/>
        <w:rPr>
          <w:rFonts w:ascii="Arial" w:hAnsi="Arial" w:cs="Arial"/>
        </w:rPr>
      </w:pPr>
      <w:r w:rsidRPr="0007572B">
        <w:rPr>
          <w:rFonts w:ascii="Arial" w:hAnsi="Arial" w:cs="Arial"/>
        </w:rPr>
        <w:t>Other than references to assets, these schemes are accounted for in the same way as the Local Government Pension Scheme set out below.</w:t>
      </w:r>
    </w:p>
    <w:p w14:paraId="44262A6F" w14:textId="77777777" w:rsidR="00655E4C" w:rsidRPr="0007572B" w:rsidRDefault="00655E4C" w:rsidP="006F1659">
      <w:pPr>
        <w:spacing w:line="360" w:lineRule="auto"/>
        <w:rPr>
          <w:rFonts w:ascii="Arial" w:hAnsi="Arial" w:cs="Arial"/>
        </w:rPr>
      </w:pPr>
    </w:p>
    <w:p w14:paraId="0736CA3B" w14:textId="77777777" w:rsidR="00655E4C" w:rsidRDefault="00655E4C" w:rsidP="006F1659">
      <w:pPr>
        <w:pStyle w:val="Heading5"/>
        <w:spacing w:line="360" w:lineRule="auto"/>
        <w:rPr>
          <w:lang w:eastAsia="en-GB"/>
        </w:rPr>
      </w:pPr>
      <w:r w:rsidRPr="0007572B">
        <w:rPr>
          <w:lang w:eastAsia="en-GB"/>
        </w:rPr>
        <w:t>1.8.2. Local Government Pension Scheme</w:t>
      </w:r>
    </w:p>
    <w:p w14:paraId="5BF8EE1B" w14:textId="77777777" w:rsidR="00655E4C" w:rsidRPr="004D2865" w:rsidRDefault="00655E4C" w:rsidP="006F1659">
      <w:pPr>
        <w:spacing w:line="360" w:lineRule="auto"/>
        <w:rPr>
          <w:lang w:eastAsia="en-GB"/>
        </w:rPr>
      </w:pPr>
    </w:p>
    <w:p w14:paraId="77D3763E" w14:textId="13069676" w:rsidR="00655E4C" w:rsidRPr="0007572B" w:rsidRDefault="00655E4C" w:rsidP="006F1659">
      <w:pPr>
        <w:spacing w:line="360" w:lineRule="auto"/>
        <w:rPr>
          <w:rFonts w:ascii="Arial" w:hAnsi="Arial" w:cs="Arial"/>
        </w:rPr>
      </w:pPr>
      <w:r w:rsidRPr="0007572B">
        <w:rPr>
          <w:rFonts w:ascii="Arial" w:hAnsi="Arial" w:cs="Arial"/>
        </w:rPr>
        <w:t>The Local Government Pension Scheme is a defined benefits scheme. Both employer and employees pay pension contributions based on a percentage of pensionable pay into the scheme.</w:t>
      </w:r>
    </w:p>
    <w:p w14:paraId="066C3312" w14:textId="77777777" w:rsidR="00655E4C" w:rsidRPr="0007572B" w:rsidRDefault="00655E4C" w:rsidP="006F1659">
      <w:pPr>
        <w:pStyle w:val="Default"/>
        <w:spacing w:line="360" w:lineRule="auto"/>
      </w:pPr>
    </w:p>
    <w:p w14:paraId="7FEFE777" w14:textId="3FED6338" w:rsidR="00655E4C" w:rsidRPr="0007572B" w:rsidRDefault="00655E4C" w:rsidP="006F1659">
      <w:pPr>
        <w:pStyle w:val="Default"/>
        <w:numPr>
          <w:ilvl w:val="0"/>
          <w:numId w:val="44"/>
        </w:numPr>
        <w:spacing w:after="86" w:line="360" w:lineRule="auto"/>
        <w:rPr>
          <w:color w:val="auto"/>
        </w:rPr>
      </w:pPr>
      <w:r w:rsidRPr="0007572B">
        <w:rPr>
          <w:color w:val="auto"/>
        </w:rPr>
        <w:t>The liabilities of the Greater Manchester Pension Fund</w:t>
      </w:r>
      <w:r w:rsidR="00CA750E">
        <w:rPr>
          <w:color w:val="auto"/>
        </w:rPr>
        <w:t xml:space="preserve"> (GMPF)</w:t>
      </w:r>
      <w:r w:rsidRPr="0007572B">
        <w:rPr>
          <w:color w:val="auto"/>
        </w:rPr>
        <w:t xml:space="preserve"> attributable to the authority are included in the balance sheet on an actuarial basis using the projected unit credit method – i.e. an assessment of the future payments that will </w:t>
      </w:r>
      <w:r w:rsidRPr="0007572B">
        <w:rPr>
          <w:color w:val="auto"/>
        </w:rPr>
        <w:lastRenderedPageBreak/>
        <w:t>be made in relation to retirement benefits earned to date by employees, based on assumptions about mortality rates, employee turnover rates, etc. and projected earnings for current employees</w:t>
      </w:r>
    </w:p>
    <w:p w14:paraId="318FCDB2" w14:textId="77777777" w:rsidR="00655E4C" w:rsidRPr="0007572B" w:rsidRDefault="00655E4C" w:rsidP="006F1659">
      <w:pPr>
        <w:pStyle w:val="Default"/>
        <w:numPr>
          <w:ilvl w:val="0"/>
          <w:numId w:val="44"/>
        </w:numPr>
        <w:spacing w:after="86" w:line="360" w:lineRule="auto"/>
        <w:rPr>
          <w:color w:val="auto"/>
        </w:rPr>
      </w:pPr>
      <w:r w:rsidRPr="0007572B">
        <w:rPr>
          <w:color w:val="auto"/>
        </w:rPr>
        <w:t>Liabilities are discounted to their value at current prices, using a discount rate based on the rate of return on high quality corporate bonds constructed on the constituents of the iBoxx AA corporate bond index. The discount rate reflects the weighted average duration of the benefit obligation</w:t>
      </w:r>
    </w:p>
    <w:p w14:paraId="74D2FD1A" w14:textId="7EC6E00A" w:rsidR="00655E4C" w:rsidRPr="0007572B" w:rsidRDefault="00655E4C" w:rsidP="006F1659">
      <w:pPr>
        <w:pStyle w:val="Default"/>
        <w:numPr>
          <w:ilvl w:val="0"/>
          <w:numId w:val="44"/>
        </w:numPr>
        <w:spacing w:after="86" w:line="360" w:lineRule="auto"/>
        <w:rPr>
          <w:color w:val="auto"/>
        </w:rPr>
      </w:pPr>
      <w:r w:rsidRPr="0007572B">
        <w:rPr>
          <w:color w:val="auto"/>
        </w:rPr>
        <w:t xml:space="preserve">The assets of </w:t>
      </w:r>
      <w:r w:rsidR="00CA750E">
        <w:rPr>
          <w:color w:val="auto"/>
        </w:rPr>
        <w:t>GMPF</w:t>
      </w:r>
      <w:r w:rsidRPr="0007572B">
        <w:rPr>
          <w:color w:val="auto"/>
        </w:rPr>
        <w:t xml:space="preserve"> attributable to the authority are included in the balance sheet at their fair value: </w:t>
      </w:r>
    </w:p>
    <w:p w14:paraId="5D44CDAC" w14:textId="77777777" w:rsidR="00655E4C" w:rsidRPr="0007572B" w:rsidRDefault="00655E4C" w:rsidP="006F1659">
      <w:pPr>
        <w:pStyle w:val="Default"/>
        <w:numPr>
          <w:ilvl w:val="0"/>
          <w:numId w:val="45"/>
        </w:numPr>
        <w:spacing w:after="86" w:line="360" w:lineRule="auto"/>
        <w:rPr>
          <w:color w:val="auto"/>
        </w:rPr>
      </w:pPr>
      <w:r w:rsidRPr="0007572B">
        <w:rPr>
          <w:color w:val="auto"/>
        </w:rPr>
        <w:t xml:space="preserve">quoted securities – current bid price </w:t>
      </w:r>
    </w:p>
    <w:p w14:paraId="339329CF" w14:textId="77777777" w:rsidR="00655E4C" w:rsidRPr="0007572B" w:rsidRDefault="00655E4C" w:rsidP="006F1659">
      <w:pPr>
        <w:pStyle w:val="Default"/>
        <w:numPr>
          <w:ilvl w:val="0"/>
          <w:numId w:val="45"/>
        </w:numPr>
        <w:spacing w:after="86" w:line="360" w:lineRule="auto"/>
        <w:rPr>
          <w:color w:val="auto"/>
        </w:rPr>
      </w:pPr>
      <w:r w:rsidRPr="0007572B">
        <w:rPr>
          <w:color w:val="auto"/>
        </w:rPr>
        <w:t xml:space="preserve">unquoted securities – professional estimate </w:t>
      </w:r>
    </w:p>
    <w:p w14:paraId="2FB7BA60" w14:textId="77777777" w:rsidR="00655E4C" w:rsidRPr="0007572B" w:rsidRDefault="00655E4C" w:rsidP="006F1659">
      <w:pPr>
        <w:pStyle w:val="Default"/>
        <w:numPr>
          <w:ilvl w:val="0"/>
          <w:numId w:val="45"/>
        </w:numPr>
        <w:spacing w:after="86" w:line="360" w:lineRule="auto"/>
        <w:rPr>
          <w:color w:val="auto"/>
        </w:rPr>
      </w:pPr>
      <w:r w:rsidRPr="0007572B">
        <w:rPr>
          <w:color w:val="auto"/>
        </w:rPr>
        <w:t xml:space="preserve">unitised securities – current bid price </w:t>
      </w:r>
    </w:p>
    <w:p w14:paraId="3675B5FD" w14:textId="77777777" w:rsidR="00655E4C" w:rsidRDefault="00655E4C" w:rsidP="006F1659">
      <w:pPr>
        <w:pStyle w:val="Default"/>
        <w:numPr>
          <w:ilvl w:val="0"/>
          <w:numId w:val="45"/>
        </w:numPr>
        <w:spacing w:after="86" w:line="360" w:lineRule="auto"/>
        <w:rPr>
          <w:color w:val="auto"/>
        </w:rPr>
      </w:pPr>
      <w:r w:rsidRPr="0007572B">
        <w:rPr>
          <w:color w:val="auto"/>
        </w:rPr>
        <w:t xml:space="preserve">property – market value. </w:t>
      </w:r>
    </w:p>
    <w:p w14:paraId="5CD37ED4" w14:textId="77777777" w:rsidR="00655E4C" w:rsidRPr="0007572B" w:rsidRDefault="00655E4C" w:rsidP="006F1659">
      <w:pPr>
        <w:pStyle w:val="Default"/>
        <w:spacing w:after="86" w:line="360" w:lineRule="auto"/>
        <w:ind w:left="1080"/>
        <w:rPr>
          <w:color w:val="auto"/>
        </w:rPr>
      </w:pPr>
    </w:p>
    <w:p w14:paraId="38B575A4" w14:textId="77777777" w:rsidR="00655E4C" w:rsidRDefault="00655E4C" w:rsidP="006F1659">
      <w:pPr>
        <w:pStyle w:val="Heading5"/>
        <w:spacing w:line="360" w:lineRule="auto"/>
      </w:pPr>
      <w:r w:rsidRPr="0007572B">
        <w:t>1.8.3. Net Pensions Liability</w:t>
      </w:r>
    </w:p>
    <w:p w14:paraId="246EDA43" w14:textId="77777777" w:rsidR="00655E4C" w:rsidRPr="004D2865" w:rsidRDefault="00655E4C" w:rsidP="006F1659">
      <w:pPr>
        <w:spacing w:line="360" w:lineRule="auto"/>
      </w:pPr>
    </w:p>
    <w:p w14:paraId="4BB81355" w14:textId="77777777" w:rsidR="00655E4C" w:rsidRPr="0007572B" w:rsidRDefault="00655E4C" w:rsidP="006F1659">
      <w:pPr>
        <w:spacing w:line="360" w:lineRule="auto"/>
        <w:rPr>
          <w:rFonts w:ascii="Arial" w:hAnsi="Arial" w:cs="Arial"/>
        </w:rPr>
      </w:pPr>
      <w:r w:rsidRPr="0007572B">
        <w:rPr>
          <w:rFonts w:ascii="Arial" w:hAnsi="Arial" w:cs="Arial"/>
        </w:rPr>
        <w:t>The change in the net pensions liability is analysed into the following components:</w:t>
      </w:r>
    </w:p>
    <w:p w14:paraId="6FCA794B" w14:textId="77777777" w:rsidR="00655E4C" w:rsidRPr="0007572B" w:rsidRDefault="00655E4C" w:rsidP="006F1659">
      <w:pPr>
        <w:spacing w:line="360" w:lineRule="auto"/>
        <w:rPr>
          <w:rFonts w:ascii="Arial" w:hAnsi="Arial" w:cs="Arial"/>
        </w:rPr>
      </w:pPr>
    </w:p>
    <w:p w14:paraId="459C3525" w14:textId="77777777" w:rsidR="00655E4C" w:rsidRDefault="00655E4C" w:rsidP="006F1659">
      <w:pPr>
        <w:pStyle w:val="Heading6"/>
        <w:spacing w:line="360" w:lineRule="auto"/>
      </w:pPr>
      <w:r w:rsidRPr="00924E51">
        <w:t>1.8.3.1. Service cost comprising:</w:t>
      </w:r>
    </w:p>
    <w:p w14:paraId="14AFB2DF" w14:textId="77777777" w:rsidR="00655E4C" w:rsidRPr="004D2865" w:rsidRDefault="00655E4C" w:rsidP="006F1659">
      <w:pPr>
        <w:spacing w:line="360" w:lineRule="auto"/>
      </w:pPr>
    </w:p>
    <w:p w14:paraId="336DD41A" w14:textId="77777777" w:rsidR="00655E4C" w:rsidRPr="0007572B" w:rsidRDefault="00655E4C" w:rsidP="006F1659">
      <w:pPr>
        <w:pStyle w:val="Default"/>
        <w:numPr>
          <w:ilvl w:val="0"/>
          <w:numId w:val="44"/>
        </w:numPr>
        <w:spacing w:after="86" w:line="360" w:lineRule="auto"/>
        <w:ind w:left="567" w:hanging="207"/>
      </w:pPr>
      <w:r w:rsidRPr="0007572B">
        <w:t xml:space="preserve">Current service cost – the increase in liabilities as a result of years of service earned this year, allocated in the comprehensive income and expenditure statement to the services for which the employees worked; </w:t>
      </w:r>
    </w:p>
    <w:p w14:paraId="176EC10A" w14:textId="77777777" w:rsidR="00655E4C" w:rsidRPr="0007572B" w:rsidRDefault="00655E4C" w:rsidP="006F1659">
      <w:pPr>
        <w:pStyle w:val="Default"/>
        <w:numPr>
          <w:ilvl w:val="0"/>
          <w:numId w:val="44"/>
        </w:numPr>
        <w:spacing w:after="86" w:line="360" w:lineRule="auto"/>
        <w:ind w:left="567" w:hanging="207"/>
      </w:pPr>
      <w:r w:rsidRPr="0007572B">
        <w:t xml:space="preserve">Past service cost – the increase in liabilities as a result of a scheme amendment or curtailment whose effect relates to years of service earned in earlier years, debited to the surplus or deficit on the provision of services in the comprehensive income and expenditure statement; and </w:t>
      </w:r>
    </w:p>
    <w:p w14:paraId="0EF05D13" w14:textId="77777777" w:rsidR="00655E4C" w:rsidRPr="0007572B" w:rsidRDefault="00655E4C" w:rsidP="006F1659">
      <w:pPr>
        <w:pStyle w:val="Default"/>
        <w:numPr>
          <w:ilvl w:val="0"/>
          <w:numId w:val="44"/>
        </w:numPr>
        <w:spacing w:after="86" w:line="360" w:lineRule="auto"/>
        <w:ind w:left="567" w:hanging="207"/>
      </w:pPr>
      <w:r w:rsidRPr="0007572B">
        <w:t xml:space="preserve">Net interest on the net defined benefit liability, i.e. net interest expense for the authority, – the change during the period in the net defined benefit liability that arises from the passage of time charged to the financing and investment income and expenditure line of the comprehensive income and expenditure statement – </w:t>
      </w:r>
      <w:r w:rsidRPr="0007572B">
        <w:lastRenderedPageBreak/>
        <w:t xml:space="preserve">this is calculated by applying the discount rate used to measure the defined benefit obligation at the beginning of the period to the net defined benefit liability at the beginning of the period – taking into account any changes in the net defined benefit liability during the period as a result of contribution and benefit payments. </w:t>
      </w:r>
    </w:p>
    <w:p w14:paraId="362F5D79" w14:textId="77777777" w:rsidR="00655E4C" w:rsidRPr="0007572B" w:rsidRDefault="00655E4C" w:rsidP="006F1659">
      <w:pPr>
        <w:autoSpaceDE w:val="0"/>
        <w:autoSpaceDN w:val="0"/>
        <w:adjustRightInd w:val="0"/>
        <w:spacing w:line="360" w:lineRule="auto"/>
        <w:rPr>
          <w:rFonts w:ascii="Arial" w:hAnsi="Arial" w:cs="Arial"/>
          <w:color w:val="000000"/>
        </w:rPr>
      </w:pPr>
    </w:p>
    <w:p w14:paraId="5221ADF1" w14:textId="77777777" w:rsidR="00655E4C" w:rsidRDefault="00655E4C" w:rsidP="006F1659">
      <w:pPr>
        <w:pStyle w:val="Heading6"/>
        <w:spacing w:line="360" w:lineRule="auto"/>
      </w:pPr>
      <w:r w:rsidRPr="0007572B">
        <w:t>1.8.3.2. Remeasurements comprising:</w:t>
      </w:r>
    </w:p>
    <w:p w14:paraId="711ADF39" w14:textId="77777777" w:rsidR="00655E4C" w:rsidRPr="004D2865" w:rsidRDefault="00655E4C" w:rsidP="006F1659">
      <w:pPr>
        <w:spacing w:line="360" w:lineRule="auto"/>
      </w:pPr>
    </w:p>
    <w:p w14:paraId="2EF28465" w14:textId="77777777" w:rsidR="00655E4C" w:rsidRPr="0007572B" w:rsidRDefault="00655E4C" w:rsidP="006F1659">
      <w:pPr>
        <w:pStyle w:val="Default"/>
        <w:numPr>
          <w:ilvl w:val="0"/>
          <w:numId w:val="44"/>
        </w:numPr>
        <w:spacing w:after="86" w:line="360" w:lineRule="auto"/>
        <w:ind w:left="567" w:hanging="207"/>
      </w:pPr>
      <w:r w:rsidRPr="0007572B">
        <w:t xml:space="preserve">Return on plan assets – excluding amounts included in net interest on the net defined benefit liability – charged to the pensions reserve as other comprehensive income and expenditure; </w:t>
      </w:r>
    </w:p>
    <w:p w14:paraId="28CDE5BE" w14:textId="77777777" w:rsidR="00655E4C" w:rsidRPr="0007572B" w:rsidRDefault="00655E4C" w:rsidP="006F1659">
      <w:pPr>
        <w:pStyle w:val="Default"/>
        <w:numPr>
          <w:ilvl w:val="0"/>
          <w:numId w:val="44"/>
        </w:numPr>
        <w:spacing w:after="86" w:line="360" w:lineRule="auto"/>
        <w:ind w:left="567" w:hanging="207"/>
      </w:pPr>
      <w:r w:rsidRPr="0007572B">
        <w:t>Actuarial gains and losses – changes in the net pensions liability that arise because events have not coincided with assumptions made at the last actuarial valuation or because the actuaries have updated their assumptions – charged to the pensions reserve as other comprehensive income and expenditure; and</w:t>
      </w:r>
    </w:p>
    <w:p w14:paraId="7DF375B3" w14:textId="2E8DE229" w:rsidR="00655E4C" w:rsidRPr="0007572B" w:rsidRDefault="00655E4C" w:rsidP="006F1659">
      <w:pPr>
        <w:pStyle w:val="Default"/>
        <w:numPr>
          <w:ilvl w:val="0"/>
          <w:numId w:val="44"/>
        </w:numPr>
        <w:spacing w:after="86" w:line="360" w:lineRule="auto"/>
        <w:ind w:left="567" w:hanging="207"/>
      </w:pPr>
      <w:r w:rsidRPr="0007572B">
        <w:t xml:space="preserve">Contributions paid to the </w:t>
      </w:r>
      <w:r w:rsidR="00CA750E">
        <w:t>GMPF</w:t>
      </w:r>
      <w:r w:rsidRPr="0007572B">
        <w:t xml:space="preserve"> – cash paid as employer’s contributions to the pension fund in settlement of liabilities; not accounted for as an expense. </w:t>
      </w:r>
    </w:p>
    <w:p w14:paraId="7FF73F65" w14:textId="77777777" w:rsidR="00655E4C" w:rsidRPr="0007572B" w:rsidRDefault="00655E4C" w:rsidP="006F1659">
      <w:pPr>
        <w:autoSpaceDE w:val="0"/>
        <w:autoSpaceDN w:val="0"/>
        <w:adjustRightInd w:val="0"/>
        <w:spacing w:line="360" w:lineRule="auto"/>
        <w:rPr>
          <w:rFonts w:ascii="Arial" w:hAnsi="Arial" w:cs="Arial"/>
          <w:color w:val="000000"/>
        </w:rPr>
      </w:pPr>
    </w:p>
    <w:p w14:paraId="4B481122" w14:textId="77777777" w:rsidR="00655E4C" w:rsidRPr="0007572B" w:rsidRDefault="00655E4C" w:rsidP="006F1659">
      <w:pPr>
        <w:autoSpaceDE w:val="0"/>
        <w:autoSpaceDN w:val="0"/>
        <w:adjustRightInd w:val="0"/>
        <w:spacing w:line="360" w:lineRule="auto"/>
        <w:rPr>
          <w:rFonts w:ascii="Arial" w:hAnsi="Arial" w:cs="Arial"/>
          <w:color w:val="000000"/>
        </w:rPr>
      </w:pPr>
      <w:r w:rsidRPr="0007572B">
        <w:rPr>
          <w:rFonts w:ascii="Arial" w:hAnsi="Arial" w:cs="Arial"/>
          <w:color w:val="000000"/>
        </w:rPr>
        <w:t xml:space="preserve">In relation to retirement benefits, statutory provisions require the general fund balance to be charged with the amount payable by the </w:t>
      </w:r>
      <w:r>
        <w:rPr>
          <w:rFonts w:ascii="Arial" w:hAnsi="Arial" w:cs="Arial"/>
          <w:color w:val="000000"/>
        </w:rPr>
        <w:t>Authority</w:t>
      </w:r>
      <w:r w:rsidRPr="0007572B">
        <w:rPr>
          <w:rFonts w:ascii="Arial" w:hAnsi="Arial" w:cs="Arial"/>
          <w:color w:val="000000"/>
        </w:rPr>
        <w:t xml:space="preserve"> to the pension fund or directly to pensioners in the year, not the amount calculated according to the relevant accounting standards. In the movement in reserves statement, this means that there are transfers to and from the pensions reserve to remove the notional debits and credits for retirement benefits and replace them with debits for the cash paid to the pension fund and pensioners and any such amounts payable but unpaid at the year-end. The negative balance that arises on the pensions reserve thereby measures the beneficial impact to the general fund of being required to account for retirement benefits on the basis of cash flows rather than as benefits are earned by employees. </w:t>
      </w:r>
    </w:p>
    <w:p w14:paraId="26C6208B" w14:textId="77777777" w:rsidR="00655E4C" w:rsidRPr="0007572B" w:rsidRDefault="00655E4C" w:rsidP="006F1659">
      <w:pPr>
        <w:autoSpaceDE w:val="0"/>
        <w:autoSpaceDN w:val="0"/>
        <w:adjustRightInd w:val="0"/>
        <w:spacing w:line="360" w:lineRule="auto"/>
        <w:rPr>
          <w:rFonts w:ascii="Arial" w:hAnsi="Arial" w:cs="Arial"/>
          <w:color w:val="000000"/>
        </w:rPr>
      </w:pPr>
    </w:p>
    <w:p w14:paraId="19DB2A26" w14:textId="77777777" w:rsidR="00655E4C" w:rsidRPr="0007572B" w:rsidRDefault="00655E4C" w:rsidP="006F1659">
      <w:pPr>
        <w:pStyle w:val="Heading5"/>
        <w:spacing w:line="360" w:lineRule="auto"/>
      </w:pPr>
      <w:r w:rsidRPr="0007572B">
        <w:t xml:space="preserve">1.8.4. Discretionary benefits </w:t>
      </w:r>
    </w:p>
    <w:p w14:paraId="07ECA962" w14:textId="77777777" w:rsidR="00655E4C" w:rsidRPr="0007572B" w:rsidRDefault="00655E4C" w:rsidP="006F1659">
      <w:pPr>
        <w:autoSpaceDE w:val="0"/>
        <w:autoSpaceDN w:val="0"/>
        <w:adjustRightInd w:val="0"/>
        <w:spacing w:line="360" w:lineRule="auto"/>
        <w:rPr>
          <w:rFonts w:ascii="Arial" w:hAnsi="Arial" w:cs="Arial"/>
          <w:b/>
          <w:color w:val="000000"/>
        </w:rPr>
      </w:pPr>
    </w:p>
    <w:p w14:paraId="1D2AC336" w14:textId="77777777" w:rsidR="00655E4C" w:rsidRPr="0007572B" w:rsidRDefault="00655E4C" w:rsidP="006F1659">
      <w:pPr>
        <w:pStyle w:val="Normal0"/>
        <w:spacing w:line="360" w:lineRule="auto"/>
        <w:rPr>
          <w:rFonts w:ascii="Arial" w:hAnsi="Arial" w:cs="Arial"/>
          <w:color w:val="000000"/>
          <w:sz w:val="24"/>
          <w:szCs w:val="24"/>
        </w:rPr>
      </w:pPr>
      <w:r w:rsidRPr="0007572B">
        <w:rPr>
          <w:rFonts w:ascii="Arial" w:hAnsi="Arial" w:cs="Arial"/>
          <w:color w:val="000000"/>
          <w:sz w:val="24"/>
          <w:szCs w:val="24"/>
        </w:rPr>
        <w:t xml:space="preserve">The authority also has restricted powers to make discretionary awards of retirement benefits in the event of early retirements. Any liabilities estimated to arise as a result of </w:t>
      </w:r>
      <w:r w:rsidRPr="0007572B">
        <w:rPr>
          <w:rFonts w:ascii="Arial" w:hAnsi="Arial" w:cs="Arial"/>
          <w:color w:val="000000"/>
          <w:sz w:val="24"/>
          <w:szCs w:val="24"/>
        </w:rPr>
        <w:lastRenderedPageBreak/>
        <w:t>an award to any member of staff are accrued in the year of the decision to make the award and accounted for using the same policies as are applied to the Local Government Pension Scheme.</w:t>
      </w:r>
    </w:p>
    <w:bookmarkEnd w:id="83"/>
    <w:p w14:paraId="0C8FA159" w14:textId="77777777" w:rsidR="00655E4C" w:rsidRPr="0007572B" w:rsidRDefault="00655E4C" w:rsidP="006F1659">
      <w:pPr>
        <w:pStyle w:val="Normal0"/>
        <w:spacing w:line="360" w:lineRule="auto"/>
        <w:rPr>
          <w:rFonts w:ascii="Arial" w:hAnsi="Arial" w:cs="Arial"/>
          <w:b/>
          <w:bCs/>
          <w:sz w:val="24"/>
          <w:szCs w:val="24"/>
          <w:lang w:eastAsia="en-GB"/>
        </w:rPr>
      </w:pPr>
    </w:p>
    <w:p w14:paraId="7D2D85AE" w14:textId="77777777" w:rsidR="00655E4C" w:rsidRPr="0097099A" w:rsidRDefault="00655E4C" w:rsidP="006F1659">
      <w:pPr>
        <w:pStyle w:val="Heading4bold"/>
        <w:spacing w:line="360" w:lineRule="auto"/>
        <w:rPr>
          <w:lang w:eastAsia="en-GB"/>
        </w:rPr>
      </w:pPr>
      <w:r w:rsidRPr="0097099A">
        <w:rPr>
          <w:lang w:eastAsia="en-GB"/>
        </w:rPr>
        <w:t>1.9. Property, Plant and Equipment and Assets under Construction</w:t>
      </w:r>
    </w:p>
    <w:p w14:paraId="566E66CF" w14:textId="77777777" w:rsidR="00655E4C" w:rsidRPr="0097099A" w:rsidRDefault="00655E4C" w:rsidP="006F1659">
      <w:pPr>
        <w:pStyle w:val="Normal0"/>
        <w:spacing w:line="360" w:lineRule="auto"/>
        <w:rPr>
          <w:rFonts w:ascii="Arial" w:hAnsi="Arial" w:cs="Arial"/>
          <w:b/>
          <w:bCs/>
          <w:sz w:val="24"/>
          <w:szCs w:val="24"/>
          <w:lang w:eastAsia="en-GB"/>
        </w:rPr>
      </w:pPr>
    </w:p>
    <w:p w14:paraId="646B041D"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Assets that have physical substance and are held for use in the production or supply of goods or services, for rental to others, or for administrative purposes and that are expected to be used during more than one financial year are classified as property, plant and equipment.</w:t>
      </w:r>
    </w:p>
    <w:p w14:paraId="7889C278" w14:textId="77777777" w:rsidR="00655E4C" w:rsidRPr="0097099A" w:rsidRDefault="00655E4C" w:rsidP="006F1659">
      <w:pPr>
        <w:pStyle w:val="Normal0"/>
        <w:spacing w:line="360" w:lineRule="auto"/>
        <w:rPr>
          <w:rFonts w:ascii="Arial" w:hAnsi="Arial" w:cs="Arial"/>
          <w:bCs/>
          <w:sz w:val="24"/>
          <w:szCs w:val="24"/>
          <w:lang w:eastAsia="en-GB"/>
        </w:rPr>
      </w:pPr>
    </w:p>
    <w:p w14:paraId="57F6720C" w14:textId="77777777" w:rsidR="00655E4C" w:rsidRPr="0097099A" w:rsidRDefault="00655E4C" w:rsidP="006F1659">
      <w:pPr>
        <w:pStyle w:val="Heading5"/>
        <w:spacing w:line="360" w:lineRule="auto"/>
        <w:rPr>
          <w:lang w:eastAsia="en-GB"/>
        </w:rPr>
      </w:pPr>
      <w:r w:rsidRPr="0097099A">
        <w:rPr>
          <w:lang w:eastAsia="en-GB"/>
        </w:rPr>
        <w:t>1.9.1. Recognition</w:t>
      </w:r>
    </w:p>
    <w:p w14:paraId="24822B53" w14:textId="77777777" w:rsidR="00655E4C" w:rsidRPr="0097099A" w:rsidRDefault="00655E4C" w:rsidP="006F1659">
      <w:pPr>
        <w:pStyle w:val="Normal0"/>
        <w:spacing w:line="360" w:lineRule="auto"/>
        <w:rPr>
          <w:rFonts w:ascii="Arial" w:hAnsi="Arial" w:cs="Arial"/>
          <w:b/>
          <w:bCs/>
          <w:sz w:val="24"/>
          <w:szCs w:val="24"/>
          <w:lang w:eastAsia="en-GB"/>
        </w:rPr>
      </w:pPr>
    </w:p>
    <w:p w14:paraId="30C4D762"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Expenditure on the acquisition, creation or enhancement of property, plant and equipment is capitalised on an accruals basis, provided that it is probable that the future economic benefits or service potential associated with the item will flow to the authority and the cost of the item can be measured reliably. The authority has a £20,000 de minimis level for the recognition of property, plant and equipment. Exceptions to this are</w:t>
      </w:r>
      <w:r>
        <w:rPr>
          <w:rFonts w:ascii="Arial" w:hAnsi="Arial" w:cs="Arial"/>
          <w:bCs/>
          <w:sz w:val="24"/>
          <w:szCs w:val="24"/>
          <w:lang w:eastAsia="en-GB"/>
        </w:rPr>
        <w:t xml:space="preserve"> </w:t>
      </w:r>
      <w:r w:rsidRPr="0097099A">
        <w:rPr>
          <w:rFonts w:ascii="Arial" w:hAnsi="Arial" w:cs="Arial"/>
          <w:bCs/>
          <w:sz w:val="24"/>
          <w:szCs w:val="24"/>
          <w:lang w:eastAsia="en-GB"/>
        </w:rPr>
        <w:t>traffic signals and vehicles, which are capitalised with no minimum level.</w:t>
      </w:r>
    </w:p>
    <w:p w14:paraId="0A87A857" w14:textId="77777777" w:rsidR="00655E4C" w:rsidRPr="0097099A" w:rsidRDefault="00655E4C" w:rsidP="006F1659">
      <w:pPr>
        <w:pStyle w:val="Normal0"/>
        <w:spacing w:line="360" w:lineRule="auto"/>
        <w:rPr>
          <w:rFonts w:ascii="Arial" w:hAnsi="Arial" w:cs="Arial"/>
          <w:bCs/>
          <w:sz w:val="24"/>
          <w:szCs w:val="24"/>
          <w:lang w:eastAsia="en-GB"/>
        </w:rPr>
      </w:pPr>
    </w:p>
    <w:p w14:paraId="1151CE00"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Expenditure that maintains but does not add to an asset’s potential to deliver future economic benefits or service potential (i.e. repairs and maintenance) is charged as an expense when it is incurred.</w:t>
      </w:r>
    </w:p>
    <w:p w14:paraId="0A5898EA" w14:textId="77777777" w:rsidR="00655E4C" w:rsidRPr="0097099A" w:rsidRDefault="00655E4C" w:rsidP="006F1659">
      <w:pPr>
        <w:pStyle w:val="Normal0"/>
        <w:spacing w:line="360" w:lineRule="auto"/>
        <w:rPr>
          <w:rFonts w:ascii="Arial" w:hAnsi="Arial" w:cs="Arial"/>
          <w:bCs/>
          <w:sz w:val="24"/>
          <w:szCs w:val="24"/>
          <w:lang w:eastAsia="en-GB"/>
        </w:rPr>
      </w:pPr>
    </w:p>
    <w:p w14:paraId="03EF045B" w14:textId="77777777" w:rsidR="00655E4C" w:rsidRPr="0097099A" w:rsidRDefault="00655E4C" w:rsidP="006F1659">
      <w:pPr>
        <w:pStyle w:val="Heading5"/>
        <w:spacing w:line="360" w:lineRule="auto"/>
        <w:rPr>
          <w:lang w:eastAsia="en-GB"/>
        </w:rPr>
      </w:pPr>
      <w:r w:rsidRPr="0097099A">
        <w:rPr>
          <w:lang w:eastAsia="en-GB"/>
        </w:rPr>
        <w:t xml:space="preserve">1.9.2. Measurement </w:t>
      </w:r>
    </w:p>
    <w:p w14:paraId="0386C525" w14:textId="77777777" w:rsidR="00655E4C" w:rsidRPr="0097099A" w:rsidRDefault="00655E4C" w:rsidP="006F1659">
      <w:pPr>
        <w:pStyle w:val="Normal0"/>
        <w:spacing w:line="360" w:lineRule="auto"/>
        <w:rPr>
          <w:rFonts w:ascii="Arial" w:hAnsi="Arial" w:cs="Arial"/>
          <w:b/>
          <w:bCs/>
          <w:sz w:val="24"/>
          <w:szCs w:val="24"/>
          <w:lang w:eastAsia="en-GB"/>
        </w:rPr>
      </w:pPr>
    </w:p>
    <w:p w14:paraId="6445C4C0"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Assets are initially measured at cost, comprising:</w:t>
      </w:r>
    </w:p>
    <w:p w14:paraId="6399EF50" w14:textId="77777777" w:rsidR="00655E4C" w:rsidRPr="0097099A" w:rsidRDefault="00655E4C" w:rsidP="006F1659">
      <w:pPr>
        <w:pStyle w:val="Normal0"/>
        <w:spacing w:line="360" w:lineRule="auto"/>
        <w:rPr>
          <w:rFonts w:ascii="Arial" w:hAnsi="Arial" w:cs="Arial"/>
          <w:bCs/>
          <w:sz w:val="24"/>
          <w:szCs w:val="24"/>
          <w:lang w:eastAsia="en-GB"/>
        </w:rPr>
      </w:pPr>
    </w:p>
    <w:p w14:paraId="237EA9AE" w14:textId="77777777" w:rsidR="00655E4C" w:rsidRPr="0097099A" w:rsidRDefault="00655E4C" w:rsidP="006F1659">
      <w:pPr>
        <w:pStyle w:val="Default"/>
        <w:numPr>
          <w:ilvl w:val="0"/>
          <w:numId w:val="44"/>
        </w:numPr>
        <w:spacing w:after="86" w:line="360" w:lineRule="auto"/>
        <w:ind w:left="567" w:hanging="207"/>
      </w:pPr>
      <w:r w:rsidRPr="0097099A">
        <w:rPr>
          <w:bCs/>
        </w:rPr>
        <w:t xml:space="preserve">the </w:t>
      </w:r>
      <w:r w:rsidRPr="0097099A">
        <w:t>purchase price;</w:t>
      </w:r>
    </w:p>
    <w:p w14:paraId="4D4034FA" w14:textId="77777777" w:rsidR="00655E4C" w:rsidRPr="0097099A" w:rsidRDefault="00655E4C" w:rsidP="006F1659">
      <w:pPr>
        <w:pStyle w:val="Default"/>
        <w:numPr>
          <w:ilvl w:val="0"/>
          <w:numId w:val="44"/>
        </w:numPr>
        <w:spacing w:after="86" w:line="360" w:lineRule="auto"/>
        <w:ind w:left="567" w:hanging="207"/>
      </w:pPr>
      <w:r w:rsidRPr="0097099A">
        <w:t>any costs attributable to bringing the asset to the location and condition necessary for it to be capable of operating in the manner intended by management; and</w:t>
      </w:r>
    </w:p>
    <w:p w14:paraId="333D4093" w14:textId="77777777" w:rsidR="00655E4C" w:rsidRPr="0097099A" w:rsidRDefault="00655E4C" w:rsidP="006F1659">
      <w:pPr>
        <w:pStyle w:val="Default"/>
        <w:numPr>
          <w:ilvl w:val="0"/>
          <w:numId w:val="44"/>
        </w:numPr>
        <w:spacing w:after="86" w:line="360" w:lineRule="auto"/>
        <w:ind w:left="567" w:hanging="207"/>
        <w:rPr>
          <w:bCs/>
        </w:rPr>
      </w:pPr>
      <w:r w:rsidRPr="0097099A">
        <w:lastRenderedPageBreak/>
        <w:t>the initial estimate of the costs of dismantling and removing the item and restoring the</w:t>
      </w:r>
      <w:r w:rsidRPr="0097099A">
        <w:rPr>
          <w:bCs/>
        </w:rPr>
        <w:t xml:space="preserve"> site on which it is located.</w:t>
      </w:r>
    </w:p>
    <w:p w14:paraId="1D886273" w14:textId="77777777" w:rsidR="00C85BC3" w:rsidRDefault="00C85BC3" w:rsidP="006F1659">
      <w:pPr>
        <w:pStyle w:val="Normal0"/>
        <w:spacing w:line="360" w:lineRule="auto"/>
        <w:rPr>
          <w:rFonts w:ascii="Arial" w:hAnsi="Arial" w:cs="Arial"/>
          <w:bCs/>
          <w:sz w:val="24"/>
          <w:szCs w:val="24"/>
          <w:lang w:eastAsia="en-GB"/>
        </w:rPr>
      </w:pPr>
    </w:p>
    <w:p w14:paraId="4FE31481" w14:textId="0E278790"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The authority does not capitalise borrowing costs incurred while assets are under construction.</w:t>
      </w:r>
    </w:p>
    <w:p w14:paraId="55966F2E" w14:textId="77777777" w:rsidR="00655E4C" w:rsidRPr="0097099A" w:rsidRDefault="00655E4C" w:rsidP="006F1659">
      <w:pPr>
        <w:pStyle w:val="Normal0"/>
        <w:spacing w:line="360" w:lineRule="auto"/>
        <w:rPr>
          <w:rFonts w:ascii="Arial" w:hAnsi="Arial" w:cs="Arial"/>
          <w:bCs/>
          <w:sz w:val="24"/>
          <w:szCs w:val="24"/>
          <w:lang w:eastAsia="en-GB"/>
        </w:rPr>
      </w:pPr>
    </w:p>
    <w:p w14:paraId="07341B25"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 xml:space="preserve">The cost of assets acquired other than by purchase is deemed to be its fair value, unless the acquisition does not have commercial substance (i.e. it will not lead to a variation in the cash flows of the authority). In the latter case, where an asset is acquired via an exchange, the cost of the acquisition is the carrying amount of the asset given up by the authority. </w:t>
      </w:r>
    </w:p>
    <w:p w14:paraId="75020F56" w14:textId="77777777" w:rsidR="00655E4C" w:rsidRPr="0097099A" w:rsidRDefault="00655E4C" w:rsidP="006F1659">
      <w:pPr>
        <w:pStyle w:val="Normal0"/>
        <w:spacing w:line="360" w:lineRule="auto"/>
        <w:rPr>
          <w:rFonts w:ascii="Arial" w:hAnsi="Arial" w:cs="Arial"/>
          <w:bCs/>
          <w:sz w:val="24"/>
          <w:szCs w:val="24"/>
          <w:lang w:eastAsia="en-GB"/>
        </w:rPr>
      </w:pPr>
    </w:p>
    <w:p w14:paraId="6B135F95" w14:textId="7390E420"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 xml:space="preserve">Donated assets are measured initially at fair value. The difference between fair value and any consideration paid is credited to the taxation and non-specific grant income line of the comprehensive income and expenditure </w:t>
      </w:r>
      <w:r w:rsidR="009D6FD6" w:rsidRPr="0097099A">
        <w:rPr>
          <w:rFonts w:ascii="Arial" w:hAnsi="Arial" w:cs="Arial"/>
          <w:bCs/>
          <w:sz w:val="24"/>
          <w:szCs w:val="24"/>
          <w:lang w:eastAsia="en-GB"/>
        </w:rPr>
        <w:t>statement unless</w:t>
      </w:r>
      <w:r w:rsidRPr="0097099A">
        <w:rPr>
          <w:rFonts w:ascii="Arial" w:hAnsi="Arial" w:cs="Arial"/>
          <w:bCs/>
          <w:sz w:val="24"/>
          <w:szCs w:val="24"/>
          <w:lang w:eastAsia="en-GB"/>
        </w:rPr>
        <w:t xml:space="preserve"> the donation has been made conditionally. Until conditions are satisfied, the gain is held in the donated assets account. Where gains are credited to the comprehensive income and expenditure statement, they are reversed out of the general fund balance to the capital adjustment account in the movement in reserves statement</w:t>
      </w:r>
      <w:r w:rsidR="00F97848">
        <w:rPr>
          <w:rFonts w:ascii="Arial" w:hAnsi="Arial" w:cs="Arial"/>
          <w:bCs/>
          <w:sz w:val="24"/>
          <w:szCs w:val="24"/>
          <w:lang w:eastAsia="en-GB"/>
        </w:rPr>
        <w:t>.</w:t>
      </w:r>
    </w:p>
    <w:p w14:paraId="6146D562" w14:textId="77777777" w:rsidR="00655E4C" w:rsidRPr="0097099A" w:rsidRDefault="00655E4C" w:rsidP="006F1659">
      <w:pPr>
        <w:pStyle w:val="Normal0"/>
        <w:spacing w:line="360" w:lineRule="auto"/>
        <w:rPr>
          <w:rFonts w:ascii="Arial" w:hAnsi="Arial" w:cs="Arial"/>
          <w:bCs/>
          <w:sz w:val="24"/>
          <w:szCs w:val="24"/>
          <w:lang w:eastAsia="en-GB"/>
        </w:rPr>
      </w:pPr>
    </w:p>
    <w:p w14:paraId="7574ECFC"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Assets are then carried in the balance sheet using the following measurement bases:</w:t>
      </w:r>
    </w:p>
    <w:p w14:paraId="21B47E54" w14:textId="77777777" w:rsidR="00655E4C" w:rsidRPr="0097099A" w:rsidRDefault="00655E4C" w:rsidP="006F1659">
      <w:pPr>
        <w:pStyle w:val="Normal0"/>
        <w:spacing w:line="360" w:lineRule="auto"/>
        <w:rPr>
          <w:rFonts w:ascii="Arial" w:hAnsi="Arial" w:cs="Arial"/>
          <w:bCs/>
          <w:sz w:val="24"/>
          <w:szCs w:val="24"/>
          <w:lang w:eastAsia="en-GB"/>
        </w:rPr>
      </w:pPr>
    </w:p>
    <w:p w14:paraId="6FE3BEB3" w14:textId="6C8254CA" w:rsidR="00655E4C" w:rsidRPr="00C85BC3" w:rsidRDefault="00655E4C" w:rsidP="00C85BC3">
      <w:pPr>
        <w:pStyle w:val="ListParagraph"/>
        <w:numPr>
          <w:ilvl w:val="0"/>
          <w:numId w:val="21"/>
        </w:numPr>
        <w:spacing w:line="360" w:lineRule="auto"/>
        <w:rPr>
          <w:rFonts w:ascii="Arial" w:hAnsi="Arial" w:cs="Arial"/>
          <w:bCs/>
          <w:sz w:val="24"/>
          <w:szCs w:val="24"/>
        </w:rPr>
      </w:pPr>
      <w:r w:rsidRPr="0097099A">
        <w:rPr>
          <w:rFonts w:ascii="Arial" w:hAnsi="Arial" w:cs="Arial"/>
          <w:bCs/>
          <w:sz w:val="24"/>
          <w:szCs w:val="24"/>
        </w:rPr>
        <w:t>assets under construction</w:t>
      </w:r>
      <w:r w:rsidR="00C85BC3">
        <w:rPr>
          <w:rFonts w:ascii="Arial" w:hAnsi="Arial" w:cs="Arial"/>
          <w:bCs/>
          <w:sz w:val="24"/>
          <w:szCs w:val="24"/>
        </w:rPr>
        <w:t xml:space="preserve">, </w:t>
      </w:r>
      <w:r w:rsidRPr="0097099A">
        <w:rPr>
          <w:rFonts w:ascii="Arial" w:hAnsi="Arial" w:cs="Arial"/>
          <w:bCs/>
          <w:sz w:val="24"/>
          <w:szCs w:val="24"/>
        </w:rPr>
        <w:t>infrastructure assets</w:t>
      </w:r>
      <w:r w:rsidR="00C85BC3">
        <w:rPr>
          <w:rFonts w:ascii="Arial" w:hAnsi="Arial" w:cs="Arial"/>
          <w:bCs/>
          <w:sz w:val="24"/>
          <w:szCs w:val="24"/>
        </w:rPr>
        <w:t xml:space="preserve"> and standard plant, vehicle and equipment assets</w:t>
      </w:r>
      <w:r w:rsidRPr="0097099A">
        <w:rPr>
          <w:rFonts w:ascii="Arial" w:hAnsi="Arial" w:cs="Arial"/>
          <w:bCs/>
          <w:sz w:val="24"/>
          <w:szCs w:val="24"/>
        </w:rPr>
        <w:t xml:space="preserve"> – depreciated historical cost;</w:t>
      </w:r>
    </w:p>
    <w:p w14:paraId="1E26DE84" w14:textId="69A10DFA" w:rsidR="00655E4C" w:rsidRPr="00C85BC3" w:rsidRDefault="00655E4C" w:rsidP="00C85BC3">
      <w:pPr>
        <w:pStyle w:val="ListParagraph"/>
        <w:numPr>
          <w:ilvl w:val="0"/>
          <w:numId w:val="21"/>
        </w:numPr>
        <w:spacing w:line="360" w:lineRule="auto"/>
        <w:rPr>
          <w:rFonts w:ascii="Arial" w:hAnsi="Arial" w:cs="Arial"/>
          <w:bCs/>
          <w:sz w:val="24"/>
          <w:szCs w:val="24"/>
        </w:rPr>
      </w:pPr>
      <w:r w:rsidRPr="0097099A">
        <w:rPr>
          <w:rFonts w:ascii="Arial" w:hAnsi="Arial" w:cs="Arial"/>
          <w:bCs/>
          <w:sz w:val="24"/>
          <w:szCs w:val="24"/>
        </w:rPr>
        <w:t>surplus assets – fair value, estimated at highest and best use from a market participants perspective; and</w:t>
      </w:r>
    </w:p>
    <w:p w14:paraId="0CA09F91" w14:textId="2929E441" w:rsidR="00C85BC3" w:rsidRPr="00C85BC3" w:rsidRDefault="00C85BC3" w:rsidP="00C85BC3">
      <w:pPr>
        <w:pStyle w:val="ListParagraph"/>
        <w:numPr>
          <w:ilvl w:val="0"/>
          <w:numId w:val="21"/>
        </w:numPr>
        <w:spacing w:line="360" w:lineRule="auto"/>
        <w:rPr>
          <w:rFonts w:ascii="Arial" w:hAnsi="Arial" w:cs="Arial"/>
          <w:bCs/>
          <w:sz w:val="24"/>
          <w:szCs w:val="24"/>
        </w:rPr>
      </w:pPr>
      <w:r>
        <w:rPr>
          <w:rFonts w:ascii="Arial" w:hAnsi="Arial" w:cs="Arial"/>
          <w:bCs/>
          <w:sz w:val="24"/>
          <w:szCs w:val="24"/>
        </w:rPr>
        <w:t>land and buildings and specialist waste equipment</w:t>
      </w:r>
      <w:r w:rsidR="00655E4C" w:rsidRPr="0097099A">
        <w:rPr>
          <w:rFonts w:ascii="Arial" w:hAnsi="Arial" w:cs="Arial"/>
          <w:bCs/>
          <w:sz w:val="24"/>
          <w:szCs w:val="24"/>
        </w:rPr>
        <w:t xml:space="preserve"> – current value, determined as the amount that would be paid for the asset in its existing use (existing use value – EUV).</w:t>
      </w:r>
    </w:p>
    <w:p w14:paraId="48BBA8F4" w14:textId="01CF5852" w:rsidR="00655E4C" w:rsidRPr="00C85BC3" w:rsidRDefault="00655E4C" w:rsidP="00C85BC3">
      <w:pPr>
        <w:spacing w:line="360" w:lineRule="auto"/>
        <w:rPr>
          <w:rFonts w:ascii="Arial" w:hAnsi="Arial" w:cs="Arial"/>
          <w:bCs/>
        </w:rPr>
      </w:pPr>
      <w:r w:rsidRPr="00C85BC3">
        <w:rPr>
          <w:rFonts w:ascii="Arial" w:hAnsi="Arial" w:cs="Arial"/>
          <w:bCs/>
        </w:rPr>
        <w:t xml:space="preserve">Where there is no market-based evidence of current value because of the specialist nature of an asset, depreciated replacement cost (DRC) is used as an estimate of current value. </w:t>
      </w:r>
    </w:p>
    <w:p w14:paraId="624D62D1" w14:textId="77777777" w:rsidR="00655E4C" w:rsidRPr="0097099A" w:rsidRDefault="00655E4C" w:rsidP="006F1659">
      <w:pPr>
        <w:pStyle w:val="Normal0"/>
        <w:spacing w:line="360" w:lineRule="auto"/>
        <w:rPr>
          <w:rFonts w:ascii="Arial" w:hAnsi="Arial" w:cs="Arial"/>
          <w:bCs/>
          <w:sz w:val="24"/>
          <w:szCs w:val="24"/>
          <w:lang w:eastAsia="en-GB"/>
        </w:rPr>
      </w:pPr>
    </w:p>
    <w:p w14:paraId="4DD4E562"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Where non-property assets have short useful lives or low values (or both), the depreciated historical cost basis is used as a proxy for current value.</w:t>
      </w:r>
    </w:p>
    <w:p w14:paraId="7B70CB4C" w14:textId="77777777" w:rsidR="00655E4C" w:rsidRPr="0097099A" w:rsidRDefault="00655E4C" w:rsidP="006F1659">
      <w:pPr>
        <w:pStyle w:val="Normal0"/>
        <w:spacing w:line="360" w:lineRule="auto"/>
        <w:rPr>
          <w:rFonts w:ascii="Arial" w:hAnsi="Arial" w:cs="Arial"/>
          <w:bCs/>
          <w:sz w:val="24"/>
          <w:szCs w:val="24"/>
          <w:lang w:eastAsia="en-GB"/>
        </w:rPr>
      </w:pPr>
    </w:p>
    <w:p w14:paraId="313415A0"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Assets included in the balance sheet at current value are revalued sufficiently regularly, as a minimum every five years, to ensure that their carrying amount is not materially different from their current value at the year-end. Increases in valuations are matched by credits to the revaluation reserve to recognise unrealised gains. Exceptionally, gains might be credited to the surplus or deficit on the provision of services where they arise from the reversal of a loss previously charged to a service.</w:t>
      </w:r>
    </w:p>
    <w:p w14:paraId="362E6E12" w14:textId="77777777" w:rsidR="00655E4C" w:rsidRPr="0097099A" w:rsidRDefault="00655E4C" w:rsidP="006F1659">
      <w:pPr>
        <w:pStyle w:val="Normal0"/>
        <w:spacing w:line="360" w:lineRule="auto"/>
        <w:rPr>
          <w:rFonts w:ascii="Arial" w:hAnsi="Arial" w:cs="Arial"/>
          <w:bCs/>
          <w:sz w:val="24"/>
          <w:szCs w:val="24"/>
          <w:lang w:eastAsia="en-GB"/>
        </w:rPr>
      </w:pPr>
    </w:p>
    <w:p w14:paraId="2E41854D"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 xml:space="preserve">Where decreases in value are identified, they are accounted for as follows: </w:t>
      </w:r>
    </w:p>
    <w:p w14:paraId="22A3AFDE" w14:textId="77777777" w:rsidR="00655E4C" w:rsidRPr="0097099A" w:rsidRDefault="00655E4C" w:rsidP="006F1659">
      <w:pPr>
        <w:pStyle w:val="Normal0"/>
        <w:spacing w:line="360" w:lineRule="auto"/>
        <w:rPr>
          <w:rFonts w:ascii="Arial" w:hAnsi="Arial" w:cs="Arial"/>
          <w:bCs/>
          <w:sz w:val="24"/>
          <w:szCs w:val="24"/>
          <w:lang w:eastAsia="en-GB"/>
        </w:rPr>
      </w:pPr>
    </w:p>
    <w:p w14:paraId="6DE3C766" w14:textId="5FCBBC8B" w:rsidR="00655E4C" w:rsidRPr="00C85BC3" w:rsidRDefault="00655E4C" w:rsidP="00C85BC3">
      <w:pPr>
        <w:pStyle w:val="Normal0"/>
        <w:numPr>
          <w:ilvl w:val="0"/>
          <w:numId w:val="21"/>
        </w:numPr>
        <w:spacing w:line="360" w:lineRule="auto"/>
        <w:rPr>
          <w:rFonts w:ascii="Arial" w:eastAsia="Times New Roman" w:hAnsi="Arial" w:cs="Arial"/>
          <w:bCs/>
          <w:sz w:val="24"/>
          <w:szCs w:val="24"/>
          <w:lang w:val="en-GB" w:eastAsia="en-GB"/>
        </w:rPr>
      </w:pPr>
      <w:r w:rsidRPr="0097099A">
        <w:rPr>
          <w:rFonts w:ascii="Arial" w:eastAsia="Times New Roman" w:hAnsi="Arial" w:cs="Arial"/>
          <w:bCs/>
          <w:sz w:val="24"/>
          <w:szCs w:val="24"/>
          <w:lang w:val="en-GB" w:eastAsia="en-GB"/>
        </w:rPr>
        <w:t xml:space="preserve">where there is a balance of revaluation gains for the asset in the revaluation reserve, the carrying amount of the asset is written down against that balance (up to the amount of the accumulated gains); </w:t>
      </w:r>
    </w:p>
    <w:p w14:paraId="5665965B" w14:textId="77777777" w:rsidR="00655E4C" w:rsidRPr="0097099A" w:rsidRDefault="00655E4C" w:rsidP="006F1659">
      <w:pPr>
        <w:pStyle w:val="Normal0"/>
        <w:numPr>
          <w:ilvl w:val="0"/>
          <w:numId w:val="21"/>
        </w:numPr>
        <w:spacing w:line="360" w:lineRule="auto"/>
        <w:rPr>
          <w:rFonts w:ascii="Arial" w:hAnsi="Arial" w:cs="Arial"/>
          <w:bCs/>
          <w:sz w:val="24"/>
          <w:szCs w:val="24"/>
          <w:lang w:eastAsia="en-GB"/>
        </w:rPr>
      </w:pPr>
      <w:r w:rsidRPr="0097099A">
        <w:rPr>
          <w:rFonts w:ascii="Arial" w:hAnsi="Arial" w:cs="Arial"/>
          <w:bCs/>
          <w:sz w:val="24"/>
          <w:szCs w:val="24"/>
          <w:lang w:eastAsia="en-GB"/>
        </w:rPr>
        <w:t>where there is no balance in the revaluation reserve or an insufficient balance, the carrying amount of the asset is written down against the relevant service line(s) in the comprehensive income and expenditure statement.</w:t>
      </w:r>
    </w:p>
    <w:p w14:paraId="1245F61B" w14:textId="77777777" w:rsidR="00655E4C" w:rsidRPr="0097099A" w:rsidRDefault="00655E4C" w:rsidP="006F1659">
      <w:pPr>
        <w:pStyle w:val="Normal0"/>
        <w:spacing w:line="360" w:lineRule="auto"/>
        <w:ind w:left="720"/>
        <w:rPr>
          <w:rFonts w:ascii="Arial" w:hAnsi="Arial" w:cs="Arial"/>
          <w:bCs/>
          <w:sz w:val="24"/>
          <w:szCs w:val="24"/>
          <w:lang w:eastAsia="en-GB"/>
        </w:rPr>
      </w:pPr>
    </w:p>
    <w:p w14:paraId="20FF2381"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The revaluation reserve contains revaluation gains recognised since 1 April 2007 only, the date of its formal implementation. Gains arising before that date have been consolidated into the capital adjustment account.</w:t>
      </w:r>
    </w:p>
    <w:p w14:paraId="7701E074" w14:textId="77777777" w:rsidR="00655E4C" w:rsidRPr="00EE5700" w:rsidRDefault="00655E4C" w:rsidP="006F1659">
      <w:pPr>
        <w:pStyle w:val="Normal0"/>
        <w:spacing w:line="360" w:lineRule="auto"/>
        <w:rPr>
          <w:rFonts w:ascii="Arial" w:hAnsi="Arial" w:cs="Arial"/>
          <w:bCs/>
          <w:sz w:val="24"/>
          <w:szCs w:val="24"/>
          <w:highlight w:val="cyan"/>
          <w:lang w:eastAsia="en-GB"/>
        </w:rPr>
      </w:pPr>
    </w:p>
    <w:p w14:paraId="1E0CC51E" w14:textId="77777777" w:rsidR="00655E4C" w:rsidRPr="0097099A" w:rsidRDefault="00655E4C" w:rsidP="006F1659">
      <w:pPr>
        <w:pStyle w:val="Heading5"/>
        <w:spacing w:line="360" w:lineRule="auto"/>
        <w:rPr>
          <w:lang w:eastAsia="en-GB"/>
        </w:rPr>
      </w:pPr>
      <w:r w:rsidRPr="0097099A">
        <w:rPr>
          <w:lang w:eastAsia="en-GB"/>
        </w:rPr>
        <w:t>1.9.3. Impairment</w:t>
      </w:r>
    </w:p>
    <w:p w14:paraId="6AF2D6DA" w14:textId="77777777" w:rsidR="00655E4C" w:rsidRPr="0097099A" w:rsidRDefault="00655E4C" w:rsidP="006F1659">
      <w:pPr>
        <w:pStyle w:val="Normal0"/>
        <w:spacing w:line="360" w:lineRule="auto"/>
        <w:rPr>
          <w:rFonts w:ascii="Arial" w:hAnsi="Arial" w:cs="Arial"/>
          <w:b/>
          <w:bCs/>
          <w:sz w:val="24"/>
          <w:szCs w:val="24"/>
          <w:lang w:eastAsia="en-GB"/>
        </w:rPr>
      </w:pPr>
    </w:p>
    <w:p w14:paraId="012969ED"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Assets are assessed at each year-end as to whether there are indications that an asset may be impaired. Where reliable indications exist and differences are estimated to be material, the recoverable amount of the asset is estimated and, where this is less than the carrying amount of the asset, an impairment loss is recognised for the shortfall. Where impairment losses are identified, they are accounted for as follows:</w:t>
      </w:r>
    </w:p>
    <w:p w14:paraId="2CD15EF9" w14:textId="77777777" w:rsidR="00655E4C" w:rsidRPr="0097099A" w:rsidRDefault="00655E4C" w:rsidP="006F1659">
      <w:pPr>
        <w:pStyle w:val="Normal0"/>
        <w:spacing w:line="360" w:lineRule="auto"/>
        <w:rPr>
          <w:rFonts w:ascii="Arial" w:hAnsi="Arial" w:cs="Arial"/>
          <w:bCs/>
          <w:sz w:val="24"/>
          <w:szCs w:val="24"/>
          <w:lang w:eastAsia="en-GB"/>
        </w:rPr>
      </w:pPr>
    </w:p>
    <w:p w14:paraId="51090B4B" w14:textId="1831A378" w:rsidR="00655E4C" w:rsidRPr="00C85BC3" w:rsidRDefault="00655E4C" w:rsidP="00C85BC3">
      <w:pPr>
        <w:pStyle w:val="ListParagraph"/>
        <w:numPr>
          <w:ilvl w:val="1"/>
          <w:numId w:val="20"/>
        </w:numPr>
        <w:spacing w:line="360" w:lineRule="auto"/>
        <w:ind w:left="851" w:hanging="567"/>
        <w:rPr>
          <w:rFonts w:ascii="Arial" w:hAnsi="Arial" w:cs="Arial"/>
          <w:bCs/>
          <w:sz w:val="24"/>
          <w:szCs w:val="24"/>
        </w:rPr>
      </w:pPr>
      <w:r w:rsidRPr="0097099A">
        <w:rPr>
          <w:rFonts w:ascii="Arial" w:hAnsi="Arial" w:cs="Arial"/>
          <w:bCs/>
          <w:sz w:val="24"/>
          <w:szCs w:val="24"/>
        </w:rPr>
        <w:lastRenderedPageBreak/>
        <w:t>where there is a balance of revaluation gains for the asset in the revaluation reserve, the carrying amount of the asset is written down against that balance (up to the amount of the accumulated gains);</w:t>
      </w:r>
    </w:p>
    <w:p w14:paraId="63032538" w14:textId="77777777" w:rsidR="00655E4C" w:rsidRPr="0097099A" w:rsidRDefault="00655E4C" w:rsidP="006F1659">
      <w:pPr>
        <w:pStyle w:val="ListParagraph"/>
        <w:numPr>
          <w:ilvl w:val="1"/>
          <w:numId w:val="20"/>
        </w:numPr>
        <w:spacing w:line="360" w:lineRule="auto"/>
        <w:ind w:left="851" w:hanging="567"/>
        <w:rPr>
          <w:rFonts w:ascii="Arial" w:hAnsi="Arial" w:cs="Arial"/>
          <w:bCs/>
          <w:sz w:val="24"/>
          <w:szCs w:val="24"/>
        </w:rPr>
      </w:pPr>
      <w:r w:rsidRPr="0097099A">
        <w:rPr>
          <w:rFonts w:ascii="Arial" w:hAnsi="Arial" w:cs="Arial"/>
          <w:bCs/>
          <w:sz w:val="24"/>
          <w:szCs w:val="24"/>
        </w:rPr>
        <w:t>where there is no balance in the revaluation reserve or an insufficient balance, the carrying amount of the asset is written down against the relevant service line(s) in the comprehensive income and expenditure statement.</w:t>
      </w:r>
    </w:p>
    <w:p w14:paraId="0AB7C18B"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Where an impairment loss is reversed subsequently, the reversal is credited to the relevant service line(s) in the comprehensive income and expenditure statement, up to the amount of the original loss, adjusted for depreciation that would have been charged if the loss had not been recognised.</w:t>
      </w:r>
    </w:p>
    <w:p w14:paraId="4688B010" w14:textId="77777777" w:rsidR="00655E4C" w:rsidRPr="0097099A" w:rsidRDefault="00655E4C" w:rsidP="006F1659">
      <w:pPr>
        <w:spacing w:line="360" w:lineRule="auto"/>
        <w:rPr>
          <w:rFonts w:ascii="Arial" w:eastAsiaTheme="minorHAnsi" w:hAnsi="Arial" w:cs="Arial"/>
          <w:b/>
          <w:bCs/>
          <w:lang w:val="en-US" w:eastAsia="en-GB"/>
        </w:rPr>
      </w:pPr>
    </w:p>
    <w:p w14:paraId="04D722FE" w14:textId="77777777" w:rsidR="00655E4C" w:rsidRPr="0097099A" w:rsidRDefault="00655E4C" w:rsidP="006F1659">
      <w:pPr>
        <w:pStyle w:val="Heading5"/>
        <w:spacing w:line="360" w:lineRule="auto"/>
        <w:rPr>
          <w:lang w:eastAsia="en-GB"/>
        </w:rPr>
      </w:pPr>
      <w:r w:rsidRPr="0097099A">
        <w:rPr>
          <w:lang w:eastAsia="en-GB"/>
        </w:rPr>
        <w:t>1.9.4. Depreciation</w:t>
      </w:r>
    </w:p>
    <w:p w14:paraId="4C662132" w14:textId="77777777" w:rsidR="00655E4C" w:rsidRPr="0097099A" w:rsidRDefault="00655E4C" w:rsidP="006F1659">
      <w:pPr>
        <w:pStyle w:val="Normal0"/>
        <w:spacing w:line="360" w:lineRule="auto"/>
        <w:rPr>
          <w:rFonts w:ascii="Arial" w:hAnsi="Arial" w:cs="Arial"/>
          <w:b/>
          <w:bCs/>
          <w:sz w:val="24"/>
          <w:szCs w:val="24"/>
          <w:lang w:eastAsia="en-GB"/>
        </w:rPr>
      </w:pPr>
    </w:p>
    <w:p w14:paraId="05145A7A"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Depreciation is provided for on all property, plant and equipment assets by the systematic allocation of their depreciable amounts over their useful lives. An exception is made for assets without a determinable finite useful life (i.e. freehold land) and assets that are not yet available for use (i.e. assets under construction).</w:t>
      </w:r>
    </w:p>
    <w:p w14:paraId="78DFAF97" w14:textId="77777777" w:rsidR="00655E4C" w:rsidRPr="0097099A" w:rsidRDefault="00655E4C" w:rsidP="006F1659">
      <w:pPr>
        <w:pStyle w:val="Normal0"/>
        <w:spacing w:line="360" w:lineRule="auto"/>
        <w:rPr>
          <w:rFonts w:ascii="Arial" w:hAnsi="Arial" w:cs="Arial"/>
          <w:bCs/>
          <w:sz w:val="24"/>
          <w:szCs w:val="24"/>
          <w:lang w:eastAsia="en-GB"/>
        </w:rPr>
      </w:pPr>
    </w:p>
    <w:p w14:paraId="386039AE"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Depreciation is calculated on the following bases:</w:t>
      </w:r>
    </w:p>
    <w:p w14:paraId="5E918B92" w14:textId="77777777" w:rsidR="00655E4C" w:rsidRPr="0097099A" w:rsidRDefault="00655E4C" w:rsidP="006F1659">
      <w:pPr>
        <w:pStyle w:val="Normal0"/>
        <w:spacing w:line="360" w:lineRule="auto"/>
        <w:rPr>
          <w:rFonts w:ascii="Arial" w:hAnsi="Arial" w:cs="Arial"/>
          <w:bCs/>
          <w:sz w:val="24"/>
          <w:szCs w:val="24"/>
          <w:lang w:eastAsia="en-GB"/>
        </w:rPr>
      </w:pPr>
    </w:p>
    <w:p w14:paraId="10A44532" w14:textId="77777777" w:rsidR="00655E4C" w:rsidRPr="0097099A" w:rsidRDefault="00655E4C" w:rsidP="006F1659">
      <w:pPr>
        <w:pStyle w:val="ListParagraph"/>
        <w:numPr>
          <w:ilvl w:val="0"/>
          <w:numId w:val="22"/>
        </w:numPr>
        <w:spacing w:after="0" w:line="360" w:lineRule="auto"/>
        <w:ind w:left="714" w:hanging="357"/>
        <w:rPr>
          <w:rFonts w:ascii="Arial" w:hAnsi="Arial" w:cs="Arial"/>
          <w:bCs/>
          <w:sz w:val="24"/>
          <w:szCs w:val="24"/>
        </w:rPr>
      </w:pPr>
      <w:r w:rsidRPr="0097099A">
        <w:rPr>
          <w:rFonts w:ascii="Arial" w:hAnsi="Arial" w:cs="Arial"/>
          <w:bCs/>
          <w:sz w:val="24"/>
          <w:szCs w:val="24"/>
        </w:rPr>
        <w:t xml:space="preserve">infrastructure assets – straight-line allocation over the useful life of the assets </w:t>
      </w:r>
    </w:p>
    <w:p w14:paraId="44E89106" w14:textId="204739F4" w:rsidR="00655E4C" w:rsidRPr="00C85BC3" w:rsidRDefault="00655E4C" w:rsidP="00C85BC3">
      <w:pPr>
        <w:spacing w:line="360" w:lineRule="auto"/>
        <w:ind w:left="720"/>
        <w:rPr>
          <w:rFonts w:ascii="Arial" w:hAnsi="Arial" w:cs="Arial"/>
          <w:bCs/>
          <w:lang w:eastAsia="en-GB"/>
        </w:rPr>
      </w:pPr>
      <w:r w:rsidRPr="0097099A">
        <w:rPr>
          <w:rFonts w:ascii="Arial" w:hAnsi="Arial" w:cs="Arial"/>
          <w:bCs/>
        </w:rPr>
        <w:t>(11 years</w:t>
      </w:r>
      <w:r w:rsidRPr="00D10D8D">
        <w:rPr>
          <w:rFonts w:ascii="Arial" w:hAnsi="Arial" w:cs="Arial"/>
          <w:bCs/>
        </w:rPr>
        <w:t xml:space="preserve">) as estimated by </w:t>
      </w:r>
      <w:r w:rsidR="00EF5EF0" w:rsidRPr="00D10D8D">
        <w:rPr>
          <w:rFonts w:ascii="Arial" w:hAnsi="Arial" w:cs="Arial"/>
          <w:bCs/>
        </w:rPr>
        <w:t>a relevant expert</w:t>
      </w:r>
      <w:r w:rsidRPr="00D10D8D">
        <w:rPr>
          <w:rFonts w:ascii="Arial" w:hAnsi="Arial" w:cs="Arial"/>
          <w:bCs/>
        </w:rPr>
        <w:t>;</w:t>
      </w:r>
    </w:p>
    <w:p w14:paraId="77301F1B" w14:textId="388BF306" w:rsidR="00655E4C" w:rsidRPr="00C85BC3" w:rsidRDefault="00655E4C" w:rsidP="00C85BC3">
      <w:pPr>
        <w:pStyle w:val="ListParagraph"/>
        <w:numPr>
          <w:ilvl w:val="0"/>
          <w:numId w:val="22"/>
        </w:numPr>
        <w:spacing w:line="360" w:lineRule="auto"/>
        <w:rPr>
          <w:rFonts w:ascii="Arial" w:hAnsi="Arial" w:cs="Arial"/>
          <w:bCs/>
          <w:sz w:val="24"/>
          <w:szCs w:val="24"/>
        </w:rPr>
      </w:pPr>
      <w:r w:rsidRPr="0097099A">
        <w:rPr>
          <w:rFonts w:ascii="Arial" w:hAnsi="Arial" w:cs="Arial"/>
          <w:bCs/>
          <w:sz w:val="24"/>
          <w:szCs w:val="24"/>
        </w:rPr>
        <w:t>buildings – straight-line allocation over the useful life of the property (5 to 100 years) as estimated by the valuer; and</w:t>
      </w:r>
    </w:p>
    <w:p w14:paraId="0C263D2E" w14:textId="77777777" w:rsidR="00655E4C" w:rsidRPr="0097099A" w:rsidRDefault="00655E4C" w:rsidP="006F1659">
      <w:pPr>
        <w:pStyle w:val="ListParagraph"/>
        <w:numPr>
          <w:ilvl w:val="0"/>
          <w:numId w:val="22"/>
        </w:numPr>
        <w:spacing w:line="360" w:lineRule="auto"/>
        <w:rPr>
          <w:rFonts w:ascii="Arial" w:hAnsi="Arial" w:cs="Arial"/>
          <w:bCs/>
          <w:sz w:val="24"/>
          <w:szCs w:val="24"/>
        </w:rPr>
      </w:pPr>
      <w:r w:rsidRPr="0097099A">
        <w:rPr>
          <w:rFonts w:ascii="Arial" w:hAnsi="Arial" w:cs="Arial"/>
          <w:bCs/>
          <w:sz w:val="24"/>
          <w:szCs w:val="24"/>
        </w:rPr>
        <w:t>vehicles, plant and equipment – straight-line allocation over the useful life of the asset (5 to 30 years) as advised by a suitably qualified officer.</w:t>
      </w:r>
    </w:p>
    <w:p w14:paraId="3205D69E" w14:textId="77777777" w:rsidR="00655E4C" w:rsidRPr="0097099A" w:rsidRDefault="00655E4C" w:rsidP="006F1659">
      <w:pPr>
        <w:pStyle w:val="Normal0"/>
        <w:tabs>
          <w:tab w:val="left" w:pos="9195"/>
        </w:tabs>
        <w:spacing w:line="360" w:lineRule="auto"/>
        <w:rPr>
          <w:rFonts w:ascii="Arial" w:hAnsi="Arial" w:cs="Arial"/>
          <w:bCs/>
          <w:sz w:val="24"/>
          <w:szCs w:val="24"/>
          <w:lang w:eastAsia="en-GB"/>
        </w:rPr>
      </w:pPr>
      <w:r w:rsidRPr="0097099A">
        <w:rPr>
          <w:rFonts w:ascii="Arial" w:hAnsi="Arial" w:cs="Arial"/>
          <w:bCs/>
          <w:sz w:val="24"/>
          <w:szCs w:val="24"/>
          <w:lang w:eastAsia="en-GB"/>
        </w:rPr>
        <w:t xml:space="preserve">Where an item of property, plant and equipment asset has major components whose cost is significant in relation to the total cost of the item, the components are depreciated separately. Where there is more than one significant part of the same asset that has the same useful life and depreciation method, such parts may be grouped in determining the depreciation charge. In practice, this can be achieved by only separately accounting for significant components that have different useful lives. The requirement for </w:t>
      </w:r>
      <w:r w:rsidRPr="0097099A">
        <w:rPr>
          <w:rFonts w:ascii="Arial" w:hAnsi="Arial" w:cs="Arial"/>
          <w:bCs/>
          <w:sz w:val="24"/>
          <w:szCs w:val="24"/>
          <w:lang w:eastAsia="en-GB"/>
        </w:rPr>
        <w:lastRenderedPageBreak/>
        <w:t>componentisation for depreciation purposes is applicable to enhancement and acquisition expenditure incurred and revaluations carried out from 1 April 2010.</w:t>
      </w:r>
    </w:p>
    <w:p w14:paraId="25073B20" w14:textId="77777777" w:rsidR="00655E4C" w:rsidRPr="0097099A" w:rsidRDefault="00655E4C" w:rsidP="006F1659">
      <w:pPr>
        <w:pStyle w:val="Normal0"/>
        <w:tabs>
          <w:tab w:val="left" w:pos="9195"/>
        </w:tabs>
        <w:spacing w:line="360" w:lineRule="auto"/>
        <w:rPr>
          <w:rFonts w:ascii="Arial" w:hAnsi="Arial" w:cs="Arial"/>
          <w:bCs/>
          <w:sz w:val="24"/>
          <w:szCs w:val="24"/>
          <w:lang w:eastAsia="en-GB"/>
        </w:rPr>
      </w:pPr>
    </w:p>
    <w:p w14:paraId="2173F84B"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Revaluation gains are also depreciated, with an amount equal to the difference between current value depreciation charged on assets and the depreciation that would have been chargeable based on their historical cost being transferred each year from the revaluation reserve to the capital adjustment account.</w:t>
      </w:r>
    </w:p>
    <w:p w14:paraId="79091B87" w14:textId="77777777" w:rsidR="00655E4C" w:rsidRPr="0097099A" w:rsidRDefault="00655E4C" w:rsidP="006F1659">
      <w:pPr>
        <w:pStyle w:val="Normal0"/>
        <w:spacing w:line="360" w:lineRule="auto"/>
        <w:rPr>
          <w:rFonts w:ascii="Arial" w:hAnsi="Arial" w:cs="Arial"/>
          <w:bCs/>
          <w:sz w:val="24"/>
          <w:szCs w:val="24"/>
          <w:lang w:eastAsia="en-GB"/>
        </w:rPr>
      </w:pPr>
    </w:p>
    <w:p w14:paraId="6D71F26A" w14:textId="77777777" w:rsidR="00655E4C" w:rsidRPr="0097099A" w:rsidRDefault="00655E4C" w:rsidP="006F1659">
      <w:pPr>
        <w:pStyle w:val="Heading5"/>
        <w:spacing w:line="360" w:lineRule="auto"/>
        <w:rPr>
          <w:lang w:eastAsia="en-GB"/>
        </w:rPr>
      </w:pPr>
      <w:r w:rsidRPr="0097099A">
        <w:rPr>
          <w:lang w:eastAsia="en-GB"/>
        </w:rPr>
        <w:t>1.9.5. Non-current assets held for sale</w:t>
      </w:r>
    </w:p>
    <w:p w14:paraId="476DCDC2" w14:textId="77777777" w:rsidR="00655E4C" w:rsidRPr="0097099A" w:rsidRDefault="00655E4C" w:rsidP="006F1659">
      <w:pPr>
        <w:pStyle w:val="Normal0"/>
        <w:spacing w:line="360" w:lineRule="auto"/>
        <w:rPr>
          <w:rFonts w:ascii="Arial" w:hAnsi="Arial" w:cs="Arial"/>
          <w:b/>
          <w:bCs/>
          <w:sz w:val="24"/>
          <w:szCs w:val="24"/>
          <w:lang w:eastAsia="en-GB"/>
        </w:rPr>
      </w:pPr>
    </w:p>
    <w:p w14:paraId="5A7B720D"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 xml:space="preserve">When it becomes probable that the carrying amount of an asset will be recovered principally through a sale transaction rather than through its continuing use, it is reclassified as an asset held for sale. The asset is re-valued immediately before reclassification and then carried at the lower of this amount and fair value less costs to sell. Where there is a subsequent decrease to fair value less costs to sell, the loss is posted to the other operating expenditure line in the comprehensive income and expenditure statement. Gains in fair value are recognised only up to the amount of any previously recognised losses in the surplus or deficit on provision of services. Depreciation is not charged on assets held for sale. </w:t>
      </w:r>
    </w:p>
    <w:p w14:paraId="4CD3501D" w14:textId="77777777" w:rsidR="00655E4C" w:rsidRPr="0097099A" w:rsidRDefault="00655E4C" w:rsidP="006F1659">
      <w:pPr>
        <w:pStyle w:val="Normal0"/>
        <w:spacing w:line="360" w:lineRule="auto"/>
        <w:rPr>
          <w:rFonts w:ascii="Arial" w:hAnsi="Arial" w:cs="Arial"/>
          <w:bCs/>
          <w:sz w:val="24"/>
          <w:szCs w:val="24"/>
          <w:lang w:eastAsia="en-GB"/>
        </w:rPr>
      </w:pPr>
    </w:p>
    <w:p w14:paraId="61B537E2"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 xml:space="preserve">If assets no longer meet the criteria to be classified as assets held for sale, they are reclassified back to non-current assets and valued at the lower of their carrying amount before they were classified as held for sale; adjusted for depreciation, amortisation or revaluations that would have been recognised had they not been classified as held for sale, and their recoverable amount at the date of the decision not to sell. </w:t>
      </w:r>
    </w:p>
    <w:p w14:paraId="002DC0A8" w14:textId="77777777" w:rsidR="00655E4C" w:rsidRPr="0097099A" w:rsidRDefault="00655E4C" w:rsidP="006F1659">
      <w:pPr>
        <w:pStyle w:val="Normal0"/>
        <w:spacing w:line="360" w:lineRule="auto"/>
        <w:rPr>
          <w:rFonts w:ascii="Arial" w:hAnsi="Arial" w:cs="Arial"/>
          <w:bCs/>
          <w:sz w:val="24"/>
          <w:szCs w:val="24"/>
          <w:lang w:eastAsia="en-GB"/>
        </w:rPr>
      </w:pPr>
    </w:p>
    <w:p w14:paraId="7644A18E"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 xml:space="preserve">Assets that are to be abandoned or scrapped are not reclassified as assets held for sale. </w:t>
      </w:r>
    </w:p>
    <w:p w14:paraId="41F6AB17" w14:textId="77777777" w:rsidR="00655E4C" w:rsidRPr="0097099A" w:rsidRDefault="00655E4C" w:rsidP="006F1659">
      <w:pPr>
        <w:pStyle w:val="Normal0"/>
        <w:spacing w:line="360" w:lineRule="auto"/>
        <w:rPr>
          <w:rFonts w:ascii="Arial" w:hAnsi="Arial" w:cs="Arial"/>
          <w:b/>
          <w:bCs/>
          <w:sz w:val="24"/>
          <w:szCs w:val="24"/>
          <w:lang w:eastAsia="en-GB"/>
        </w:rPr>
      </w:pPr>
    </w:p>
    <w:p w14:paraId="2F0E65CD" w14:textId="77777777" w:rsidR="00655E4C" w:rsidRPr="0097099A" w:rsidRDefault="00655E4C" w:rsidP="006F1659">
      <w:pPr>
        <w:pStyle w:val="Heading5"/>
        <w:spacing w:line="360" w:lineRule="auto"/>
        <w:rPr>
          <w:lang w:eastAsia="en-GB"/>
        </w:rPr>
      </w:pPr>
      <w:r w:rsidRPr="0097099A">
        <w:rPr>
          <w:lang w:eastAsia="en-GB"/>
        </w:rPr>
        <w:t xml:space="preserve">1.9.6. Disposals </w:t>
      </w:r>
    </w:p>
    <w:p w14:paraId="56643825" w14:textId="77777777" w:rsidR="00655E4C" w:rsidRPr="0097099A" w:rsidRDefault="00655E4C" w:rsidP="006F1659">
      <w:pPr>
        <w:pStyle w:val="Normal0"/>
        <w:spacing w:line="360" w:lineRule="auto"/>
        <w:rPr>
          <w:rFonts w:ascii="Arial" w:hAnsi="Arial" w:cs="Arial"/>
          <w:b/>
          <w:bCs/>
          <w:sz w:val="24"/>
          <w:szCs w:val="24"/>
          <w:lang w:eastAsia="en-GB"/>
        </w:rPr>
      </w:pPr>
    </w:p>
    <w:p w14:paraId="5DCAD901"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 xml:space="preserve">When an asset is disposed of or decommissioned, the carrying amount of the asset in the balance sheet (whether property, plant and equipment or assets held for sale) is written off to the other operating expenditure line in the comprehensive income and </w:t>
      </w:r>
      <w:r w:rsidRPr="0097099A">
        <w:rPr>
          <w:rFonts w:ascii="Arial" w:hAnsi="Arial" w:cs="Arial"/>
          <w:bCs/>
          <w:sz w:val="24"/>
          <w:szCs w:val="24"/>
          <w:lang w:eastAsia="en-GB"/>
        </w:rPr>
        <w:lastRenderedPageBreak/>
        <w:t>expenditure statement as part of the gain or loss on disposal. Receipts from disposals (if any) are credited to the same line in the comprehensive income and expenditure statement also as part of the gain or loss on disposal (i.e. netted off against the carrying value of the asset at the time of disposal). Any revaluation gains accumulated for the asset in the revaluation reserve are transferred to the capital adjustment account.</w:t>
      </w:r>
    </w:p>
    <w:p w14:paraId="49F3D4FA" w14:textId="77777777" w:rsidR="00655E4C" w:rsidRPr="0097099A" w:rsidRDefault="00655E4C" w:rsidP="006F1659">
      <w:pPr>
        <w:pStyle w:val="Normal0"/>
        <w:spacing w:line="360" w:lineRule="auto"/>
        <w:rPr>
          <w:rFonts w:ascii="Arial" w:hAnsi="Arial" w:cs="Arial"/>
          <w:bCs/>
          <w:sz w:val="24"/>
          <w:szCs w:val="24"/>
          <w:lang w:eastAsia="en-GB"/>
        </w:rPr>
      </w:pPr>
    </w:p>
    <w:p w14:paraId="2A3E5DF4"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Amounts received for a disposal of £10,000 or more are categorised as capital receipts and credited to the Capital Receipts Reserve (CRR). They can then only be used for new capital investment or set aside to reduce the Authority's underlying need to borrow (the capital financing requirement). Receipts are appropriated to the Mayoral or GMCA CRR from the relevant Mayoral or GMCA balances in the movement in reserves statement.</w:t>
      </w:r>
    </w:p>
    <w:p w14:paraId="35A71908" w14:textId="77777777" w:rsidR="00655E4C" w:rsidRPr="0097099A" w:rsidRDefault="00655E4C" w:rsidP="006F1659">
      <w:pPr>
        <w:pStyle w:val="Normal0"/>
        <w:spacing w:line="360" w:lineRule="auto"/>
        <w:rPr>
          <w:rFonts w:ascii="Arial" w:hAnsi="Arial" w:cs="Arial"/>
          <w:bCs/>
          <w:sz w:val="24"/>
          <w:szCs w:val="24"/>
          <w:lang w:eastAsia="en-GB"/>
        </w:rPr>
      </w:pPr>
    </w:p>
    <w:p w14:paraId="5CA1FBCB" w14:textId="44345681" w:rsidR="00B07920" w:rsidRDefault="00655E4C" w:rsidP="009A1A83">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The written-off value of disposals is not a charge against statutory funding, as the cost of non-current assets is fully provided for under separate arrangements for capital financing. Amounts are appropriated to the capital adjustment account from the relevant general fund balance in the movement in reserves statement.</w:t>
      </w:r>
    </w:p>
    <w:p w14:paraId="18CEB538" w14:textId="77777777" w:rsidR="009A1A83" w:rsidRPr="009A1A83" w:rsidRDefault="009A1A83" w:rsidP="009A1A83">
      <w:pPr>
        <w:pStyle w:val="Normal0"/>
        <w:spacing w:line="360" w:lineRule="auto"/>
        <w:rPr>
          <w:rFonts w:ascii="Arial" w:hAnsi="Arial" w:cs="Arial"/>
          <w:bCs/>
          <w:sz w:val="24"/>
          <w:szCs w:val="24"/>
          <w:lang w:eastAsia="en-GB"/>
        </w:rPr>
      </w:pPr>
    </w:p>
    <w:p w14:paraId="24B8B2C4" w14:textId="2F9BF366" w:rsidR="00B006C9" w:rsidRPr="00665347" w:rsidRDefault="00B006C9" w:rsidP="006F1659">
      <w:pPr>
        <w:pStyle w:val="Heading5"/>
        <w:spacing w:line="360" w:lineRule="auto"/>
      </w:pPr>
      <w:r w:rsidRPr="0097099A">
        <w:t>1.1</w:t>
      </w:r>
      <w:r w:rsidR="00665347">
        <w:t>0</w:t>
      </w:r>
      <w:r w:rsidRPr="0097099A">
        <w:t xml:space="preserve">. </w:t>
      </w:r>
      <w:r w:rsidRPr="00597417">
        <w:t xml:space="preserve">Highways </w:t>
      </w:r>
      <w:r>
        <w:t>I</w:t>
      </w:r>
      <w:r w:rsidRPr="00597417">
        <w:t xml:space="preserve">nfrastructure </w:t>
      </w:r>
      <w:r>
        <w:t>A</w:t>
      </w:r>
      <w:r w:rsidRPr="00597417">
        <w:t xml:space="preserve">ssets </w:t>
      </w:r>
    </w:p>
    <w:p w14:paraId="6900E729" w14:textId="77777777" w:rsidR="001F3CE0" w:rsidRPr="00431F6F" w:rsidRDefault="001F3CE0" w:rsidP="006F1659">
      <w:pPr>
        <w:pStyle w:val="Normal0"/>
        <w:spacing w:line="360" w:lineRule="auto"/>
        <w:rPr>
          <w:lang w:eastAsia="en-GB"/>
        </w:rPr>
      </w:pPr>
    </w:p>
    <w:p w14:paraId="6098BC82" w14:textId="76040294" w:rsidR="00D3393B" w:rsidRPr="00886644" w:rsidRDefault="00D3393B" w:rsidP="006F1659">
      <w:pPr>
        <w:spacing w:line="360" w:lineRule="auto"/>
        <w:rPr>
          <w:rFonts w:ascii="Arial" w:eastAsiaTheme="minorHAnsi" w:hAnsi="Arial" w:cs="Arial"/>
        </w:rPr>
      </w:pPr>
      <w:r w:rsidRPr="004F68FF">
        <w:rPr>
          <w:rFonts w:ascii="Arial" w:hAnsi="Arial" w:cs="Arial"/>
        </w:rPr>
        <w:t>Highways infrastructure assets include traffic</w:t>
      </w:r>
      <w:r w:rsidR="002914CC">
        <w:rPr>
          <w:rFonts w:ascii="Arial" w:hAnsi="Arial" w:cs="Arial"/>
        </w:rPr>
        <w:t xml:space="preserve"> signals</w:t>
      </w:r>
      <w:r>
        <w:rPr>
          <w:rFonts w:ascii="Arial" w:hAnsi="Arial" w:cs="Arial"/>
        </w:rPr>
        <w:t>,</w:t>
      </w:r>
      <w:r w:rsidRPr="004F68FF">
        <w:rPr>
          <w:rFonts w:ascii="Arial" w:hAnsi="Arial" w:cs="Arial"/>
        </w:rPr>
        <w:t xml:space="preserve"> </w:t>
      </w:r>
      <w:r>
        <w:rPr>
          <w:rFonts w:ascii="Arial" w:hAnsi="Arial" w:cs="Arial"/>
        </w:rPr>
        <w:t>tram</w:t>
      </w:r>
      <w:r w:rsidRPr="00886644">
        <w:rPr>
          <w:rFonts w:ascii="Arial" w:eastAsiaTheme="minorHAnsi" w:hAnsi="Arial" w:cs="Arial"/>
        </w:rPr>
        <w:t xml:space="preserve"> network</w:t>
      </w:r>
      <w:r>
        <w:rPr>
          <w:rFonts w:ascii="Arial" w:hAnsi="Arial" w:cs="Arial"/>
        </w:rPr>
        <w:t>s</w:t>
      </w:r>
      <w:r w:rsidRPr="00886644">
        <w:rPr>
          <w:rFonts w:ascii="Arial" w:eastAsiaTheme="minorHAnsi" w:hAnsi="Arial" w:cs="Arial"/>
        </w:rPr>
        <w:t xml:space="preserve">, </w:t>
      </w:r>
      <w:r>
        <w:rPr>
          <w:rFonts w:ascii="Arial" w:hAnsi="Arial" w:cs="Arial"/>
        </w:rPr>
        <w:t>bus i</w:t>
      </w:r>
      <w:r w:rsidRPr="00886644">
        <w:rPr>
          <w:rFonts w:ascii="Arial" w:eastAsiaTheme="minorHAnsi" w:hAnsi="Arial" w:cs="Arial"/>
        </w:rPr>
        <w:t xml:space="preserve">nterchanges and </w:t>
      </w:r>
      <w:r>
        <w:rPr>
          <w:rFonts w:ascii="Arial" w:hAnsi="Arial" w:cs="Arial"/>
        </w:rPr>
        <w:t>b</w:t>
      </w:r>
      <w:r w:rsidRPr="00886644">
        <w:rPr>
          <w:rFonts w:ascii="Arial" w:eastAsiaTheme="minorHAnsi" w:hAnsi="Arial" w:cs="Arial"/>
        </w:rPr>
        <w:t xml:space="preserve">us </w:t>
      </w:r>
      <w:r>
        <w:rPr>
          <w:rFonts w:ascii="Arial" w:hAnsi="Arial" w:cs="Arial"/>
        </w:rPr>
        <w:t>s</w:t>
      </w:r>
      <w:r w:rsidRPr="00886644">
        <w:rPr>
          <w:rFonts w:ascii="Arial" w:eastAsiaTheme="minorHAnsi" w:hAnsi="Arial" w:cs="Arial"/>
        </w:rPr>
        <w:t xml:space="preserve">tations, </w:t>
      </w:r>
      <w:r>
        <w:rPr>
          <w:rFonts w:ascii="Arial" w:hAnsi="Arial" w:cs="Arial"/>
        </w:rPr>
        <w:t>g</w:t>
      </w:r>
      <w:r w:rsidRPr="00886644">
        <w:rPr>
          <w:rFonts w:ascii="Arial" w:eastAsiaTheme="minorHAnsi" w:hAnsi="Arial" w:cs="Arial"/>
        </w:rPr>
        <w:t>uided busway</w:t>
      </w:r>
      <w:r>
        <w:rPr>
          <w:rFonts w:ascii="Arial" w:hAnsi="Arial" w:cs="Arial"/>
        </w:rPr>
        <w:t>s</w:t>
      </w:r>
      <w:r w:rsidRPr="00886644">
        <w:rPr>
          <w:rFonts w:ascii="Arial" w:eastAsiaTheme="minorHAnsi" w:hAnsi="Arial" w:cs="Arial"/>
        </w:rPr>
        <w:t xml:space="preserve"> and cycle hubs.</w:t>
      </w:r>
    </w:p>
    <w:p w14:paraId="0186E43F" w14:textId="048F5DB9" w:rsidR="00B006C9" w:rsidRDefault="00B006C9" w:rsidP="006F1659">
      <w:pPr>
        <w:pStyle w:val="Standard"/>
        <w:spacing w:line="360" w:lineRule="auto"/>
      </w:pPr>
    </w:p>
    <w:p w14:paraId="0193F6F4" w14:textId="24434A0A" w:rsidR="00B006C9" w:rsidRDefault="00B006C9" w:rsidP="006F1659">
      <w:pPr>
        <w:pStyle w:val="Heading5"/>
        <w:spacing w:line="360" w:lineRule="auto"/>
        <w:rPr>
          <w:lang w:eastAsia="en-GB"/>
        </w:rPr>
      </w:pPr>
      <w:r w:rsidRPr="0097099A">
        <w:rPr>
          <w:lang w:eastAsia="en-GB"/>
        </w:rPr>
        <w:t>1.</w:t>
      </w:r>
      <w:r>
        <w:rPr>
          <w:lang w:eastAsia="en-GB"/>
        </w:rPr>
        <w:t>1</w:t>
      </w:r>
      <w:r w:rsidR="00665347">
        <w:rPr>
          <w:lang w:eastAsia="en-GB"/>
        </w:rPr>
        <w:t>0</w:t>
      </w:r>
      <w:r w:rsidRPr="0097099A">
        <w:rPr>
          <w:lang w:eastAsia="en-GB"/>
        </w:rPr>
        <w:t>.1. Recognition</w:t>
      </w:r>
    </w:p>
    <w:p w14:paraId="6098F6C2" w14:textId="77777777" w:rsidR="001F3CE0" w:rsidRPr="001F3CE0" w:rsidRDefault="001F3CE0" w:rsidP="006F1659">
      <w:pPr>
        <w:spacing w:line="360" w:lineRule="auto"/>
        <w:rPr>
          <w:lang w:eastAsia="en-GB"/>
        </w:rPr>
      </w:pPr>
    </w:p>
    <w:p w14:paraId="4A426D28" w14:textId="164247C3" w:rsidR="00B006C9" w:rsidRDefault="00B006C9" w:rsidP="006F1659">
      <w:pPr>
        <w:pStyle w:val="Normal0"/>
        <w:spacing w:line="360" w:lineRule="auto"/>
        <w:rPr>
          <w:rFonts w:ascii="Arial" w:hAnsi="Arial" w:cs="Arial"/>
          <w:sz w:val="24"/>
          <w:szCs w:val="24"/>
          <w:lang w:eastAsia="en-GB"/>
        </w:rPr>
      </w:pPr>
      <w:r w:rsidRPr="00431F6F">
        <w:rPr>
          <w:rFonts w:ascii="Arial" w:hAnsi="Arial" w:cs="Arial"/>
          <w:sz w:val="24"/>
          <w:szCs w:val="24"/>
          <w:lang w:eastAsia="en-GB"/>
        </w:rPr>
        <w:t xml:space="preserve">Expenditure on the acquisition or replacement of components of the network is capitalised on an accrual basis, provided that it is probable that the future economic benefits associated with the item will flow to the authority and the cost of the item can be measured reliably. </w:t>
      </w:r>
    </w:p>
    <w:p w14:paraId="07C7CF12" w14:textId="77777777" w:rsidR="001F3CE0" w:rsidRPr="00431F6F" w:rsidRDefault="001F3CE0" w:rsidP="006F1659">
      <w:pPr>
        <w:pStyle w:val="Normal0"/>
        <w:spacing w:line="360" w:lineRule="auto"/>
        <w:rPr>
          <w:b/>
          <w:bCs/>
          <w:lang w:eastAsia="en-GB"/>
        </w:rPr>
      </w:pPr>
    </w:p>
    <w:p w14:paraId="24A57A21" w14:textId="683F9976" w:rsidR="00B006C9" w:rsidRDefault="00B006C9" w:rsidP="006F1659">
      <w:pPr>
        <w:pStyle w:val="Heading5"/>
        <w:spacing w:line="360" w:lineRule="auto"/>
        <w:rPr>
          <w:lang w:eastAsia="en-GB"/>
        </w:rPr>
      </w:pPr>
      <w:r>
        <w:rPr>
          <w:lang w:eastAsia="en-GB"/>
        </w:rPr>
        <w:t>1</w:t>
      </w:r>
      <w:r w:rsidRPr="0097099A">
        <w:rPr>
          <w:lang w:eastAsia="en-GB"/>
        </w:rPr>
        <w:t>.1</w:t>
      </w:r>
      <w:r w:rsidR="00665347">
        <w:rPr>
          <w:lang w:eastAsia="en-GB"/>
        </w:rPr>
        <w:t>0</w:t>
      </w:r>
      <w:r w:rsidRPr="0097099A">
        <w:rPr>
          <w:lang w:eastAsia="en-GB"/>
        </w:rPr>
        <w:t>.</w:t>
      </w:r>
      <w:r>
        <w:rPr>
          <w:lang w:eastAsia="en-GB"/>
        </w:rPr>
        <w:t>2</w:t>
      </w:r>
      <w:r w:rsidRPr="0097099A">
        <w:rPr>
          <w:lang w:eastAsia="en-GB"/>
        </w:rPr>
        <w:t xml:space="preserve"> </w:t>
      </w:r>
      <w:r>
        <w:rPr>
          <w:lang w:eastAsia="en-GB"/>
        </w:rPr>
        <w:t>Measurement</w:t>
      </w:r>
    </w:p>
    <w:p w14:paraId="56D612B0" w14:textId="77777777" w:rsidR="001F3CE0" w:rsidRPr="001F3CE0" w:rsidRDefault="001F3CE0" w:rsidP="006F1659">
      <w:pPr>
        <w:spacing w:line="360" w:lineRule="auto"/>
        <w:rPr>
          <w:lang w:eastAsia="en-GB"/>
        </w:rPr>
      </w:pPr>
    </w:p>
    <w:p w14:paraId="489DE84F" w14:textId="44AC48DA" w:rsidR="00B13566" w:rsidRDefault="00B006C9" w:rsidP="001F2528">
      <w:pPr>
        <w:pStyle w:val="Normal0"/>
        <w:spacing w:line="360" w:lineRule="auto"/>
        <w:rPr>
          <w:rFonts w:ascii="Arial" w:hAnsi="Arial" w:cs="Times New Roman"/>
          <w:sz w:val="24"/>
          <w:szCs w:val="24"/>
          <w:lang w:eastAsia="en-GB"/>
        </w:rPr>
      </w:pPr>
      <w:r w:rsidRPr="00431F6F">
        <w:rPr>
          <w:rFonts w:ascii="Arial" w:hAnsi="Arial" w:cs="Arial"/>
          <w:sz w:val="24"/>
          <w:szCs w:val="24"/>
          <w:lang w:eastAsia="en-GB"/>
        </w:rPr>
        <w:t xml:space="preserve">Highways infrastructure assets are generally measured at depreciated historical cost. However, this is a modified form of historical cost. Opening balances for highways </w:t>
      </w:r>
      <w:r w:rsidRPr="00431F6F">
        <w:rPr>
          <w:rFonts w:ascii="Arial" w:hAnsi="Arial" w:cs="Arial"/>
          <w:sz w:val="24"/>
          <w:szCs w:val="24"/>
          <w:lang w:eastAsia="en-GB"/>
        </w:rPr>
        <w:lastRenderedPageBreak/>
        <w:t>infrastructure assets were originally recorded in balance sheets at amounts of capital undischarged for sums borrowed as at</w:t>
      </w:r>
      <w:r w:rsidR="00B36E46">
        <w:rPr>
          <w:rFonts w:ascii="Arial" w:hAnsi="Arial" w:cs="Arial"/>
          <w:sz w:val="24"/>
          <w:szCs w:val="24"/>
          <w:lang w:eastAsia="en-GB"/>
        </w:rPr>
        <w:t xml:space="preserve"> </w:t>
      </w:r>
      <w:r w:rsidRPr="00431F6F">
        <w:rPr>
          <w:rFonts w:ascii="Arial" w:hAnsi="Arial" w:cs="Arial"/>
          <w:sz w:val="24"/>
          <w:szCs w:val="24"/>
          <w:lang w:eastAsia="en-GB"/>
        </w:rPr>
        <w:t>1 April 1994 England and Scotland</w:t>
      </w:r>
      <w:r w:rsidR="00126B18">
        <w:rPr>
          <w:rFonts w:ascii="Arial" w:hAnsi="Arial" w:cs="Arial"/>
          <w:sz w:val="24"/>
          <w:szCs w:val="24"/>
          <w:lang w:eastAsia="en-GB"/>
        </w:rPr>
        <w:t>,</w:t>
      </w:r>
      <w:r w:rsidR="009E0091">
        <w:rPr>
          <w:rFonts w:ascii="Arial" w:hAnsi="Arial" w:cs="Arial"/>
          <w:sz w:val="24"/>
          <w:szCs w:val="24"/>
          <w:lang w:eastAsia="en-GB"/>
        </w:rPr>
        <w:t xml:space="preserve"> </w:t>
      </w:r>
      <w:r w:rsidRPr="00431F6F">
        <w:rPr>
          <w:rFonts w:ascii="Arial" w:hAnsi="Arial" w:cs="Arial"/>
          <w:sz w:val="24"/>
          <w:szCs w:val="24"/>
          <w:lang w:eastAsia="en-GB"/>
        </w:rPr>
        <w:t>which was deemed at that time to be historical cost. Where impairment losses are identified, they are accounted</w:t>
      </w:r>
      <w:r w:rsidRPr="00431F6F">
        <w:rPr>
          <w:rFonts w:ascii="Arial" w:hAnsi="Arial" w:cs="Times New Roman"/>
          <w:sz w:val="24"/>
          <w:szCs w:val="24"/>
          <w:lang w:eastAsia="en-GB"/>
        </w:rPr>
        <w:t xml:space="preserve"> for by the carrying amount of the asset being written down to the recoverable amount. </w:t>
      </w:r>
    </w:p>
    <w:p w14:paraId="100A0C39" w14:textId="77777777" w:rsidR="001F2528" w:rsidRDefault="001F2528" w:rsidP="001F2528">
      <w:pPr>
        <w:spacing w:line="360" w:lineRule="auto"/>
        <w:rPr>
          <w:rFonts w:ascii="Arial" w:hAnsi="Arial"/>
          <w:b/>
          <w:bCs/>
          <w:lang w:eastAsia="en-GB"/>
        </w:rPr>
      </w:pPr>
    </w:p>
    <w:p w14:paraId="390FC3AF" w14:textId="756716FD" w:rsidR="00B006C9" w:rsidRDefault="00B006C9" w:rsidP="006F1659">
      <w:pPr>
        <w:pStyle w:val="Heading5"/>
        <w:spacing w:line="360" w:lineRule="auto"/>
        <w:rPr>
          <w:lang w:eastAsia="en-GB"/>
        </w:rPr>
      </w:pPr>
      <w:r>
        <w:rPr>
          <w:lang w:eastAsia="en-GB"/>
        </w:rPr>
        <w:t>1</w:t>
      </w:r>
      <w:r w:rsidRPr="0097099A">
        <w:rPr>
          <w:lang w:eastAsia="en-GB"/>
        </w:rPr>
        <w:t>.1</w:t>
      </w:r>
      <w:r w:rsidR="00665347">
        <w:rPr>
          <w:lang w:eastAsia="en-GB"/>
        </w:rPr>
        <w:t>0</w:t>
      </w:r>
      <w:r w:rsidRPr="0097099A">
        <w:rPr>
          <w:lang w:eastAsia="en-GB"/>
        </w:rPr>
        <w:t>.</w:t>
      </w:r>
      <w:r>
        <w:rPr>
          <w:lang w:eastAsia="en-GB"/>
        </w:rPr>
        <w:t>3</w:t>
      </w:r>
      <w:r w:rsidRPr="0097099A">
        <w:rPr>
          <w:lang w:eastAsia="en-GB"/>
        </w:rPr>
        <w:t xml:space="preserve"> </w:t>
      </w:r>
      <w:r>
        <w:rPr>
          <w:lang w:eastAsia="en-GB"/>
        </w:rPr>
        <w:t>Depreciation</w:t>
      </w:r>
    </w:p>
    <w:p w14:paraId="69CB2484" w14:textId="77777777" w:rsidR="001F3CE0" w:rsidRPr="001F3CE0" w:rsidRDefault="001F3CE0" w:rsidP="006F1659">
      <w:pPr>
        <w:spacing w:line="360" w:lineRule="auto"/>
        <w:rPr>
          <w:lang w:eastAsia="en-GB"/>
        </w:rPr>
      </w:pPr>
    </w:p>
    <w:p w14:paraId="2AEBE55A" w14:textId="59E283A8" w:rsidR="00E85440" w:rsidRPr="00431F6F" w:rsidRDefault="00E85440" w:rsidP="006F1659">
      <w:pPr>
        <w:spacing w:line="360" w:lineRule="auto"/>
        <w:rPr>
          <w:rFonts w:ascii="Arial" w:eastAsiaTheme="minorHAnsi" w:hAnsi="Arial"/>
          <w:lang w:val="en-US" w:eastAsia="en-GB"/>
        </w:rPr>
      </w:pPr>
      <w:r w:rsidRPr="00431F6F">
        <w:rPr>
          <w:rFonts w:ascii="Arial" w:eastAsiaTheme="minorHAnsi" w:hAnsi="Arial"/>
          <w:lang w:val="en-US" w:eastAsia="en-GB"/>
        </w:rPr>
        <w:t xml:space="preserve">Depreciation is provided on the parts of the highways network infrastructure assets that are subject to deterioration or depletion and by the systematic allocation of their depreciable amounts over their useful lives. Depreciation is charged on a straight-line basis. </w:t>
      </w:r>
    </w:p>
    <w:p w14:paraId="36CA80F1" w14:textId="77777777" w:rsidR="00E85440" w:rsidRPr="00431F6F" w:rsidRDefault="00E85440" w:rsidP="006F1659">
      <w:pPr>
        <w:spacing w:line="360" w:lineRule="auto"/>
        <w:rPr>
          <w:rFonts w:ascii="Arial" w:eastAsiaTheme="minorHAnsi" w:hAnsi="Arial"/>
          <w:lang w:val="en-US" w:eastAsia="en-GB"/>
        </w:rPr>
      </w:pPr>
    </w:p>
    <w:p w14:paraId="11C16FD3" w14:textId="0FD3C97C" w:rsidR="00E85440" w:rsidRPr="00431F6F" w:rsidRDefault="00E85440" w:rsidP="006F1659">
      <w:pPr>
        <w:spacing w:line="360" w:lineRule="auto"/>
        <w:rPr>
          <w:rFonts w:ascii="Arial" w:eastAsiaTheme="minorHAnsi" w:hAnsi="Arial"/>
          <w:lang w:val="en-US" w:eastAsia="en-GB"/>
        </w:rPr>
      </w:pPr>
      <w:r w:rsidRPr="00431F6F">
        <w:rPr>
          <w:rFonts w:ascii="Arial" w:eastAsiaTheme="minorHAnsi" w:hAnsi="Arial"/>
          <w:lang w:val="en-US" w:eastAsia="en-GB"/>
        </w:rPr>
        <w:t xml:space="preserve">Annual depreciation is the depreciation amount allocated each year and the useful </w:t>
      </w:r>
      <w:r w:rsidR="000B7231" w:rsidRPr="00431F6F">
        <w:rPr>
          <w:rFonts w:ascii="Arial" w:eastAsiaTheme="minorHAnsi" w:hAnsi="Arial"/>
          <w:lang w:val="en-US" w:eastAsia="en-GB"/>
        </w:rPr>
        <w:t>life</w:t>
      </w:r>
      <w:r w:rsidRPr="00431F6F">
        <w:rPr>
          <w:rFonts w:ascii="Arial" w:eastAsiaTheme="minorHAnsi" w:hAnsi="Arial"/>
          <w:lang w:val="en-US" w:eastAsia="en-GB"/>
        </w:rPr>
        <w:t xml:space="preserve"> of a Traffic Signal is estimated to be 11 years.</w:t>
      </w:r>
    </w:p>
    <w:p w14:paraId="22373D4F" w14:textId="2D4765B5" w:rsidR="00E85440" w:rsidRDefault="00E85440" w:rsidP="006F1659">
      <w:pPr>
        <w:spacing w:line="360" w:lineRule="auto"/>
        <w:rPr>
          <w:lang w:eastAsia="en-GB"/>
        </w:rPr>
      </w:pPr>
    </w:p>
    <w:p w14:paraId="6D562EE7" w14:textId="3BEB0FC5" w:rsidR="00E85440" w:rsidRDefault="00E85440" w:rsidP="006F1659">
      <w:pPr>
        <w:pStyle w:val="Heading5"/>
        <w:spacing w:line="360" w:lineRule="auto"/>
        <w:rPr>
          <w:lang w:eastAsia="en-GB"/>
        </w:rPr>
      </w:pPr>
      <w:r>
        <w:rPr>
          <w:lang w:eastAsia="en-GB"/>
        </w:rPr>
        <w:t>1</w:t>
      </w:r>
      <w:r w:rsidRPr="0097099A">
        <w:rPr>
          <w:lang w:eastAsia="en-GB"/>
        </w:rPr>
        <w:t>.1</w:t>
      </w:r>
      <w:r w:rsidR="00665347">
        <w:rPr>
          <w:lang w:eastAsia="en-GB"/>
        </w:rPr>
        <w:t>0</w:t>
      </w:r>
      <w:r w:rsidRPr="0097099A">
        <w:rPr>
          <w:lang w:eastAsia="en-GB"/>
        </w:rPr>
        <w:t>.</w:t>
      </w:r>
      <w:r>
        <w:rPr>
          <w:lang w:eastAsia="en-GB"/>
        </w:rPr>
        <w:t>4</w:t>
      </w:r>
      <w:r w:rsidRPr="0097099A">
        <w:rPr>
          <w:lang w:eastAsia="en-GB"/>
        </w:rPr>
        <w:t xml:space="preserve"> </w:t>
      </w:r>
      <w:r>
        <w:rPr>
          <w:lang w:eastAsia="en-GB"/>
        </w:rPr>
        <w:t>Disposals and derecognition</w:t>
      </w:r>
    </w:p>
    <w:p w14:paraId="3C3D02FC" w14:textId="77777777" w:rsidR="001F3CE0" w:rsidRPr="001F3CE0" w:rsidRDefault="001F3CE0" w:rsidP="006F1659">
      <w:pPr>
        <w:spacing w:line="360" w:lineRule="auto"/>
        <w:rPr>
          <w:lang w:eastAsia="en-GB"/>
        </w:rPr>
      </w:pPr>
    </w:p>
    <w:p w14:paraId="33B8A079" w14:textId="77777777" w:rsidR="00E85440" w:rsidRDefault="00E85440" w:rsidP="006F1659">
      <w:pPr>
        <w:spacing w:line="360" w:lineRule="auto"/>
        <w:rPr>
          <w:rFonts w:ascii="Arial" w:eastAsiaTheme="minorHAnsi" w:hAnsi="Arial"/>
          <w:lang w:val="en-US" w:eastAsia="en-GB"/>
        </w:rPr>
      </w:pPr>
      <w:r w:rsidRPr="00431F6F">
        <w:rPr>
          <w:rFonts w:ascii="Arial" w:eastAsiaTheme="minorHAnsi" w:hAnsi="Arial"/>
          <w:lang w:val="en-US" w:eastAsia="en-GB"/>
        </w:rPr>
        <w:t xml:space="preserve">When a component of the network is disposed of or decommissioned, the carrying amount of the component in the Balance Sheet is written off to the ‘Other operating expenditure’ line in the Comprehensive Income and Expenditure Statement as part of the gain or loss on disposal. </w:t>
      </w:r>
    </w:p>
    <w:p w14:paraId="189FE571" w14:textId="77777777" w:rsidR="001F2528" w:rsidRPr="00431F6F" w:rsidRDefault="001F2528" w:rsidP="006F1659">
      <w:pPr>
        <w:spacing w:line="360" w:lineRule="auto"/>
        <w:rPr>
          <w:rFonts w:ascii="Arial" w:eastAsiaTheme="minorHAnsi" w:hAnsi="Arial"/>
          <w:lang w:val="en-US" w:eastAsia="en-GB"/>
        </w:rPr>
      </w:pPr>
    </w:p>
    <w:p w14:paraId="4CF121B7" w14:textId="77777777" w:rsidR="00E85440" w:rsidRPr="00431F6F" w:rsidRDefault="00E85440" w:rsidP="006F1659">
      <w:pPr>
        <w:spacing w:line="360" w:lineRule="auto"/>
        <w:rPr>
          <w:rFonts w:ascii="Arial" w:eastAsiaTheme="minorHAnsi" w:hAnsi="Arial"/>
          <w:lang w:val="en-US" w:eastAsia="en-GB"/>
        </w:rPr>
      </w:pPr>
      <w:r w:rsidRPr="00431F6F">
        <w:rPr>
          <w:rFonts w:ascii="Arial" w:eastAsiaTheme="minorHAnsi" w:hAnsi="Arial"/>
          <w:lang w:val="en-US" w:eastAsia="en-GB"/>
        </w:rPr>
        <w:t xml:space="preserve">Receipts from disposals (if any) are credited to the same line in the Comprehensive Income and Expenditure Statement, also as part of the gain or loss on disposal (i.e. netted off against the carrying value of the asset at the time of disposal). </w:t>
      </w:r>
    </w:p>
    <w:p w14:paraId="59A74890" w14:textId="77777777" w:rsidR="00E85440" w:rsidRPr="004F68FF" w:rsidRDefault="00E85440" w:rsidP="006F1659">
      <w:pPr>
        <w:spacing w:line="360" w:lineRule="auto"/>
        <w:rPr>
          <w:rFonts w:ascii="Arial" w:hAnsi="Arial" w:cs="Arial"/>
        </w:rPr>
      </w:pPr>
    </w:p>
    <w:p w14:paraId="08F02185" w14:textId="77777777" w:rsidR="00A0708C" w:rsidRPr="001F2528" w:rsidRDefault="00E85440" w:rsidP="001F2528">
      <w:pPr>
        <w:spacing w:line="360" w:lineRule="auto"/>
        <w:rPr>
          <w:rFonts w:ascii="Arial" w:eastAsiaTheme="minorHAnsi" w:hAnsi="Arial"/>
          <w:lang w:val="en-US" w:eastAsia="en-GB"/>
        </w:rPr>
      </w:pPr>
      <w:r w:rsidRPr="001F2528">
        <w:rPr>
          <w:rFonts w:ascii="Arial" w:eastAsiaTheme="minorHAnsi" w:hAnsi="Arial"/>
          <w:lang w:val="en-US" w:eastAsia="en-GB"/>
        </w:rPr>
        <w:t>The written-off amounts of disposals are not a charge against the general fund, as the cost of non-current assets are fully provided for under separate arrangements for capital financing. Amounts are transferred to the capital adjustment account from the General Fund Balance in the Movement in Reserves Statement</w:t>
      </w:r>
    </w:p>
    <w:p w14:paraId="1730B7DB" w14:textId="77777777" w:rsidR="001F2528" w:rsidRPr="00A0708C" w:rsidRDefault="001F2528" w:rsidP="001F2528">
      <w:pPr>
        <w:spacing w:line="360" w:lineRule="auto"/>
        <w:rPr>
          <w:rFonts w:eastAsiaTheme="minorHAnsi"/>
          <w:b/>
          <w:bCs/>
          <w:lang w:val="en-US" w:eastAsia="en-GB"/>
        </w:rPr>
      </w:pPr>
    </w:p>
    <w:p w14:paraId="7422CEBF" w14:textId="084B67D5" w:rsidR="001F2528" w:rsidRPr="00665347" w:rsidRDefault="00655E4C" w:rsidP="00665347">
      <w:pPr>
        <w:pStyle w:val="Heading4bold"/>
      </w:pPr>
      <w:r w:rsidRPr="00665347">
        <w:lastRenderedPageBreak/>
        <w:t>1.1</w:t>
      </w:r>
      <w:r w:rsidR="00665347" w:rsidRPr="00665347">
        <w:t>1</w:t>
      </w:r>
      <w:r w:rsidRPr="00665347">
        <w:t>. Intangible Assets</w:t>
      </w:r>
    </w:p>
    <w:p w14:paraId="641C3B6E" w14:textId="77777777" w:rsidR="001F2528" w:rsidRDefault="001F2528" w:rsidP="001F2528">
      <w:pPr>
        <w:pStyle w:val="Standard"/>
        <w:spacing w:line="360" w:lineRule="auto"/>
      </w:pPr>
    </w:p>
    <w:p w14:paraId="44A2D9DC" w14:textId="37CD900E" w:rsidR="00655E4C" w:rsidRPr="0097099A" w:rsidRDefault="00655E4C" w:rsidP="006F1659">
      <w:pPr>
        <w:pStyle w:val="Standard"/>
        <w:spacing w:line="360" w:lineRule="auto"/>
      </w:pPr>
      <w:r w:rsidRPr="0097099A">
        <w:t>Expenditure on non-monetary assets that do not have physical substance but are controlled by the Authority as a result of past events (e.g. software licences) is capitalised when it is expected that future economic benefits or service potential will flow from the intangible asset to the Authority.</w:t>
      </w:r>
    </w:p>
    <w:p w14:paraId="368CAFE7" w14:textId="77777777" w:rsidR="00655E4C" w:rsidRPr="0097099A" w:rsidRDefault="00655E4C" w:rsidP="006F1659">
      <w:pPr>
        <w:pStyle w:val="Standard"/>
        <w:spacing w:line="360" w:lineRule="auto"/>
      </w:pPr>
    </w:p>
    <w:p w14:paraId="4E4508BC" w14:textId="77777777" w:rsidR="00655E4C" w:rsidRPr="0097099A" w:rsidRDefault="00655E4C" w:rsidP="006F1659">
      <w:pPr>
        <w:pStyle w:val="Standard"/>
        <w:spacing w:line="360" w:lineRule="auto"/>
      </w:pPr>
      <w:r w:rsidRPr="0097099A">
        <w:t>Internally generated assets are capitalised where it is demonstrable that the project is technically feasible and is intended to be completed (with adequate resources being available) and the Authority will be able to generate future economic benefits or deliver service potential by being able to sell or use the asset. Expenditure is capitalised where it can be measured reliably as attributable to the asset and is restricted to that incurred during the development phase (research expenditure cannot be capitalised). Expenditure on the development of websites is not capitalised if the website is solely or primarily intended to promote or advertise the Authority’s goods or services.</w:t>
      </w:r>
    </w:p>
    <w:p w14:paraId="496CE9A4" w14:textId="77777777" w:rsidR="00655E4C" w:rsidRPr="0097099A" w:rsidRDefault="00655E4C" w:rsidP="006F1659">
      <w:pPr>
        <w:pStyle w:val="Standard"/>
        <w:spacing w:line="360" w:lineRule="auto"/>
      </w:pPr>
    </w:p>
    <w:p w14:paraId="434E8EE7" w14:textId="77777777" w:rsidR="00665347" w:rsidRDefault="00655E4C" w:rsidP="006F1659">
      <w:pPr>
        <w:pStyle w:val="Standard"/>
        <w:spacing w:line="360" w:lineRule="auto"/>
      </w:pPr>
      <w:r w:rsidRPr="0097099A">
        <w:t>Intangible assets are measured initially at cost. Amounts are only revalued where the fair value of the assets held by the Authority can be determined by reference to an active market. In practice, no intangible asset held by the Authority meets this criterion, and they are therefore carried at amortised cost. The depreciable amount of an intangible asset is amortised over its useful life to the relevant area in the Comprehensive Income and Expenditure Statement.</w:t>
      </w:r>
    </w:p>
    <w:p w14:paraId="51CEEF0D" w14:textId="77777777" w:rsidR="00665347" w:rsidRDefault="00665347" w:rsidP="006F1659">
      <w:pPr>
        <w:pStyle w:val="Standard"/>
        <w:spacing w:line="360" w:lineRule="auto"/>
      </w:pPr>
    </w:p>
    <w:p w14:paraId="6AC78BEA" w14:textId="37CD15ED" w:rsidR="00655E4C" w:rsidRDefault="00655E4C" w:rsidP="006F1659">
      <w:pPr>
        <w:pStyle w:val="Standard"/>
        <w:spacing w:line="360" w:lineRule="auto"/>
      </w:pPr>
      <w:r w:rsidRPr="0097099A">
        <w:t>An asset is tested for impairment whenever there is an indication that the asset might be impaired – any losses recognised are posted to the relevant area in the Comprehensive Income and Expenditure Statement. Any gain or loss arising on the disposal or abandonment of an intangible asset is posted to the Other Operating Expenditure line in the Comprehensive Income and Expenditure Statement.</w:t>
      </w:r>
    </w:p>
    <w:p w14:paraId="7652367D" w14:textId="77777777" w:rsidR="00665347" w:rsidRPr="0097099A" w:rsidRDefault="00665347" w:rsidP="006F1659">
      <w:pPr>
        <w:pStyle w:val="Standard"/>
        <w:spacing w:line="360" w:lineRule="auto"/>
      </w:pPr>
    </w:p>
    <w:p w14:paraId="044F6E32" w14:textId="77777777" w:rsidR="00655E4C" w:rsidRPr="0007572B" w:rsidRDefault="00655E4C" w:rsidP="006F1659">
      <w:pPr>
        <w:pStyle w:val="Standard"/>
        <w:spacing w:line="360" w:lineRule="auto"/>
      </w:pPr>
      <w:r w:rsidRPr="0097099A">
        <w:t xml:space="preserve">Where expenditure on intangible assets qualifies as capital expenditure for statutory purposes, amortisation, impairment losses and disposal gains and losses are not permitted to have an impact on the General Fund Balance. The gains and losses are therefore reversed out of the General Fund Balance in the Movement in Reserves </w:t>
      </w:r>
      <w:r w:rsidRPr="0097099A">
        <w:lastRenderedPageBreak/>
        <w:t>Statement and posted to the Capital Adjustment Account and (for any sale proceeds greater than £10,000) the Capital Receipts Reserve.</w:t>
      </w:r>
    </w:p>
    <w:p w14:paraId="76433413" w14:textId="77777777" w:rsidR="00655E4C" w:rsidRPr="0007572B" w:rsidRDefault="00655E4C" w:rsidP="006F1659">
      <w:pPr>
        <w:spacing w:line="360" w:lineRule="auto"/>
        <w:rPr>
          <w:rFonts w:ascii="Arial" w:eastAsiaTheme="minorHAnsi" w:hAnsi="Arial" w:cs="Arial"/>
          <w:b/>
          <w:bCs/>
          <w:lang w:val="en-US" w:eastAsia="en-GB"/>
        </w:rPr>
      </w:pPr>
    </w:p>
    <w:p w14:paraId="0B31BAC9" w14:textId="722D1EF5" w:rsidR="00655E4C" w:rsidRPr="00665347" w:rsidRDefault="00655E4C" w:rsidP="00665347">
      <w:pPr>
        <w:pStyle w:val="Heading4bold"/>
      </w:pPr>
      <w:r w:rsidRPr="00665347">
        <w:t>1.1</w:t>
      </w:r>
      <w:r w:rsidR="00E85440" w:rsidRPr="00665347">
        <w:t>3</w:t>
      </w:r>
      <w:r w:rsidRPr="00665347">
        <w:t>. Fair Value</w:t>
      </w:r>
    </w:p>
    <w:p w14:paraId="686AA602" w14:textId="77777777" w:rsidR="00665347" w:rsidRDefault="00665347" w:rsidP="006F1659">
      <w:pPr>
        <w:tabs>
          <w:tab w:val="left" w:pos="9195"/>
        </w:tabs>
        <w:spacing w:line="360" w:lineRule="auto"/>
        <w:rPr>
          <w:rFonts w:ascii="Arial" w:eastAsia="Calibri" w:hAnsi="Arial" w:cs="Arial"/>
          <w:bCs/>
          <w:lang w:val="en-US" w:eastAsia="en-GB"/>
        </w:rPr>
      </w:pPr>
    </w:p>
    <w:p w14:paraId="0DD76A7E" w14:textId="1EACDB6D" w:rsidR="00655E4C" w:rsidRPr="00EB1AAB" w:rsidRDefault="00655E4C" w:rsidP="006F1659">
      <w:pPr>
        <w:tabs>
          <w:tab w:val="left" w:pos="9195"/>
        </w:tabs>
        <w:spacing w:line="360" w:lineRule="auto"/>
        <w:rPr>
          <w:rFonts w:ascii="Arial" w:eastAsia="Calibri" w:hAnsi="Arial" w:cs="Arial"/>
          <w:bCs/>
          <w:lang w:val="en-US" w:eastAsia="en-GB"/>
        </w:rPr>
      </w:pPr>
      <w:r w:rsidRPr="00EB1AAB">
        <w:rPr>
          <w:rFonts w:ascii="Arial" w:eastAsia="Calibri" w:hAnsi="Arial" w:cs="Arial"/>
          <w:bCs/>
          <w:lang w:val="en-US" w:eastAsia="en-GB"/>
        </w:rPr>
        <w:t>The Authority measures some of its non-financial assets, such as Investment Properties and Surplus Assets, and some of its financial instruments at fair value at each reporting date, if material. Fair value is the price that would be received to sell an asset or paid to transfer a liability in an orderly transaction between market participants at the measurement date. The fair value measurement assumes that the transaction to sell the asset or transfer the liability takes place either:</w:t>
      </w:r>
    </w:p>
    <w:p w14:paraId="1C1D2377" w14:textId="77777777" w:rsidR="00655E4C" w:rsidRPr="00EB1AAB" w:rsidRDefault="00655E4C" w:rsidP="006F1659">
      <w:pPr>
        <w:tabs>
          <w:tab w:val="left" w:pos="9195"/>
        </w:tabs>
        <w:spacing w:line="360" w:lineRule="auto"/>
        <w:rPr>
          <w:rFonts w:ascii="Arial" w:eastAsia="Calibri" w:hAnsi="Arial" w:cs="Arial"/>
          <w:bCs/>
          <w:lang w:val="en-US" w:eastAsia="en-GB"/>
        </w:rPr>
      </w:pPr>
    </w:p>
    <w:p w14:paraId="24E64ED8" w14:textId="77777777" w:rsidR="00655E4C" w:rsidRPr="00EB1AAB" w:rsidRDefault="00655E4C" w:rsidP="006F1659">
      <w:pPr>
        <w:numPr>
          <w:ilvl w:val="0"/>
          <w:numId w:val="23"/>
        </w:numPr>
        <w:tabs>
          <w:tab w:val="left" w:pos="9195"/>
        </w:tabs>
        <w:spacing w:after="200" w:line="360" w:lineRule="auto"/>
        <w:contextualSpacing/>
        <w:rPr>
          <w:rFonts w:ascii="Arial" w:hAnsi="Arial" w:cs="Arial"/>
          <w:bCs/>
          <w:lang w:eastAsia="en-GB"/>
        </w:rPr>
      </w:pPr>
      <w:r w:rsidRPr="00EB1AAB">
        <w:rPr>
          <w:rFonts w:ascii="Arial" w:hAnsi="Arial" w:cs="Arial"/>
          <w:bCs/>
          <w:lang w:eastAsia="en-GB"/>
        </w:rPr>
        <w:t>In the principal market for the asset; or</w:t>
      </w:r>
    </w:p>
    <w:p w14:paraId="326B7A4E" w14:textId="77777777" w:rsidR="00655E4C" w:rsidRPr="00EB1AAB" w:rsidRDefault="00655E4C" w:rsidP="006F1659">
      <w:pPr>
        <w:numPr>
          <w:ilvl w:val="0"/>
          <w:numId w:val="23"/>
        </w:numPr>
        <w:tabs>
          <w:tab w:val="left" w:pos="9195"/>
        </w:tabs>
        <w:spacing w:after="200" w:line="360" w:lineRule="auto"/>
        <w:contextualSpacing/>
        <w:rPr>
          <w:rFonts w:ascii="Arial" w:hAnsi="Arial" w:cs="Arial"/>
          <w:bCs/>
          <w:lang w:eastAsia="en-GB"/>
        </w:rPr>
      </w:pPr>
      <w:r w:rsidRPr="00EB1AAB">
        <w:rPr>
          <w:rFonts w:ascii="Arial" w:hAnsi="Arial" w:cs="Arial"/>
          <w:bCs/>
          <w:lang w:eastAsia="en-GB"/>
        </w:rPr>
        <w:t>In the absence of a principal market, in the most advantageous market for the asset.</w:t>
      </w:r>
    </w:p>
    <w:p w14:paraId="603FC0E6" w14:textId="77777777" w:rsidR="00655E4C" w:rsidRPr="00EB1AAB" w:rsidRDefault="00655E4C" w:rsidP="006F1659">
      <w:pPr>
        <w:tabs>
          <w:tab w:val="left" w:pos="9195"/>
        </w:tabs>
        <w:spacing w:after="200" w:line="360" w:lineRule="auto"/>
        <w:ind w:left="780"/>
        <w:contextualSpacing/>
        <w:rPr>
          <w:rFonts w:ascii="Arial" w:hAnsi="Arial" w:cs="Arial"/>
          <w:bCs/>
          <w:lang w:eastAsia="en-GB"/>
        </w:rPr>
      </w:pPr>
    </w:p>
    <w:p w14:paraId="08D82B19" w14:textId="77777777" w:rsidR="00655E4C" w:rsidRPr="00EB1AAB" w:rsidRDefault="00655E4C" w:rsidP="006F1659">
      <w:pPr>
        <w:tabs>
          <w:tab w:val="left" w:pos="9195"/>
        </w:tabs>
        <w:spacing w:line="360" w:lineRule="auto"/>
        <w:rPr>
          <w:rFonts w:ascii="Arial" w:eastAsia="Calibri" w:hAnsi="Arial" w:cs="Arial"/>
          <w:bCs/>
          <w:lang w:val="en-US" w:eastAsia="en-GB"/>
        </w:rPr>
      </w:pPr>
      <w:r w:rsidRPr="00EB1AAB">
        <w:rPr>
          <w:rFonts w:ascii="Arial" w:eastAsia="Calibri" w:hAnsi="Arial" w:cs="Arial"/>
          <w:bCs/>
          <w:lang w:val="en-US" w:eastAsia="en-GB"/>
        </w:rPr>
        <w:t>The Authority uses valuers to provide a valuation of its assets and liabilities in line with the highest and best use definition within the accounting standard. The highest and best use of the asset or liability being valued is considered from the perspective of a market participant in terms of pricing (assuming those market participants were acting in their economic best interest).</w:t>
      </w:r>
    </w:p>
    <w:p w14:paraId="67FA1501" w14:textId="77777777" w:rsidR="00655E4C" w:rsidRPr="00EB1AAB" w:rsidRDefault="00655E4C" w:rsidP="006F1659">
      <w:pPr>
        <w:tabs>
          <w:tab w:val="left" w:pos="9195"/>
        </w:tabs>
        <w:spacing w:line="360" w:lineRule="auto"/>
        <w:rPr>
          <w:rFonts w:ascii="Arial" w:eastAsia="Calibri" w:hAnsi="Arial" w:cs="Arial"/>
          <w:bCs/>
          <w:lang w:val="en-US" w:eastAsia="en-GB"/>
        </w:rPr>
      </w:pPr>
    </w:p>
    <w:p w14:paraId="0004A6AD" w14:textId="77777777" w:rsidR="00655E4C" w:rsidRPr="00EB1AAB" w:rsidRDefault="00655E4C" w:rsidP="006F1659">
      <w:pPr>
        <w:tabs>
          <w:tab w:val="left" w:pos="9195"/>
        </w:tabs>
        <w:spacing w:line="360" w:lineRule="auto"/>
        <w:rPr>
          <w:rFonts w:ascii="Arial" w:eastAsia="Calibri" w:hAnsi="Arial" w:cs="Arial"/>
          <w:bCs/>
          <w:lang w:val="en-US" w:eastAsia="en-GB"/>
        </w:rPr>
      </w:pPr>
      <w:r w:rsidRPr="00EB1AAB">
        <w:rPr>
          <w:rFonts w:ascii="Arial" w:eastAsia="Calibri" w:hAnsi="Arial" w:cs="Arial"/>
          <w:bCs/>
          <w:lang w:val="en-US" w:eastAsia="en-GB"/>
        </w:rPr>
        <w:t>When measuring the fair value of a non-financial asset, the Authority takes into account a market participant’s ability to generate economic benefits by using the asset in its highest and best use or by selling it to another market participant that would use the asset in its highest and best use.</w:t>
      </w:r>
    </w:p>
    <w:p w14:paraId="4D7AF01F" w14:textId="77777777" w:rsidR="00655E4C" w:rsidRPr="00EB1AAB" w:rsidRDefault="00655E4C" w:rsidP="006F1659">
      <w:pPr>
        <w:tabs>
          <w:tab w:val="left" w:pos="9195"/>
        </w:tabs>
        <w:spacing w:line="360" w:lineRule="auto"/>
        <w:rPr>
          <w:rFonts w:ascii="Arial" w:eastAsia="Calibri" w:hAnsi="Arial" w:cs="Arial"/>
          <w:bCs/>
          <w:lang w:val="en-US" w:eastAsia="en-GB"/>
        </w:rPr>
      </w:pPr>
    </w:p>
    <w:p w14:paraId="005AB4BA" w14:textId="77777777" w:rsidR="00655E4C" w:rsidRPr="00EB1AAB" w:rsidRDefault="00655E4C" w:rsidP="006F1659">
      <w:pPr>
        <w:tabs>
          <w:tab w:val="left" w:pos="9195"/>
        </w:tabs>
        <w:spacing w:line="360" w:lineRule="auto"/>
        <w:rPr>
          <w:rFonts w:ascii="Arial" w:eastAsia="Calibri" w:hAnsi="Arial" w:cs="Arial"/>
          <w:bCs/>
          <w:lang w:val="en-US" w:eastAsia="en-GB"/>
        </w:rPr>
      </w:pPr>
      <w:r w:rsidRPr="00EB1AAB">
        <w:rPr>
          <w:rFonts w:ascii="Arial" w:eastAsia="Calibri" w:hAnsi="Arial" w:cs="Arial"/>
          <w:bCs/>
          <w:lang w:val="en-US" w:eastAsia="en-GB"/>
        </w:rPr>
        <w:t>Unquoted Equity Investments are recognised on the trade date, i.e. the date the Authority becomes committed to the purchase and would not be able to avoid acquiring it without breaking the contract, rather than the date the settlement takes place, if this is a later date.</w:t>
      </w:r>
    </w:p>
    <w:p w14:paraId="32D3EE48" w14:textId="77777777" w:rsidR="00655E4C" w:rsidRPr="00EB1AAB" w:rsidRDefault="00655E4C" w:rsidP="006F1659">
      <w:pPr>
        <w:tabs>
          <w:tab w:val="left" w:pos="9195"/>
        </w:tabs>
        <w:spacing w:line="360" w:lineRule="auto"/>
        <w:rPr>
          <w:rFonts w:ascii="Arial" w:eastAsia="Calibri" w:hAnsi="Arial" w:cs="Arial"/>
          <w:bCs/>
          <w:lang w:val="en-US" w:eastAsia="en-GB"/>
        </w:rPr>
      </w:pPr>
    </w:p>
    <w:p w14:paraId="0769082B" w14:textId="77777777" w:rsidR="00655E4C" w:rsidRPr="00EB1AAB" w:rsidRDefault="00655E4C" w:rsidP="006F1659">
      <w:pPr>
        <w:tabs>
          <w:tab w:val="left" w:pos="9195"/>
        </w:tabs>
        <w:spacing w:line="360" w:lineRule="auto"/>
        <w:rPr>
          <w:rFonts w:ascii="Arial" w:eastAsia="Calibri" w:hAnsi="Arial" w:cs="Arial"/>
          <w:bCs/>
          <w:lang w:val="en-US" w:eastAsia="en-GB"/>
        </w:rPr>
      </w:pPr>
      <w:r w:rsidRPr="00EB1AAB">
        <w:rPr>
          <w:rFonts w:ascii="Arial" w:eastAsia="Calibri" w:hAnsi="Arial" w:cs="Arial"/>
          <w:bCs/>
          <w:lang w:val="en-US" w:eastAsia="en-GB"/>
        </w:rPr>
        <w:lastRenderedPageBreak/>
        <w:t xml:space="preserve">If there is no quoted market price for the asset, then a reliable valuation technique should be applied. This could be a discounted cash flow analysis of dividends received or a valuation of the Authority’s share of the company. </w:t>
      </w:r>
    </w:p>
    <w:p w14:paraId="636B0A79" w14:textId="77777777" w:rsidR="00655E4C" w:rsidRPr="00EB1AAB" w:rsidRDefault="00655E4C" w:rsidP="006F1659">
      <w:pPr>
        <w:tabs>
          <w:tab w:val="left" w:pos="9195"/>
        </w:tabs>
        <w:spacing w:line="360" w:lineRule="auto"/>
        <w:rPr>
          <w:rFonts w:ascii="Arial" w:eastAsia="Calibri" w:hAnsi="Arial" w:cs="Arial"/>
          <w:bCs/>
          <w:lang w:val="en-US" w:eastAsia="en-GB"/>
        </w:rPr>
      </w:pPr>
    </w:p>
    <w:p w14:paraId="1C7DAE48" w14:textId="77777777" w:rsidR="00655E4C" w:rsidRPr="00EB1AAB" w:rsidRDefault="00655E4C" w:rsidP="006F1659">
      <w:pPr>
        <w:tabs>
          <w:tab w:val="left" w:pos="9195"/>
        </w:tabs>
        <w:spacing w:line="360" w:lineRule="auto"/>
        <w:rPr>
          <w:rFonts w:ascii="Arial" w:eastAsia="Calibri" w:hAnsi="Arial" w:cs="Arial"/>
          <w:bCs/>
          <w:lang w:val="en-US" w:eastAsia="en-GB"/>
        </w:rPr>
      </w:pPr>
      <w:r w:rsidRPr="00EB1AAB">
        <w:rPr>
          <w:rFonts w:ascii="Arial" w:eastAsia="Calibri" w:hAnsi="Arial" w:cs="Arial"/>
          <w:bCs/>
          <w:lang w:val="en-US" w:eastAsia="en-GB"/>
        </w:rPr>
        <w:t>Where financial liabilities and financial assets are carried in the balance sheet at amortised cost, they are shown below. Their fair value can be assessed by calculating the present value of the cash flows that will take place over the remaining term of the instruments, using the following assumptions:</w:t>
      </w:r>
    </w:p>
    <w:p w14:paraId="1C93D055" w14:textId="77777777" w:rsidR="00655E4C" w:rsidRPr="00EB1AAB" w:rsidRDefault="00655E4C" w:rsidP="006F1659">
      <w:pPr>
        <w:tabs>
          <w:tab w:val="left" w:pos="9195"/>
        </w:tabs>
        <w:spacing w:line="360" w:lineRule="auto"/>
        <w:rPr>
          <w:rFonts w:ascii="Arial" w:eastAsia="Calibri" w:hAnsi="Arial" w:cs="Arial"/>
          <w:bCs/>
          <w:lang w:val="en-US" w:eastAsia="en-GB"/>
        </w:rPr>
      </w:pPr>
    </w:p>
    <w:p w14:paraId="6DAC0DFD" w14:textId="77777777" w:rsidR="00655E4C" w:rsidRPr="00EB1AAB" w:rsidRDefault="00655E4C" w:rsidP="006F1659">
      <w:pPr>
        <w:numPr>
          <w:ilvl w:val="0"/>
          <w:numId w:val="24"/>
        </w:numPr>
        <w:tabs>
          <w:tab w:val="left" w:pos="9195"/>
        </w:tabs>
        <w:spacing w:after="200" w:line="360" w:lineRule="auto"/>
        <w:contextualSpacing/>
        <w:rPr>
          <w:rFonts w:ascii="Arial" w:hAnsi="Arial" w:cs="Arial"/>
          <w:bCs/>
          <w:lang w:eastAsia="en-GB"/>
        </w:rPr>
      </w:pPr>
      <w:r w:rsidRPr="00EB1AAB">
        <w:rPr>
          <w:rFonts w:ascii="Arial" w:hAnsi="Arial" w:cs="Arial"/>
          <w:bCs/>
          <w:lang w:eastAsia="en-GB"/>
        </w:rPr>
        <w:t>For loans from the PWLB, new borrowing rates from the PWLB have been applied to provide the fair value;</w:t>
      </w:r>
    </w:p>
    <w:p w14:paraId="7CA19D31" w14:textId="77777777" w:rsidR="00655E4C" w:rsidRPr="00EB1AAB" w:rsidRDefault="00655E4C" w:rsidP="006F1659">
      <w:pPr>
        <w:numPr>
          <w:ilvl w:val="0"/>
          <w:numId w:val="24"/>
        </w:numPr>
        <w:tabs>
          <w:tab w:val="left" w:pos="9195"/>
        </w:tabs>
        <w:spacing w:after="200" w:line="360" w:lineRule="auto"/>
        <w:contextualSpacing/>
        <w:rPr>
          <w:rFonts w:ascii="Arial" w:hAnsi="Arial" w:cs="Arial"/>
          <w:bCs/>
          <w:lang w:eastAsia="en-GB"/>
        </w:rPr>
      </w:pPr>
      <w:r w:rsidRPr="00EB1AAB">
        <w:rPr>
          <w:rFonts w:ascii="Arial" w:hAnsi="Arial" w:cs="Arial"/>
          <w:bCs/>
          <w:lang w:eastAsia="en-GB"/>
        </w:rPr>
        <w:t>For non-PWLB loans payable, prevailing market rates have been applied to provide the fair value;</w:t>
      </w:r>
    </w:p>
    <w:p w14:paraId="5F184B6C" w14:textId="2FAA3835" w:rsidR="00655E4C" w:rsidRPr="00EB1AAB" w:rsidRDefault="00655E4C" w:rsidP="006F1659">
      <w:pPr>
        <w:numPr>
          <w:ilvl w:val="0"/>
          <w:numId w:val="24"/>
        </w:numPr>
        <w:tabs>
          <w:tab w:val="left" w:pos="9195"/>
        </w:tabs>
        <w:spacing w:after="200" w:line="360" w:lineRule="auto"/>
        <w:contextualSpacing/>
        <w:rPr>
          <w:rFonts w:ascii="Arial" w:hAnsi="Arial" w:cs="Arial"/>
          <w:bCs/>
          <w:lang w:eastAsia="en-GB"/>
        </w:rPr>
      </w:pPr>
      <w:r w:rsidRPr="00EB1AAB">
        <w:rPr>
          <w:rFonts w:ascii="Arial" w:hAnsi="Arial" w:cs="Arial"/>
          <w:bCs/>
          <w:lang w:eastAsia="en-GB"/>
        </w:rPr>
        <w:t>The fair value of trade and other receivables and creditors is taken to be the invoiced or billed amount</w:t>
      </w:r>
      <w:r w:rsidR="000407DD">
        <w:rPr>
          <w:rFonts w:ascii="Arial" w:hAnsi="Arial" w:cs="Arial"/>
          <w:bCs/>
          <w:lang w:eastAsia="en-GB"/>
        </w:rPr>
        <w:t>.</w:t>
      </w:r>
    </w:p>
    <w:p w14:paraId="42125A5B" w14:textId="77777777" w:rsidR="00655E4C" w:rsidRPr="00EB1AAB" w:rsidRDefault="00655E4C" w:rsidP="006F1659">
      <w:pPr>
        <w:tabs>
          <w:tab w:val="left" w:pos="9195"/>
        </w:tabs>
        <w:spacing w:line="360" w:lineRule="auto"/>
        <w:ind w:left="495"/>
        <w:rPr>
          <w:rFonts w:ascii="Arial" w:eastAsia="Calibri" w:hAnsi="Arial" w:cs="Arial"/>
          <w:bCs/>
          <w:lang w:val="en-US" w:eastAsia="en-GB"/>
        </w:rPr>
      </w:pPr>
    </w:p>
    <w:p w14:paraId="55213305" w14:textId="77777777" w:rsidR="00655E4C" w:rsidRPr="00EB1AAB" w:rsidRDefault="00655E4C" w:rsidP="006F1659">
      <w:pPr>
        <w:tabs>
          <w:tab w:val="left" w:pos="9195"/>
        </w:tabs>
        <w:spacing w:line="360" w:lineRule="auto"/>
        <w:rPr>
          <w:rFonts w:ascii="Arial" w:eastAsia="Calibri" w:hAnsi="Arial" w:cs="Arial"/>
          <w:bCs/>
          <w:lang w:val="en-US" w:eastAsia="en-GB"/>
        </w:rPr>
      </w:pPr>
      <w:r w:rsidRPr="00EB1AAB">
        <w:rPr>
          <w:rFonts w:ascii="Arial" w:eastAsia="Calibri" w:hAnsi="Arial" w:cs="Arial"/>
          <w:bCs/>
          <w:lang w:val="en-US" w:eastAsia="en-GB"/>
        </w:rPr>
        <w:t>The Authority uses appropriate valuation techniques for each circumstance, maximising the use of relevant known data and minimising the use of estimates or unknowns. This takes into account the three levels of categories for inputs to valuations for fair value assets:</w:t>
      </w:r>
    </w:p>
    <w:p w14:paraId="75AF181C" w14:textId="77777777" w:rsidR="00655E4C" w:rsidRPr="00EB1AAB" w:rsidRDefault="00655E4C" w:rsidP="006F1659">
      <w:pPr>
        <w:tabs>
          <w:tab w:val="left" w:pos="9195"/>
        </w:tabs>
        <w:spacing w:line="360" w:lineRule="auto"/>
        <w:rPr>
          <w:rFonts w:ascii="Arial" w:eastAsia="Calibri" w:hAnsi="Arial" w:cs="Arial"/>
          <w:bCs/>
          <w:lang w:val="en-US" w:eastAsia="en-GB"/>
        </w:rPr>
      </w:pPr>
    </w:p>
    <w:p w14:paraId="593CED72" w14:textId="77777777" w:rsidR="00655E4C" w:rsidRPr="00EB1AAB" w:rsidRDefault="00655E4C" w:rsidP="006F1659">
      <w:pPr>
        <w:numPr>
          <w:ilvl w:val="0"/>
          <w:numId w:val="25"/>
        </w:numPr>
        <w:tabs>
          <w:tab w:val="left" w:pos="9195"/>
        </w:tabs>
        <w:spacing w:after="200" w:line="360" w:lineRule="auto"/>
        <w:ind w:left="851" w:hanging="284"/>
        <w:contextualSpacing/>
        <w:rPr>
          <w:rFonts w:ascii="Arial" w:hAnsi="Arial" w:cs="Arial"/>
          <w:bCs/>
          <w:lang w:eastAsia="en-GB"/>
        </w:rPr>
      </w:pPr>
      <w:r w:rsidRPr="00EB1AAB">
        <w:rPr>
          <w:rFonts w:ascii="Arial" w:hAnsi="Arial" w:cs="Arial"/>
          <w:bCs/>
          <w:lang w:eastAsia="en-GB"/>
        </w:rPr>
        <w:t>Level 1 inputs – quoted prices in active markets for identical assets that the Authority can access at the measurement date;</w:t>
      </w:r>
    </w:p>
    <w:p w14:paraId="116E113F" w14:textId="77777777" w:rsidR="00655E4C" w:rsidRPr="00EB1AAB" w:rsidRDefault="00655E4C" w:rsidP="006F1659">
      <w:pPr>
        <w:numPr>
          <w:ilvl w:val="0"/>
          <w:numId w:val="25"/>
        </w:numPr>
        <w:tabs>
          <w:tab w:val="left" w:pos="9195"/>
        </w:tabs>
        <w:spacing w:after="200" w:line="360" w:lineRule="auto"/>
        <w:ind w:left="851" w:hanging="284"/>
        <w:contextualSpacing/>
        <w:rPr>
          <w:rFonts w:ascii="Arial" w:hAnsi="Arial" w:cs="Arial"/>
          <w:bCs/>
          <w:lang w:eastAsia="en-GB"/>
        </w:rPr>
      </w:pPr>
      <w:r w:rsidRPr="00EB1AAB">
        <w:rPr>
          <w:rFonts w:ascii="Arial" w:hAnsi="Arial" w:cs="Arial"/>
          <w:bCs/>
          <w:lang w:eastAsia="en-GB"/>
        </w:rPr>
        <w:t>Level 2 inputs – inputs other than quoted prices included within Level 1 that are observable for the asset or liability, either directly or indirectly;</w:t>
      </w:r>
    </w:p>
    <w:p w14:paraId="469867C4" w14:textId="77777777" w:rsidR="00655E4C" w:rsidRPr="00EB1AAB" w:rsidRDefault="00655E4C" w:rsidP="006F1659">
      <w:pPr>
        <w:numPr>
          <w:ilvl w:val="0"/>
          <w:numId w:val="25"/>
        </w:numPr>
        <w:tabs>
          <w:tab w:val="left" w:pos="9195"/>
        </w:tabs>
        <w:spacing w:after="200" w:line="360" w:lineRule="auto"/>
        <w:ind w:left="851" w:hanging="284"/>
        <w:contextualSpacing/>
        <w:rPr>
          <w:rFonts w:ascii="Arial" w:hAnsi="Arial" w:cs="Arial"/>
          <w:bCs/>
          <w:lang w:eastAsia="en-GB"/>
        </w:rPr>
      </w:pPr>
      <w:r w:rsidRPr="00EB1AAB">
        <w:rPr>
          <w:rFonts w:ascii="Arial" w:hAnsi="Arial" w:cs="Arial"/>
          <w:bCs/>
          <w:lang w:eastAsia="en-GB"/>
        </w:rPr>
        <w:t>Level 3 inputs – unobservable inputs for the asset or liability where market data is not available.</w:t>
      </w:r>
    </w:p>
    <w:p w14:paraId="5FD1A7C9" w14:textId="77777777" w:rsidR="00655E4C" w:rsidRPr="0007572B" w:rsidRDefault="00655E4C" w:rsidP="006F1659">
      <w:pPr>
        <w:pStyle w:val="Normal0"/>
        <w:spacing w:line="360" w:lineRule="auto"/>
        <w:rPr>
          <w:rFonts w:ascii="Arial" w:hAnsi="Arial" w:cs="Arial"/>
          <w:b/>
          <w:bCs/>
          <w:sz w:val="24"/>
          <w:szCs w:val="24"/>
          <w:lang w:eastAsia="en-GB"/>
        </w:rPr>
      </w:pPr>
    </w:p>
    <w:p w14:paraId="091EC535" w14:textId="48098EBF" w:rsidR="00655E4C" w:rsidRPr="0007572B" w:rsidRDefault="00655E4C" w:rsidP="006F1659">
      <w:pPr>
        <w:pStyle w:val="Heading4bold"/>
        <w:spacing w:line="360" w:lineRule="auto"/>
        <w:rPr>
          <w:lang w:eastAsia="en-GB"/>
        </w:rPr>
      </w:pPr>
      <w:r w:rsidRPr="0007572B">
        <w:rPr>
          <w:lang w:eastAsia="en-GB"/>
        </w:rPr>
        <w:t>1.1</w:t>
      </w:r>
      <w:r w:rsidR="00E85440">
        <w:rPr>
          <w:lang w:eastAsia="en-GB"/>
        </w:rPr>
        <w:t>4</w:t>
      </w:r>
      <w:r w:rsidRPr="0007572B">
        <w:rPr>
          <w:lang w:eastAsia="en-GB"/>
        </w:rPr>
        <w:t>. Revenue Expenditure Funded by Capital Under Statute</w:t>
      </w:r>
    </w:p>
    <w:p w14:paraId="7C80270A"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Revenue Expenditure Funded by Capital under Statute (REFCUS) is expenditure of a capital nature that does not result in the creation of a non-current asset on the Balance Sheet. Expenditure is charged to the Deficit / (Surplus) on the Provision of Services as </w:t>
      </w:r>
      <w:r w:rsidRPr="0007572B">
        <w:rPr>
          <w:rFonts w:ascii="Arial" w:hAnsi="Arial" w:cs="Arial"/>
          <w:bCs/>
          <w:sz w:val="24"/>
          <w:szCs w:val="24"/>
          <w:lang w:eastAsia="en-GB"/>
        </w:rPr>
        <w:lastRenderedPageBreak/>
        <w:t>the expenditure is incurred. This is reversed out through the Movement in Reserves Statement and a transfer made to the Capital Adjustment Account.</w:t>
      </w:r>
    </w:p>
    <w:p w14:paraId="5B66B1F4" w14:textId="77777777" w:rsidR="00655E4C" w:rsidRPr="0007572B" w:rsidRDefault="00655E4C" w:rsidP="006F1659">
      <w:pPr>
        <w:pStyle w:val="Normal0"/>
        <w:spacing w:line="360" w:lineRule="auto"/>
        <w:rPr>
          <w:rFonts w:ascii="Arial" w:hAnsi="Arial" w:cs="Arial"/>
          <w:b/>
          <w:bCs/>
          <w:sz w:val="24"/>
          <w:szCs w:val="24"/>
          <w:lang w:eastAsia="en-GB"/>
        </w:rPr>
      </w:pPr>
    </w:p>
    <w:p w14:paraId="0DC5B948" w14:textId="31B6106D" w:rsidR="00655E4C" w:rsidRPr="0080779E" w:rsidRDefault="00655E4C" w:rsidP="006F1659">
      <w:pPr>
        <w:pStyle w:val="Heading4bold"/>
        <w:spacing w:line="360" w:lineRule="auto"/>
        <w:rPr>
          <w:lang w:eastAsia="en-GB"/>
        </w:rPr>
      </w:pPr>
      <w:r w:rsidRPr="0080779E">
        <w:rPr>
          <w:lang w:eastAsia="en-GB"/>
        </w:rPr>
        <w:t>1.1</w:t>
      </w:r>
      <w:r w:rsidR="00E85440">
        <w:rPr>
          <w:lang w:eastAsia="en-GB"/>
        </w:rPr>
        <w:t>5</w:t>
      </w:r>
      <w:r w:rsidRPr="0080779E">
        <w:rPr>
          <w:lang w:eastAsia="en-GB"/>
        </w:rPr>
        <w:t>. Minimum Revenue Provision</w:t>
      </w:r>
    </w:p>
    <w:p w14:paraId="7561B840" w14:textId="77777777" w:rsidR="00655E4C" w:rsidRPr="0080779E" w:rsidRDefault="00655E4C" w:rsidP="006F1659">
      <w:pPr>
        <w:pStyle w:val="Normal0"/>
        <w:spacing w:line="360" w:lineRule="auto"/>
        <w:rPr>
          <w:rFonts w:ascii="Arial" w:hAnsi="Arial" w:cs="Arial"/>
          <w:bCs/>
          <w:sz w:val="24"/>
          <w:szCs w:val="24"/>
          <w:lang w:eastAsia="en-GB"/>
        </w:rPr>
      </w:pPr>
      <w:r w:rsidRPr="0080779E">
        <w:rPr>
          <w:rFonts w:ascii="Arial" w:hAnsi="Arial" w:cs="Arial"/>
          <w:bCs/>
          <w:sz w:val="24"/>
          <w:szCs w:val="24"/>
          <w:lang w:eastAsia="en-GB"/>
        </w:rPr>
        <w:t>The Authority is required to make a provision for the repayment of an element of the accumulated capital expenditure each year, financed by borrowing, through a revenue charge, in accordance with the Minimum Revenue Provision (MRP) requirements. Regulations have replaced the detailed formula for calculating MRP with a requirement to be prudent. The MRP policy is included within the annual Treasury Management Strategy agreed by the Authority, which details the guidance and options for the basis of the provision. The GMCA has adopted the following policy:</w:t>
      </w:r>
    </w:p>
    <w:p w14:paraId="40E658D3" w14:textId="77777777" w:rsidR="00655E4C" w:rsidRPr="0080779E" w:rsidRDefault="00655E4C" w:rsidP="006F1659">
      <w:pPr>
        <w:pStyle w:val="Normal0"/>
        <w:spacing w:line="360" w:lineRule="auto"/>
        <w:rPr>
          <w:rFonts w:ascii="Arial" w:hAnsi="Arial" w:cs="Arial"/>
          <w:bCs/>
          <w:sz w:val="24"/>
          <w:szCs w:val="24"/>
          <w:lang w:eastAsia="en-GB"/>
        </w:rPr>
      </w:pPr>
    </w:p>
    <w:p w14:paraId="5FEA6DF1" w14:textId="63BB35A2" w:rsidR="00655E4C" w:rsidRPr="0080779E" w:rsidRDefault="00655E4C" w:rsidP="006F1659">
      <w:pPr>
        <w:numPr>
          <w:ilvl w:val="0"/>
          <w:numId w:val="39"/>
        </w:numPr>
        <w:tabs>
          <w:tab w:val="clear" w:pos="1512"/>
          <w:tab w:val="num" w:pos="720"/>
          <w:tab w:val="right" w:pos="9498"/>
        </w:tabs>
        <w:overflowPunct w:val="0"/>
        <w:autoSpaceDE w:val="0"/>
        <w:autoSpaceDN w:val="0"/>
        <w:adjustRightInd w:val="0"/>
        <w:spacing w:before="120" w:after="120" w:line="360" w:lineRule="auto"/>
        <w:ind w:left="720" w:hanging="720"/>
        <w:textAlignment w:val="baseline"/>
        <w:rPr>
          <w:rFonts w:ascii="Arial" w:hAnsi="Arial" w:cs="Arial"/>
        </w:rPr>
      </w:pPr>
      <w:r w:rsidRPr="0080779E">
        <w:rPr>
          <w:rFonts w:ascii="Arial" w:hAnsi="Arial" w:cs="Arial"/>
        </w:rPr>
        <w:t>For capital expenditure incurred before 1 April 2008 or which in the future will be Supported Capital Expenditure, MRP will be calculated using an Asset Life annuity basis over 50 years</w:t>
      </w:r>
      <w:r w:rsidR="000A6E69">
        <w:rPr>
          <w:rFonts w:ascii="Arial" w:hAnsi="Arial" w:cs="Arial"/>
        </w:rPr>
        <w:t>;</w:t>
      </w:r>
    </w:p>
    <w:p w14:paraId="3F88A7D8" w14:textId="098D1475" w:rsidR="00655E4C" w:rsidRPr="0080779E" w:rsidRDefault="00655E4C" w:rsidP="006F1659">
      <w:pPr>
        <w:numPr>
          <w:ilvl w:val="0"/>
          <w:numId w:val="39"/>
        </w:numPr>
        <w:tabs>
          <w:tab w:val="clear" w:pos="1512"/>
          <w:tab w:val="num" w:pos="720"/>
          <w:tab w:val="right" w:pos="9498"/>
        </w:tabs>
        <w:overflowPunct w:val="0"/>
        <w:autoSpaceDE w:val="0"/>
        <w:autoSpaceDN w:val="0"/>
        <w:adjustRightInd w:val="0"/>
        <w:spacing w:before="120" w:after="120" w:line="360" w:lineRule="auto"/>
        <w:ind w:left="720" w:hanging="720"/>
        <w:textAlignment w:val="baseline"/>
        <w:rPr>
          <w:rFonts w:ascii="Arial" w:hAnsi="Arial" w:cs="Arial"/>
        </w:rPr>
      </w:pPr>
      <w:r w:rsidRPr="0080779E">
        <w:rPr>
          <w:rFonts w:ascii="Arial" w:hAnsi="Arial" w:cs="Arial"/>
        </w:rPr>
        <w:t>For capital expenditure incurred from 1 April 2008 for all unsupported borrowing (including PFI and finance leases), MRP will be calculated on an Asset Life annuity basis. The interest rate applied will be linked to PWLB interest rates and the useful life of the asset</w:t>
      </w:r>
      <w:r w:rsidR="000A6E69">
        <w:rPr>
          <w:rFonts w:ascii="Arial" w:hAnsi="Arial" w:cs="Arial"/>
        </w:rPr>
        <w:t>;</w:t>
      </w:r>
    </w:p>
    <w:p w14:paraId="789BD585" w14:textId="77777777" w:rsidR="00655E4C" w:rsidRPr="0080779E" w:rsidRDefault="00655E4C" w:rsidP="006F1659">
      <w:pPr>
        <w:numPr>
          <w:ilvl w:val="0"/>
          <w:numId w:val="39"/>
        </w:numPr>
        <w:tabs>
          <w:tab w:val="clear" w:pos="1512"/>
          <w:tab w:val="num" w:pos="720"/>
          <w:tab w:val="right" w:pos="9498"/>
        </w:tabs>
        <w:overflowPunct w:val="0"/>
        <w:autoSpaceDE w:val="0"/>
        <w:autoSpaceDN w:val="0"/>
        <w:adjustRightInd w:val="0"/>
        <w:spacing w:before="120" w:after="120" w:line="360" w:lineRule="auto"/>
        <w:ind w:left="720" w:hanging="720"/>
        <w:textAlignment w:val="baseline"/>
        <w:rPr>
          <w:rFonts w:ascii="Arial" w:hAnsi="Arial" w:cs="Arial"/>
        </w:rPr>
      </w:pPr>
      <w:r w:rsidRPr="0080779E">
        <w:rPr>
          <w:rFonts w:ascii="Arial" w:hAnsi="Arial" w:cs="Arial"/>
        </w:rPr>
        <w:t>MRP will generally commence in the financial year following the one in which the expenditure was incurred. However, for long life assets, the Authority will postpone the commencement of MRP until the financial year following the one in which the asset becomes operational.</w:t>
      </w:r>
    </w:p>
    <w:p w14:paraId="3B0C8223" w14:textId="77777777" w:rsidR="007E4DDF" w:rsidRDefault="007E4DDF" w:rsidP="006F1659">
      <w:pPr>
        <w:spacing w:line="360" w:lineRule="auto"/>
        <w:rPr>
          <w:rFonts w:ascii="Arial" w:hAnsi="Arial" w:cs="Arial"/>
          <w:b/>
          <w:bCs/>
          <w:lang w:eastAsia="en-GB"/>
        </w:rPr>
      </w:pPr>
    </w:p>
    <w:p w14:paraId="7F603D2A" w14:textId="29B0F1AA" w:rsidR="00655E4C" w:rsidRPr="0007572B" w:rsidRDefault="00655E4C" w:rsidP="006F1659">
      <w:pPr>
        <w:pStyle w:val="Heading4bold"/>
        <w:spacing w:line="360" w:lineRule="auto"/>
        <w:rPr>
          <w:lang w:eastAsia="en-GB"/>
        </w:rPr>
      </w:pPr>
      <w:r w:rsidRPr="0007572B">
        <w:rPr>
          <w:lang w:eastAsia="en-GB"/>
        </w:rPr>
        <w:t>1.1</w:t>
      </w:r>
      <w:r w:rsidR="00E85440">
        <w:rPr>
          <w:lang w:eastAsia="en-GB"/>
        </w:rPr>
        <w:t>6</w:t>
      </w:r>
      <w:r w:rsidRPr="0007572B">
        <w:rPr>
          <w:lang w:eastAsia="en-GB"/>
        </w:rPr>
        <w:t>. Capital and Revenue Grants and Contributions</w:t>
      </w:r>
    </w:p>
    <w:p w14:paraId="2A177E94" w14:textId="77777777" w:rsidR="00655E4C" w:rsidRPr="0007572B" w:rsidRDefault="00655E4C" w:rsidP="006F1659">
      <w:pPr>
        <w:pStyle w:val="Normal0"/>
        <w:spacing w:line="360" w:lineRule="auto"/>
        <w:rPr>
          <w:rFonts w:ascii="Arial" w:hAnsi="Arial" w:cs="Arial"/>
          <w:b/>
          <w:bCs/>
          <w:sz w:val="24"/>
          <w:szCs w:val="24"/>
          <w:lang w:eastAsia="en-GB"/>
        </w:rPr>
      </w:pPr>
    </w:p>
    <w:p w14:paraId="625FB33A" w14:textId="0433DAFB" w:rsidR="00655E4C" w:rsidRPr="0007572B" w:rsidRDefault="00655E4C" w:rsidP="006F1659">
      <w:pPr>
        <w:pStyle w:val="Heading5"/>
        <w:spacing w:line="360" w:lineRule="auto"/>
        <w:rPr>
          <w:lang w:eastAsia="en-GB"/>
        </w:rPr>
      </w:pPr>
      <w:r w:rsidRPr="0007572B">
        <w:rPr>
          <w:lang w:eastAsia="en-GB"/>
        </w:rPr>
        <w:t>1.1</w:t>
      </w:r>
      <w:r w:rsidR="00E85440">
        <w:rPr>
          <w:lang w:eastAsia="en-GB"/>
        </w:rPr>
        <w:t>6</w:t>
      </w:r>
      <w:r w:rsidRPr="0007572B">
        <w:rPr>
          <w:lang w:eastAsia="en-GB"/>
        </w:rPr>
        <w:t>.1. Revenue Grants and Contributions</w:t>
      </w:r>
    </w:p>
    <w:p w14:paraId="0C6BB282" w14:textId="77777777" w:rsidR="00655E4C" w:rsidRPr="0007572B" w:rsidRDefault="00655E4C" w:rsidP="006F1659">
      <w:pPr>
        <w:pStyle w:val="Normal0"/>
        <w:spacing w:line="360" w:lineRule="auto"/>
        <w:rPr>
          <w:rFonts w:ascii="Arial" w:hAnsi="Arial" w:cs="Arial"/>
          <w:bCs/>
          <w:sz w:val="24"/>
          <w:szCs w:val="24"/>
          <w:u w:val="single"/>
          <w:lang w:eastAsia="en-GB"/>
        </w:rPr>
      </w:pPr>
    </w:p>
    <w:p w14:paraId="1AABD110"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Revenue grants and contributions received by the Authority can either be classified as non-specific for general purposes or specific for use in relation to a service and/or function. Where conditions have been met, specific revenue grants and contributions are </w:t>
      </w:r>
      <w:r w:rsidRPr="0007572B">
        <w:rPr>
          <w:rFonts w:ascii="Arial" w:hAnsi="Arial" w:cs="Arial"/>
          <w:bCs/>
          <w:sz w:val="24"/>
          <w:szCs w:val="24"/>
          <w:lang w:eastAsia="en-GB"/>
        </w:rPr>
        <w:lastRenderedPageBreak/>
        <w:t xml:space="preserve">credited to the relevant service line within Cost of Services; non-specific grants are credited to Taxation and Non-Specific Grant Income. </w:t>
      </w:r>
    </w:p>
    <w:p w14:paraId="4C801041" w14:textId="77777777" w:rsidR="00655E4C" w:rsidRPr="0007572B" w:rsidRDefault="00655E4C" w:rsidP="006F1659">
      <w:pPr>
        <w:pStyle w:val="Normal0"/>
        <w:spacing w:line="360" w:lineRule="auto"/>
        <w:rPr>
          <w:rFonts w:ascii="Arial" w:hAnsi="Arial" w:cs="Arial"/>
          <w:bCs/>
          <w:sz w:val="24"/>
          <w:szCs w:val="24"/>
          <w:lang w:eastAsia="en-GB"/>
        </w:rPr>
      </w:pPr>
    </w:p>
    <w:p w14:paraId="67FC655A"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When the expenditure relating to specific grants has not been incurred, the Authority has elected to make a contribution equivalent to the unspent amount of grant to an earmarked reserve. This reserve will be released in future financial years when the expenditure to which the grant relates is incurred.</w:t>
      </w:r>
    </w:p>
    <w:p w14:paraId="58C9226F" w14:textId="77777777" w:rsidR="00655E4C" w:rsidRPr="0007572B" w:rsidRDefault="00655E4C" w:rsidP="006F1659">
      <w:pPr>
        <w:pStyle w:val="Normal0"/>
        <w:spacing w:line="360" w:lineRule="auto"/>
        <w:rPr>
          <w:rFonts w:ascii="Arial" w:hAnsi="Arial" w:cs="Arial"/>
          <w:bCs/>
          <w:sz w:val="24"/>
          <w:szCs w:val="24"/>
          <w:lang w:eastAsia="en-GB"/>
        </w:rPr>
      </w:pPr>
    </w:p>
    <w:p w14:paraId="373AD604"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Monies advanced as grants and contributions for which conditions have not been satisfied are carried in the Balance Sheet as receipts in advance. When conditions are satisfied, the grant or contribution is credited to the relevant service line (attributable revenue grants and contributions) or Taxation and Non-Specific Grant Income (non-ringfenced revenue grants and all capital grants) in the Comprehensive Income and Expenditure Statement.</w:t>
      </w:r>
    </w:p>
    <w:p w14:paraId="67311B30" w14:textId="77777777" w:rsidR="00655E4C" w:rsidRPr="0007572B" w:rsidRDefault="00655E4C" w:rsidP="006F1659">
      <w:pPr>
        <w:pStyle w:val="Normal0"/>
        <w:spacing w:line="360" w:lineRule="auto"/>
        <w:rPr>
          <w:rFonts w:ascii="Arial" w:hAnsi="Arial" w:cs="Arial"/>
          <w:bCs/>
          <w:sz w:val="24"/>
          <w:szCs w:val="24"/>
          <w:lang w:eastAsia="en-GB"/>
        </w:rPr>
      </w:pPr>
    </w:p>
    <w:p w14:paraId="61ECE211" w14:textId="546488F4" w:rsidR="00655E4C" w:rsidRPr="00636E1B" w:rsidRDefault="00655E4C" w:rsidP="006F1659">
      <w:pPr>
        <w:pStyle w:val="Heading5"/>
        <w:spacing w:line="360" w:lineRule="auto"/>
        <w:rPr>
          <w:lang w:eastAsia="en-GB"/>
        </w:rPr>
      </w:pPr>
      <w:r w:rsidRPr="00636E1B">
        <w:rPr>
          <w:lang w:eastAsia="en-GB"/>
        </w:rPr>
        <w:t>1.1</w:t>
      </w:r>
      <w:r w:rsidR="00E85440">
        <w:rPr>
          <w:lang w:eastAsia="en-GB"/>
        </w:rPr>
        <w:t>6</w:t>
      </w:r>
      <w:r w:rsidRPr="00636E1B">
        <w:rPr>
          <w:lang w:eastAsia="en-GB"/>
        </w:rPr>
        <w:t>.2. Capital Grants and Contributions</w:t>
      </w:r>
    </w:p>
    <w:p w14:paraId="57A99A04" w14:textId="77777777" w:rsidR="00655E4C" w:rsidRPr="00636E1B" w:rsidRDefault="00655E4C" w:rsidP="006F1659">
      <w:pPr>
        <w:pStyle w:val="Normal0"/>
        <w:spacing w:line="360" w:lineRule="auto"/>
        <w:rPr>
          <w:rFonts w:ascii="Arial" w:hAnsi="Arial" w:cs="Arial"/>
          <w:b/>
          <w:bCs/>
          <w:sz w:val="24"/>
          <w:szCs w:val="24"/>
          <w:lang w:eastAsia="en-GB"/>
        </w:rPr>
      </w:pPr>
    </w:p>
    <w:p w14:paraId="20865E40" w14:textId="77777777" w:rsidR="00655E4C" w:rsidRPr="00636E1B" w:rsidRDefault="00655E4C" w:rsidP="006F1659">
      <w:pPr>
        <w:pStyle w:val="Normal0"/>
        <w:spacing w:line="360" w:lineRule="auto"/>
        <w:rPr>
          <w:rFonts w:ascii="Arial" w:hAnsi="Arial" w:cs="Arial"/>
          <w:bCs/>
          <w:sz w:val="24"/>
          <w:szCs w:val="24"/>
          <w:lang w:eastAsia="en-GB"/>
        </w:rPr>
      </w:pPr>
      <w:r w:rsidRPr="00636E1B">
        <w:rPr>
          <w:rFonts w:ascii="Arial" w:hAnsi="Arial" w:cs="Arial"/>
          <w:bCs/>
          <w:sz w:val="24"/>
          <w:szCs w:val="24"/>
          <w:lang w:eastAsia="en-GB"/>
        </w:rPr>
        <w:t>Where conditions have been met, capital grants and contributions are credited to Taxation and Non-Specific Grant Income in the Comprehensive Income and Expenditure Statement. The balance of the grant or contribution that has not been used to finance expenditure is transferred to the Capital Grants Unapplied Account via the Movement in Reserves Statement. The amount of grant or contribution that has been used to finance expenditure is transferred to the Capital Adjustment Account via the Movement in Reserves Statement. Amounts in the Capital Grants Unapplied Account are transferred to the Capital Adjustment Account when they have been applied to fund capital expenditure.</w:t>
      </w:r>
    </w:p>
    <w:p w14:paraId="5DDA8C13" w14:textId="77777777" w:rsidR="00655E4C" w:rsidRPr="00EE5700" w:rsidRDefault="00655E4C" w:rsidP="006F1659">
      <w:pPr>
        <w:pStyle w:val="Normal0"/>
        <w:spacing w:line="360" w:lineRule="auto"/>
        <w:rPr>
          <w:rFonts w:ascii="Arial" w:hAnsi="Arial" w:cs="Arial"/>
          <w:bCs/>
          <w:sz w:val="24"/>
          <w:szCs w:val="24"/>
          <w:highlight w:val="yellow"/>
          <w:lang w:eastAsia="en-GB"/>
        </w:rPr>
      </w:pPr>
    </w:p>
    <w:p w14:paraId="243C920A" w14:textId="2FE6D434" w:rsidR="00655E4C" w:rsidRPr="0080779E" w:rsidRDefault="00655E4C" w:rsidP="006F1659">
      <w:pPr>
        <w:pStyle w:val="Heading5"/>
        <w:spacing w:line="360" w:lineRule="auto"/>
        <w:rPr>
          <w:lang w:eastAsia="en-GB"/>
        </w:rPr>
      </w:pPr>
      <w:r w:rsidRPr="0080779E">
        <w:rPr>
          <w:lang w:eastAsia="en-GB"/>
        </w:rPr>
        <w:t>1.1</w:t>
      </w:r>
      <w:r w:rsidR="00E85440">
        <w:rPr>
          <w:lang w:eastAsia="en-GB"/>
        </w:rPr>
        <w:t>6</w:t>
      </w:r>
      <w:r w:rsidRPr="0080779E">
        <w:rPr>
          <w:lang w:eastAsia="en-GB"/>
        </w:rPr>
        <w:t>.3. Grants and Contributions relating to Revenue Expenditure funded by Capital under Statute (REFCUS)</w:t>
      </w:r>
    </w:p>
    <w:p w14:paraId="42BB5B01" w14:textId="77777777" w:rsidR="00655E4C" w:rsidRPr="0080779E" w:rsidRDefault="00655E4C" w:rsidP="006F1659">
      <w:pPr>
        <w:pStyle w:val="Normal0"/>
        <w:spacing w:line="360" w:lineRule="auto"/>
        <w:rPr>
          <w:rFonts w:ascii="Arial" w:hAnsi="Arial" w:cs="Arial"/>
          <w:b/>
          <w:bCs/>
          <w:sz w:val="24"/>
          <w:szCs w:val="24"/>
          <w:lang w:eastAsia="en-GB"/>
        </w:rPr>
      </w:pPr>
    </w:p>
    <w:p w14:paraId="289F193F" w14:textId="6A46EBA1" w:rsidR="00655E4C" w:rsidRPr="0080779E" w:rsidRDefault="00655E4C" w:rsidP="006F1659">
      <w:pPr>
        <w:pStyle w:val="Normal0"/>
        <w:spacing w:line="360" w:lineRule="auto"/>
        <w:rPr>
          <w:rFonts w:ascii="Arial" w:hAnsi="Arial" w:cs="Arial"/>
          <w:bCs/>
          <w:sz w:val="24"/>
          <w:szCs w:val="24"/>
          <w:lang w:eastAsia="en-GB"/>
        </w:rPr>
      </w:pPr>
      <w:r w:rsidRPr="0080779E">
        <w:rPr>
          <w:rFonts w:ascii="Arial" w:hAnsi="Arial" w:cs="Arial"/>
          <w:bCs/>
          <w:sz w:val="24"/>
          <w:szCs w:val="24"/>
          <w:lang w:eastAsia="en-GB"/>
        </w:rPr>
        <w:t xml:space="preserve">Where conditions have been met, grants and contributions to fund expenditure not attributable to assets owned by the Authority (Revenue Expenditure Funded by Capital Under Statute) are credited to the non-specific income line within the Cost of Services. </w:t>
      </w:r>
      <w:r w:rsidRPr="0080779E">
        <w:rPr>
          <w:rFonts w:ascii="Arial" w:hAnsi="Arial" w:cs="Arial"/>
          <w:bCs/>
          <w:sz w:val="24"/>
          <w:szCs w:val="24"/>
          <w:lang w:eastAsia="en-GB"/>
        </w:rPr>
        <w:lastRenderedPageBreak/>
        <w:t xml:space="preserve">They are then transferred to the Capital Adjustment Account when the related expenditure has been incurred via the Movement in Reserves Statement. If the grant is not </w:t>
      </w:r>
      <w:r w:rsidR="00203B09" w:rsidRPr="0080779E">
        <w:rPr>
          <w:rFonts w:ascii="Arial" w:hAnsi="Arial" w:cs="Arial"/>
          <w:bCs/>
          <w:sz w:val="24"/>
          <w:szCs w:val="24"/>
          <w:lang w:eastAsia="en-GB"/>
        </w:rPr>
        <w:t>spent,</w:t>
      </w:r>
      <w:r w:rsidRPr="0080779E">
        <w:rPr>
          <w:rFonts w:ascii="Arial" w:hAnsi="Arial" w:cs="Arial"/>
          <w:bCs/>
          <w:sz w:val="24"/>
          <w:szCs w:val="24"/>
          <w:lang w:eastAsia="en-GB"/>
        </w:rPr>
        <w:t xml:space="preserve"> it goes to the Capital Grants Unapplied Reserve via the Movement in Reserves Statement. When spent, it is transferred from the Capital Grants Unapplied Reserve to the Capital Adjustment Account.</w:t>
      </w:r>
    </w:p>
    <w:p w14:paraId="79137EE2" w14:textId="7F059426" w:rsidR="00A506A6" w:rsidRDefault="00A506A6" w:rsidP="006F1659">
      <w:pPr>
        <w:spacing w:line="360" w:lineRule="auto"/>
        <w:rPr>
          <w:rFonts w:ascii="Arial" w:hAnsi="Arial" w:cs="Arial"/>
          <w:b/>
          <w:bCs/>
          <w:lang w:eastAsia="en-GB"/>
        </w:rPr>
      </w:pPr>
    </w:p>
    <w:p w14:paraId="3D984E0D" w14:textId="4567A762" w:rsidR="00655E4C" w:rsidRDefault="00655E4C" w:rsidP="006F1659">
      <w:pPr>
        <w:pStyle w:val="Heading4bold"/>
        <w:spacing w:line="360" w:lineRule="auto"/>
        <w:rPr>
          <w:lang w:eastAsia="en-GB"/>
        </w:rPr>
      </w:pPr>
      <w:r w:rsidRPr="0007572B">
        <w:rPr>
          <w:lang w:eastAsia="en-GB"/>
        </w:rPr>
        <w:t>1.1</w:t>
      </w:r>
      <w:r w:rsidR="00E85440">
        <w:rPr>
          <w:lang w:eastAsia="en-GB"/>
        </w:rPr>
        <w:t>7</w:t>
      </w:r>
      <w:r w:rsidRPr="0007572B">
        <w:rPr>
          <w:lang w:eastAsia="en-GB"/>
        </w:rPr>
        <w:t>. Local Taxation</w:t>
      </w:r>
    </w:p>
    <w:p w14:paraId="08671F62" w14:textId="77777777" w:rsidR="00B851EF" w:rsidRPr="0007572B" w:rsidRDefault="00B851EF" w:rsidP="00B851EF">
      <w:pPr>
        <w:pStyle w:val="Normal0"/>
        <w:spacing w:line="360" w:lineRule="auto"/>
        <w:rPr>
          <w:lang w:eastAsia="en-GB"/>
        </w:rPr>
      </w:pPr>
    </w:p>
    <w:p w14:paraId="16F722DD" w14:textId="348D21EF" w:rsidR="00655E4C" w:rsidRPr="0007572B" w:rsidRDefault="00655E4C" w:rsidP="006F1659">
      <w:pPr>
        <w:pStyle w:val="Heading5"/>
        <w:spacing w:line="360" w:lineRule="auto"/>
        <w:rPr>
          <w:lang w:eastAsia="en-GB"/>
        </w:rPr>
      </w:pPr>
      <w:r w:rsidRPr="0007572B">
        <w:rPr>
          <w:lang w:eastAsia="en-GB"/>
        </w:rPr>
        <w:t>1.1</w:t>
      </w:r>
      <w:r w:rsidR="00E85440">
        <w:rPr>
          <w:lang w:eastAsia="en-GB"/>
        </w:rPr>
        <w:t>7</w:t>
      </w:r>
      <w:r w:rsidRPr="0007572B">
        <w:rPr>
          <w:lang w:eastAsia="en-GB"/>
        </w:rPr>
        <w:t>.1. Council Tax</w:t>
      </w:r>
    </w:p>
    <w:p w14:paraId="22013F78" w14:textId="77777777" w:rsidR="00655E4C" w:rsidRPr="0007572B" w:rsidRDefault="00655E4C" w:rsidP="006F1659">
      <w:pPr>
        <w:pStyle w:val="Normal0"/>
        <w:spacing w:line="360" w:lineRule="auto"/>
        <w:rPr>
          <w:rFonts w:ascii="Arial" w:hAnsi="Arial" w:cs="Arial"/>
          <w:b/>
          <w:bCs/>
          <w:sz w:val="24"/>
          <w:szCs w:val="24"/>
          <w:lang w:eastAsia="en-GB"/>
        </w:rPr>
      </w:pPr>
    </w:p>
    <w:p w14:paraId="24ECA780"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Following the abolishment of GM Fire and Rescue Authority and GM Office for the Police and Crime Commissioner, the Mayor now collects funds via the Mayoral General Fund and the Mayoral Police Fund respectively.</w:t>
      </w:r>
    </w:p>
    <w:p w14:paraId="25E2A93A" w14:textId="77777777" w:rsidR="00655E4C" w:rsidRPr="0007572B" w:rsidRDefault="00655E4C" w:rsidP="006F1659">
      <w:pPr>
        <w:pStyle w:val="Normal0"/>
        <w:spacing w:line="360" w:lineRule="auto"/>
        <w:rPr>
          <w:rFonts w:ascii="Arial" w:hAnsi="Arial" w:cs="Arial"/>
          <w:bCs/>
          <w:sz w:val="24"/>
          <w:szCs w:val="24"/>
          <w:lang w:eastAsia="en-GB"/>
        </w:rPr>
      </w:pPr>
    </w:p>
    <w:p w14:paraId="0382D3BE" w14:textId="255BA4AB"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In their capacity as billing authorities </w:t>
      </w:r>
      <w:r w:rsidRPr="00D10D8D">
        <w:rPr>
          <w:rFonts w:ascii="Arial" w:hAnsi="Arial" w:cs="Arial"/>
          <w:bCs/>
          <w:sz w:val="24"/>
          <w:szCs w:val="24"/>
          <w:lang w:eastAsia="en-GB"/>
        </w:rPr>
        <w:t xml:space="preserve">the </w:t>
      </w:r>
      <w:r w:rsidR="00336C9F" w:rsidRPr="00D10D8D">
        <w:rPr>
          <w:rFonts w:ascii="Arial" w:hAnsi="Arial" w:cs="Arial"/>
          <w:bCs/>
          <w:sz w:val="24"/>
          <w:szCs w:val="24"/>
          <w:lang w:eastAsia="en-GB"/>
        </w:rPr>
        <w:t>ten</w:t>
      </w:r>
      <w:r w:rsidRPr="0007572B">
        <w:rPr>
          <w:rFonts w:ascii="Arial" w:hAnsi="Arial" w:cs="Arial"/>
          <w:bCs/>
          <w:sz w:val="24"/>
          <w:szCs w:val="24"/>
          <w:lang w:eastAsia="en-GB"/>
        </w:rPr>
        <w:t xml:space="preserve"> GM Authorities act as agents: they collect and distribute council tax income on behalf of the major preceptors and themselves. The cash collected by the billing authorities from council tax debtors belongs proportionately to the billing authorities and the major preceptors. There will therefore be a debtor/creditor position between the billing authorities and GMCA to be recognised since the net cash paid to GMCA in the year will not be its share of cash collected from council taxpayers. </w:t>
      </w:r>
    </w:p>
    <w:p w14:paraId="4D01BFF1" w14:textId="77777777" w:rsidR="00655E4C" w:rsidRPr="0007572B" w:rsidRDefault="00655E4C" w:rsidP="006F1659">
      <w:pPr>
        <w:pStyle w:val="Normal0"/>
        <w:spacing w:line="360" w:lineRule="auto"/>
        <w:rPr>
          <w:rFonts w:ascii="Arial" w:hAnsi="Arial" w:cs="Arial"/>
          <w:bCs/>
          <w:sz w:val="24"/>
          <w:szCs w:val="24"/>
          <w:lang w:eastAsia="en-GB"/>
        </w:rPr>
      </w:pPr>
    </w:p>
    <w:p w14:paraId="572D68ED" w14:textId="47C8FB9A" w:rsidR="00655E4C" w:rsidRPr="0007572B" w:rsidRDefault="00655E4C" w:rsidP="006F1659">
      <w:pPr>
        <w:pStyle w:val="Heading5"/>
        <w:spacing w:line="360" w:lineRule="auto"/>
        <w:rPr>
          <w:lang w:eastAsia="en-GB"/>
        </w:rPr>
      </w:pPr>
      <w:r w:rsidRPr="0007572B">
        <w:rPr>
          <w:lang w:eastAsia="en-GB"/>
        </w:rPr>
        <w:t>1.1</w:t>
      </w:r>
      <w:r w:rsidR="00E85440">
        <w:rPr>
          <w:lang w:eastAsia="en-GB"/>
        </w:rPr>
        <w:t>7</w:t>
      </w:r>
      <w:r w:rsidRPr="0007572B">
        <w:rPr>
          <w:lang w:eastAsia="en-GB"/>
        </w:rPr>
        <w:t xml:space="preserve">.2. </w:t>
      </w:r>
      <w:r>
        <w:rPr>
          <w:lang w:eastAsia="en-GB"/>
        </w:rPr>
        <w:t>Business Rates</w:t>
      </w:r>
    </w:p>
    <w:p w14:paraId="041F26EA" w14:textId="77777777" w:rsidR="00655E4C" w:rsidRPr="0007572B" w:rsidRDefault="00655E4C" w:rsidP="006F1659">
      <w:pPr>
        <w:pStyle w:val="Normal0"/>
        <w:spacing w:line="360" w:lineRule="auto"/>
        <w:rPr>
          <w:rFonts w:ascii="Arial" w:hAnsi="Arial" w:cs="Arial"/>
          <w:b/>
          <w:bCs/>
          <w:sz w:val="24"/>
          <w:szCs w:val="24"/>
          <w:lang w:eastAsia="en-GB"/>
        </w:rPr>
      </w:pPr>
    </w:p>
    <w:p w14:paraId="3A24982E" w14:textId="046927BA"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From 1 April 2013 the </w:t>
      </w:r>
      <w:r w:rsidR="00336C9F">
        <w:rPr>
          <w:rFonts w:ascii="Arial" w:hAnsi="Arial" w:cs="Arial"/>
          <w:bCs/>
          <w:sz w:val="24"/>
          <w:szCs w:val="24"/>
          <w:lang w:eastAsia="en-GB"/>
        </w:rPr>
        <w:t>ten</w:t>
      </w:r>
      <w:r w:rsidRPr="0007572B">
        <w:rPr>
          <w:rFonts w:ascii="Arial" w:hAnsi="Arial" w:cs="Arial"/>
          <w:bCs/>
          <w:sz w:val="24"/>
          <w:szCs w:val="24"/>
          <w:lang w:eastAsia="en-GB"/>
        </w:rPr>
        <w:t xml:space="preserve"> GM Authorities as billing authorities of Greater Manchester have acted as agents; they have collected </w:t>
      </w:r>
      <w:r>
        <w:rPr>
          <w:rFonts w:ascii="Arial" w:hAnsi="Arial" w:cs="Arial"/>
          <w:bCs/>
          <w:sz w:val="24"/>
          <w:szCs w:val="24"/>
          <w:lang w:eastAsia="en-GB"/>
        </w:rPr>
        <w:t>business rates</w:t>
      </w:r>
      <w:r w:rsidRPr="0007572B">
        <w:rPr>
          <w:rFonts w:ascii="Arial" w:hAnsi="Arial" w:cs="Arial"/>
          <w:bCs/>
          <w:sz w:val="24"/>
          <w:szCs w:val="24"/>
          <w:lang w:eastAsia="en-GB"/>
        </w:rPr>
        <w:t xml:space="preserve"> income on behalf of Central Government, the GMCA and themselves.</w:t>
      </w:r>
    </w:p>
    <w:p w14:paraId="28EEE6E4" w14:textId="77777777" w:rsidR="00655E4C" w:rsidRPr="0007572B" w:rsidRDefault="00655E4C" w:rsidP="006F1659">
      <w:pPr>
        <w:pStyle w:val="Normal0"/>
        <w:spacing w:line="360" w:lineRule="auto"/>
        <w:rPr>
          <w:rFonts w:ascii="Arial" w:hAnsi="Arial" w:cs="Arial"/>
          <w:bCs/>
          <w:sz w:val="24"/>
          <w:szCs w:val="24"/>
          <w:lang w:eastAsia="en-GB"/>
        </w:rPr>
      </w:pPr>
    </w:p>
    <w:p w14:paraId="701C8BEC"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The </w:t>
      </w:r>
      <w:r>
        <w:rPr>
          <w:rFonts w:ascii="Arial" w:hAnsi="Arial" w:cs="Arial"/>
          <w:bCs/>
          <w:sz w:val="24"/>
          <w:szCs w:val="24"/>
          <w:lang w:eastAsia="en-GB"/>
        </w:rPr>
        <w:t>business rates</w:t>
      </w:r>
      <w:r w:rsidRPr="0007572B">
        <w:rPr>
          <w:rFonts w:ascii="Arial" w:hAnsi="Arial" w:cs="Arial"/>
          <w:bCs/>
          <w:sz w:val="24"/>
          <w:szCs w:val="24"/>
          <w:lang w:eastAsia="en-GB"/>
        </w:rPr>
        <w:t xml:space="preserve"> income distributed to each of the parties is the amount after deducting an allowance for the GM Authorities’ cost of collection. The </w:t>
      </w:r>
      <w:r>
        <w:rPr>
          <w:rFonts w:ascii="Arial" w:hAnsi="Arial" w:cs="Arial"/>
          <w:bCs/>
          <w:sz w:val="24"/>
          <w:szCs w:val="24"/>
          <w:lang w:eastAsia="en-GB"/>
        </w:rPr>
        <w:t>business rates</w:t>
      </w:r>
      <w:r w:rsidRPr="0007572B">
        <w:rPr>
          <w:rFonts w:ascii="Arial" w:hAnsi="Arial" w:cs="Arial"/>
          <w:bCs/>
          <w:sz w:val="24"/>
          <w:szCs w:val="24"/>
          <w:lang w:eastAsia="en-GB"/>
        </w:rPr>
        <w:t xml:space="preserve"> cash collected by the billing authorities through the national scheme belongs proportionately to Central Government, the GM Authorities and GMCA; there will therefore be a debtor/creditor position between these parties to be recognised since the </w:t>
      </w:r>
      <w:r w:rsidRPr="0007572B">
        <w:rPr>
          <w:rFonts w:ascii="Arial" w:hAnsi="Arial" w:cs="Arial"/>
          <w:bCs/>
          <w:sz w:val="24"/>
          <w:szCs w:val="24"/>
          <w:lang w:eastAsia="en-GB"/>
        </w:rPr>
        <w:lastRenderedPageBreak/>
        <w:t>net cash paid in the year to each party will not be their share of the cash collected from business ratepayers.</w:t>
      </w:r>
    </w:p>
    <w:p w14:paraId="1230C76F" w14:textId="77777777" w:rsidR="00655E4C" w:rsidRPr="0007572B" w:rsidRDefault="00655E4C" w:rsidP="006F1659">
      <w:pPr>
        <w:pStyle w:val="Normal0"/>
        <w:spacing w:line="360" w:lineRule="auto"/>
        <w:rPr>
          <w:rFonts w:ascii="Arial" w:hAnsi="Arial" w:cs="Arial"/>
          <w:bCs/>
          <w:sz w:val="24"/>
          <w:szCs w:val="24"/>
          <w:lang w:eastAsia="en-GB"/>
        </w:rPr>
      </w:pPr>
    </w:p>
    <w:p w14:paraId="745FB9F9" w14:textId="7AC9EC87" w:rsidR="00655E4C" w:rsidRPr="0007572B" w:rsidRDefault="00655E4C" w:rsidP="006F1659">
      <w:pPr>
        <w:pStyle w:val="Normal0"/>
        <w:spacing w:line="360" w:lineRule="auto"/>
        <w:rPr>
          <w:rFonts w:ascii="Arial" w:hAnsi="Arial" w:cs="Arial"/>
          <w:bCs/>
          <w:sz w:val="24"/>
          <w:szCs w:val="24"/>
          <w:lang w:eastAsia="en-GB"/>
        </w:rPr>
      </w:pPr>
      <w:bookmarkStart w:id="84" w:name="_Hlk139277163"/>
      <w:r w:rsidRPr="00A12B8B">
        <w:rPr>
          <w:rFonts w:ascii="Arial" w:hAnsi="Arial" w:cs="Arial"/>
          <w:bCs/>
          <w:sz w:val="24"/>
          <w:szCs w:val="24"/>
          <w:lang w:eastAsia="en-GB"/>
        </w:rPr>
        <w:t xml:space="preserve">In </w:t>
      </w:r>
      <w:r w:rsidR="00D1125B" w:rsidRPr="00A12B8B">
        <w:rPr>
          <w:rFonts w:ascii="Arial" w:hAnsi="Arial" w:cs="Arial"/>
          <w:bCs/>
          <w:sz w:val="24"/>
          <w:szCs w:val="24"/>
          <w:lang w:eastAsia="en-GB"/>
        </w:rPr>
        <w:t>2023/24</w:t>
      </w:r>
      <w:r w:rsidRPr="00A12B8B">
        <w:rPr>
          <w:rFonts w:ascii="Arial" w:hAnsi="Arial" w:cs="Arial"/>
          <w:bCs/>
          <w:sz w:val="24"/>
          <w:szCs w:val="24"/>
          <w:lang w:eastAsia="en-GB"/>
        </w:rPr>
        <w:t xml:space="preserve"> </w:t>
      </w:r>
      <w:r w:rsidR="00336C9F" w:rsidRPr="00A12B8B">
        <w:rPr>
          <w:rFonts w:ascii="Arial" w:hAnsi="Arial" w:cs="Arial"/>
          <w:bCs/>
          <w:sz w:val="24"/>
          <w:szCs w:val="24"/>
          <w:lang w:eastAsia="en-GB"/>
        </w:rPr>
        <w:t>GM</w:t>
      </w:r>
      <w:r w:rsidRPr="00A12B8B">
        <w:rPr>
          <w:rFonts w:ascii="Arial" w:hAnsi="Arial" w:cs="Arial"/>
          <w:bCs/>
          <w:sz w:val="24"/>
          <w:szCs w:val="24"/>
          <w:lang w:eastAsia="en-GB"/>
        </w:rPr>
        <w:t xml:space="preserve"> continues to be a pilot area for the 100% Business Rates Retention Scheme</w:t>
      </w:r>
      <w:r w:rsidR="00A12B8B" w:rsidRPr="00A12B8B">
        <w:rPr>
          <w:rFonts w:ascii="Arial" w:hAnsi="Arial" w:cs="Arial"/>
          <w:bCs/>
          <w:sz w:val="24"/>
          <w:szCs w:val="24"/>
          <w:lang w:eastAsia="en-GB"/>
        </w:rPr>
        <w:t>.</w:t>
      </w:r>
    </w:p>
    <w:bookmarkEnd w:id="84"/>
    <w:p w14:paraId="176E7EB2" w14:textId="77777777" w:rsidR="00655E4C" w:rsidRPr="0007572B" w:rsidRDefault="00655E4C" w:rsidP="006F1659">
      <w:pPr>
        <w:pStyle w:val="Normal0"/>
        <w:spacing w:line="360" w:lineRule="auto"/>
        <w:rPr>
          <w:rFonts w:ascii="Arial" w:hAnsi="Arial" w:cs="Arial"/>
          <w:bCs/>
          <w:sz w:val="24"/>
          <w:szCs w:val="24"/>
          <w:lang w:eastAsia="en-GB"/>
        </w:rPr>
      </w:pPr>
    </w:p>
    <w:p w14:paraId="04FF223F" w14:textId="3B451CEC"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For both council tax and </w:t>
      </w:r>
      <w:r>
        <w:rPr>
          <w:rFonts w:ascii="Arial" w:hAnsi="Arial" w:cs="Arial"/>
          <w:bCs/>
          <w:sz w:val="24"/>
          <w:szCs w:val="24"/>
          <w:lang w:eastAsia="en-GB"/>
        </w:rPr>
        <w:t>business rates</w:t>
      </w:r>
      <w:r w:rsidRPr="0007572B">
        <w:rPr>
          <w:rFonts w:ascii="Arial" w:hAnsi="Arial" w:cs="Arial"/>
          <w:bCs/>
          <w:sz w:val="24"/>
          <w:szCs w:val="24"/>
          <w:lang w:eastAsia="en-GB"/>
        </w:rPr>
        <w:t xml:space="preserve">, the income reflected in the CIES in </w:t>
      </w:r>
      <w:r w:rsidR="00D1125B">
        <w:rPr>
          <w:rFonts w:ascii="Arial" w:hAnsi="Arial" w:cs="Arial"/>
          <w:bCs/>
          <w:sz w:val="24"/>
          <w:szCs w:val="24"/>
          <w:lang w:eastAsia="en-GB"/>
        </w:rPr>
        <w:t>2023/24</w:t>
      </w:r>
      <w:r w:rsidRPr="0007572B">
        <w:rPr>
          <w:rFonts w:ascii="Arial" w:hAnsi="Arial" w:cs="Arial"/>
          <w:bCs/>
          <w:sz w:val="24"/>
          <w:szCs w:val="24"/>
          <w:lang w:eastAsia="en-GB"/>
        </w:rPr>
        <w:t xml:space="preserve"> is the GMCA’s share of the income relating to that year. However, the amount of council tax / </w:t>
      </w:r>
      <w:r>
        <w:rPr>
          <w:rFonts w:ascii="Arial" w:hAnsi="Arial" w:cs="Arial"/>
          <w:bCs/>
          <w:sz w:val="24"/>
          <w:szCs w:val="24"/>
          <w:lang w:eastAsia="en-GB"/>
        </w:rPr>
        <w:t>business rates</w:t>
      </w:r>
      <w:r w:rsidRPr="0007572B">
        <w:rPr>
          <w:rFonts w:ascii="Arial" w:hAnsi="Arial" w:cs="Arial"/>
          <w:bCs/>
          <w:sz w:val="24"/>
          <w:szCs w:val="24"/>
          <w:lang w:eastAsia="en-GB"/>
        </w:rPr>
        <w:t xml:space="preserve"> income that can be credited to the General Fund for the year is determined by statute and may be different from the accrued income position shown in the CIES. An adjustment is made via the Movement in Reserves Statement for the difference between the income due under proper accounting practice and the income per statute.</w:t>
      </w:r>
    </w:p>
    <w:p w14:paraId="4AD18B79" w14:textId="77777777" w:rsidR="00655E4C" w:rsidRPr="0007572B" w:rsidRDefault="00655E4C" w:rsidP="006F1659">
      <w:pPr>
        <w:pStyle w:val="Normal0"/>
        <w:spacing w:line="360" w:lineRule="auto"/>
        <w:rPr>
          <w:rFonts w:ascii="Arial" w:hAnsi="Arial" w:cs="Arial"/>
          <w:b/>
          <w:bCs/>
          <w:sz w:val="24"/>
          <w:szCs w:val="24"/>
          <w:lang w:eastAsia="en-GB"/>
        </w:rPr>
      </w:pPr>
    </w:p>
    <w:p w14:paraId="63E090D3" w14:textId="31BBEFBA" w:rsidR="00655E4C" w:rsidRPr="00EB1AAB" w:rsidRDefault="00655E4C" w:rsidP="006F1659">
      <w:pPr>
        <w:pStyle w:val="Heading4bold"/>
        <w:spacing w:line="360" w:lineRule="auto"/>
        <w:rPr>
          <w:lang w:eastAsia="en-GB"/>
        </w:rPr>
      </w:pPr>
      <w:r w:rsidRPr="00EB1AAB">
        <w:rPr>
          <w:lang w:eastAsia="en-GB"/>
        </w:rPr>
        <w:t>1.1</w:t>
      </w:r>
      <w:r w:rsidR="00E85440">
        <w:rPr>
          <w:lang w:eastAsia="en-GB"/>
        </w:rPr>
        <w:t>8</w:t>
      </w:r>
      <w:r w:rsidRPr="00EB1AAB">
        <w:rPr>
          <w:lang w:eastAsia="en-GB"/>
        </w:rPr>
        <w:t>. Financial Assets</w:t>
      </w:r>
    </w:p>
    <w:p w14:paraId="3920CFC3" w14:textId="77777777" w:rsidR="00655E4C" w:rsidRPr="00EB1AAB" w:rsidRDefault="00655E4C" w:rsidP="006F1659">
      <w:pPr>
        <w:spacing w:line="360" w:lineRule="auto"/>
        <w:ind w:right="54"/>
        <w:rPr>
          <w:rFonts w:ascii="Arial" w:eastAsia="Arial" w:hAnsi="Arial" w:cs="Arial"/>
        </w:rPr>
      </w:pPr>
      <w:r w:rsidRPr="00EB1AAB">
        <w:rPr>
          <w:rFonts w:ascii="Arial" w:eastAsia="Arial" w:hAnsi="Arial" w:cs="Arial"/>
          <w:spacing w:val="-1"/>
        </w:rPr>
        <w:t>F</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3"/>
        </w:rPr>
        <w:t xml:space="preserve"> </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rPr>
        <w:t>ets</w:t>
      </w:r>
      <w:r w:rsidRPr="00EB1AAB">
        <w:rPr>
          <w:rFonts w:ascii="Arial" w:eastAsia="Arial" w:hAnsi="Arial" w:cs="Arial"/>
          <w:spacing w:val="9"/>
        </w:rPr>
        <w:t xml:space="preserve"> </w:t>
      </w:r>
      <w:r w:rsidRPr="00EB1AAB">
        <w:rPr>
          <w:rFonts w:ascii="Arial" w:eastAsia="Arial" w:hAnsi="Arial" w:cs="Arial"/>
          <w:spacing w:val="-2"/>
        </w:rPr>
        <w:t>such as</w:t>
      </w:r>
      <w:r w:rsidRPr="00EB1AAB">
        <w:rPr>
          <w:rFonts w:ascii="Arial" w:eastAsia="Arial" w:hAnsi="Arial" w:cs="Arial"/>
          <w:spacing w:val="7"/>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2"/>
        </w:rPr>
        <w:t>v</w:t>
      </w:r>
      <w:r w:rsidRPr="00EB1AAB">
        <w:rPr>
          <w:rFonts w:ascii="Arial" w:eastAsia="Arial" w:hAnsi="Arial" w:cs="Arial"/>
        </w:rPr>
        <w:t>e</w:t>
      </w:r>
      <w:r w:rsidRPr="00EB1AAB">
        <w:rPr>
          <w:rFonts w:ascii="Arial" w:eastAsia="Arial" w:hAnsi="Arial" w:cs="Arial"/>
          <w:spacing w:val="-2"/>
        </w:rPr>
        <w:t>s</w:t>
      </w:r>
      <w:r w:rsidRPr="00EB1AAB">
        <w:rPr>
          <w:rFonts w:ascii="Arial" w:eastAsia="Arial" w:hAnsi="Arial" w:cs="Arial"/>
          <w:spacing w:val="2"/>
        </w:rPr>
        <w:t>t</w:t>
      </w:r>
      <w:r w:rsidRPr="00EB1AAB">
        <w:rPr>
          <w:rFonts w:ascii="Arial" w:eastAsia="Arial" w:hAnsi="Arial" w:cs="Arial"/>
        </w:rPr>
        <w:t>m</w:t>
      </w:r>
      <w:r w:rsidRPr="00EB1AAB">
        <w:rPr>
          <w:rFonts w:ascii="Arial" w:eastAsia="Arial" w:hAnsi="Arial" w:cs="Arial"/>
          <w:spacing w:val="2"/>
        </w:rPr>
        <w:t>e</w:t>
      </w:r>
      <w:r w:rsidRPr="00EB1AAB">
        <w:rPr>
          <w:rFonts w:ascii="Arial" w:eastAsia="Arial" w:hAnsi="Arial" w:cs="Arial"/>
        </w:rPr>
        <w:t>nts</w:t>
      </w:r>
      <w:r w:rsidRPr="00EB1AAB">
        <w:rPr>
          <w:rFonts w:ascii="Arial" w:eastAsia="Arial" w:hAnsi="Arial" w:cs="Arial"/>
          <w:spacing w:val="14"/>
        </w:rPr>
        <w:t xml:space="preserve"> </w:t>
      </w:r>
      <w:r w:rsidRPr="00EB1AAB">
        <w:rPr>
          <w:rFonts w:ascii="Arial" w:eastAsia="Arial" w:hAnsi="Arial" w:cs="Arial"/>
          <w:spacing w:val="-1"/>
        </w:rPr>
        <w:t>(</w:t>
      </w:r>
      <w:r w:rsidRPr="00EB1AAB">
        <w:rPr>
          <w:rFonts w:ascii="Arial" w:eastAsia="Arial" w:hAnsi="Arial" w:cs="Arial"/>
          <w:spacing w:val="-2"/>
        </w:rPr>
        <w:t>e</w:t>
      </w:r>
      <w:r w:rsidRPr="00EB1AAB">
        <w:rPr>
          <w:rFonts w:ascii="Arial" w:eastAsia="Arial" w:hAnsi="Arial" w:cs="Arial"/>
          <w:spacing w:val="1"/>
        </w:rPr>
        <w:t>xcl</w:t>
      </w:r>
      <w:r w:rsidRPr="00EB1AAB">
        <w:rPr>
          <w:rFonts w:ascii="Arial" w:eastAsia="Arial" w:hAnsi="Arial" w:cs="Arial"/>
          <w:spacing w:val="2"/>
        </w:rPr>
        <w:t>u</w:t>
      </w:r>
      <w:r w:rsidRPr="00EB1AAB">
        <w:rPr>
          <w:rFonts w:ascii="Arial" w:eastAsia="Arial" w:hAnsi="Arial" w:cs="Arial"/>
          <w:spacing w:val="-3"/>
        </w:rPr>
        <w:t>d</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g</w:t>
      </w:r>
      <w:r w:rsidRPr="00EB1AAB">
        <w:rPr>
          <w:rFonts w:ascii="Arial" w:eastAsia="Arial" w:hAnsi="Arial" w:cs="Arial"/>
          <w:spacing w:val="13"/>
        </w:rPr>
        <w:t xml:space="preserve"> </w:t>
      </w:r>
      <w:r w:rsidRPr="00EB1AAB">
        <w:rPr>
          <w:rFonts w:ascii="Arial" w:eastAsia="Arial" w:hAnsi="Arial" w:cs="Arial"/>
        </w:rPr>
        <w:t>th</w:t>
      </w:r>
      <w:r w:rsidRPr="00EB1AAB">
        <w:rPr>
          <w:rFonts w:ascii="Arial" w:eastAsia="Arial" w:hAnsi="Arial" w:cs="Arial"/>
          <w:spacing w:val="-3"/>
        </w:rPr>
        <w:t>o</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3"/>
        </w:rPr>
        <w:t xml:space="preserve"> </w:t>
      </w:r>
      <w:r w:rsidRPr="00EB1AAB">
        <w:rPr>
          <w:rFonts w:ascii="Arial" w:eastAsia="Arial" w:hAnsi="Arial" w:cs="Arial"/>
          <w:spacing w:val="-1"/>
        </w:rPr>
        <w:t>c</w:t>
      </w:r>
      <w:r w:rsidRPr="00EB1AAB">
        <w:rPr>
          <w:rFonts w:ascii="Arial" w:eastAsia="Arial" w:hAnsi="Arial" w:cs="Arial"/>
        </w:rPr>
        <w:t>o</w:t>
      </w:r>
      <w:r w:rsidRPr="00EB1AAB">
        <w:rPr>
          <w:rFonts w:ascii="Arial" w:eastAsia="Arial" w:hAnsi="Arial" w:cs="Arial"/>
          <w:spacing w:val="2"/>
        </w:rPr>
        <w:t>m</w:t>
      </w:r>
      <w:r w:rsidRPr="00EB1AAB">
        <w:rPr>
          <w:rFonts w:ascii="Arial" w:eastAsia="Arial" w:hAnsi="Arial" w:cs="Arial"/>
          <w:spacing w:val="-3"/>
        </w:rPr>
        <w:t>p</w:t>
      </w:r>
      <w:r w:rsidRPr="00EB1AAB">
        <w:rPr>
          <w:rFonts w:ascii="Arial" w:eastAsia="Arial" w:hAnsi="Arial" w:cs="Arial"/>
          <w:spacing w:val="2"/>
        </w:rPr>
        <w:t>a</w:t>
      </w:r>
      <w:r w:rsidRPr="00EB1AAB">
        <w:rPr>
          <w:rFonts w:ascii="Arial" w:eastAsia="Arial" w:hAnsi="Arial" w:cs="Arial"/>
          <w:spacing w:val="-3"/>
        </w:rPr>
        <w:t>n</w:t>
      </w:r>
      <w:r w:rsidRPr="00EB1AAB">
        <w:rPr>
          <w:rFonts w:ascii="Arial" w:eastAsia="Arial" w:hAnsi="Arial" w:cs="Arial"/>
          <w:spacing w:val="3"/>
        </w:rPr>
        <w:t>i</w:t>
      </w:r>
      <w:r w:rsidRPr="00EB1AAB">
        <w:rPr>
          <w:rFonts w:ascii="Arial" w:eastAsia="Arial" w:hAnsi="Arial" w:cs="Arial"/>
          <w:spacing w:val="-2"/>
        </w:rPr>
        <w:t>e</w:t>
      </w:r>
      <w:r w:rsidRPr="00EB1AAB">
        <w:rPr>
          <w:rFonts w:ascii="Arial" w:eastAsia="Arial" w:hAnsi="Arial" w:cs="Arial"/>
        </w:rPr>
        <w:t>s</w:t>
      </w:r>
      <w:r w:rsidRPr="00EB1AAB">
        <w:rPr>
          <w:rFonts w:ascii="Arial" w:eastAsia="Arial" w:hAnsi="Arial" w:cs="Arial"/>
          <w:spacing w:val="13"/>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cl</w:t>
      </w:r>
      <w:r w:rsidRPr="00EB1AAB">
        <w:rPr>
          <w:rFonts w:ascii="Arial" w:eastAsia="Arial" w:hAnsi="Arial" w:cs="Arial"/>
        </w:rPr>
        <w:t>u</w:t>
      </w:r>
      <w:r w:rsidRPr="00EB1AAB">
        <w:rPr>
          <w:rFonts w:ascii="Arial" w:eastAsia="Arial" w:hAnsi="Arial" w:cs="Arial"/>
          <w:spacing w:val="-3"/>
        </w:rPr>
        <w:t>d</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7"/>
        </w:rPr>
        <w:t xml:space="preserve"> </w:t>
      </w:r>
      <w:r w:rsidRPr="00EB1AAB">
        <w:rPr>
          <w:rFonts w:ascii="Arial" w:eastAsia="Arial" w:hAnsi="Arial" w:cs="Arial"/>
          <w:spacing w:val="4"/>
        </w:rPr>
        <w:t>i</w:t>
      </w:r>
      <w:r w:rsidRPr="00EB1AAB">
        <w:rPr>
          <w:rFonts w:ascii="Arial" w:eastAsia="Arial" w:hAnsi="Arial" w:cs="Arial"/>
        </w:rPr>
        <w:t>n</w:t>
      </w:r>
      <w:r w:rsidRPr="00EB1AAB">
        <w:rPr>
          <w:rFonts w:ascii="Arial" w:eastAsia="Arial" w:hAnsi="Arial" w:cs="Arial"/>
          <w:spacing w:val="3"/>
        </w:rPr>
        <w:t xml:space="preserve"> </w:t>
      </w:r>
      <w:r w:rsidRPr="00EB1AAB">
        <w:rPr>
          <w:rFonts w:ascii="Arial" w:eastAsia="Arial" w:hAnsi="Arial" w:cs="Arial"/>
          <w:w w:val="101"/>
        </w:rPr>
        <w:t>t</w:t>
      </w:r>
      <w:r w:rsidRPr="00EB1AAB">
        <w:rPr>
          <w:rFonts w:ascii="Arial" w:eastAsia="Arial" w:hAnsi="Arial" w:cs="Arial"/>
          <w:spacing w:val="-2"/>
          <w:w w:val="101"/>
        </w:rPr>
        <w:t>h</w:t>
      </w:r>
      <w:r w:rsidRPr="00EB1AAB">
        <w:rPr>
          <w:rFonts w:ascii="Arial" w:eastAsia="Arial" w:hAnsi="Arial" w:cs="Arial"/>
          <w:w w:val="101"/>
        </w:rPr>
        <w:t xml:space="preserve">e </w:t>
      </w:r>
      <w:r w:rsidRPr="00EB1AAB">
        <w:rPr>
          <w:rFonts w:ascii="Arial" w:eastAsia="Arial" w:hAnsi="Arial" w:cs="Arial"/>
        </w:rPr>
        <w:t>Authority</w:t>
      </w:r>
      <w:r w:rsidRPr="00EB1AAB">
        <w:rPr>
          <w:rFonts w:ascii="Arial" w:eastAsia="Arial" w:hAnsi="Arial" w:cs="Arial"/>
          <w:spacing w:val="3"/>
        </w:rPr>
        <w:t>’</w:t>
      </w:r>
      <w:r w:rsidRPr="00EB1AAB">
        <w:rPr>
          <w:rFonts w:ascii="Arial" w:eastAsia="Arial" w:hAnsi="Arial" w:cs="Arial"/>
        </w:rPr>
        <w:t>s</w:t>
      </w:r>
      <w:r w:rsidRPr="00EB1AAB">
        <w:rPr>
          <w:rFonts w:ascii="Arial" w:eastAsia="Arial" w:hAnsi="Arial" w:cs="Arial"/>
          <w:spacing w:val="9"/>
        </w:rPr>
        <w:t xml:space="preserve"> </w:t>
      </w:r>
      <w:r w:rsidRPr="00EB1AAB">
        <w:rPr>
          <w:rFonts w:ascii="Arial" w:eastAsia="Arial" w:hAnsi="Arial" w:cs="Arial"/>
        </w:rPr>
        <w:t>g</w:t>
      </w:r>
      <w:r w:rsidRPr="00EB1AAB">
        <w:rPr>
          <w:rFonts w:ascii="Arial" w:eastAsia="Arial" w:hAnsi="Arial" w:cs="Arial"/>
          <w:spacing w:val="-1"/>
        </w:rPr>
        <w:t>r</w:t>
      </w:r>
      <w:r w:rsidRPr="00EB1AAB">
        <w:rPr>
          <w:rFonts w:ascii="Arial" w:eastAsia="Arial" w:hAnsi="Arial" w:cs="Arial"/>
        </w:rPr>
        <w:t>o</w:t>
      </w:r>
      <w:r w:rsidRPr="00EB1AAB">
        <w:rPr>
          <w:rFonts w:ascii="Arial" w:eastAsia="Arial" w:hAnsi="Arial" w:cs="Arial"/>
          <w:spacing w:val="-3"/>
        </w:rPr>
        <w:t>u</w:t>
      </w:r>
      <w:r w:rsidRPr="00EB1AAB">
        <w:rPr>
          <w:rFonts w:ascii="Arial" w:eastAsia="Arial" w:hAnsi="Arial" w:cs="Arial"/>
        </w:rPr>
        <w:t>p</w:t>
      </w:r>
      <w:r w:rsidRPr="00EB1AAB">
        <w:rPr>
          <w:rFonts w:ascii="Arial" w:eastAsia="Arial" w:hAnsi="Arial" w:cs="Arial"/>
          <w:spacing w:val="9"/>
        </w:rPr>
        <w:t xml:space="preserve"> </w:t>
      </w:r>
      <w:r w:rsidRPr="00EB1AAB">
        <w:rPr>
          <w:rFonts w:ascii="Arial" w:eastAsia="Arial" w:hAnsi="Arial" w:cs="Arial"/>
          <w:spacing w:val="-3"/>
        </w:rPr>
        <w:t>a</w:t>
      </w:r>
      <w:r w:rsidRPr="00EB1AAB">
        <w:rPr>
          <w:rFonts w:ascii="Arial" w:eastAsia="Arial" w:hAnsi="Arial" w:cs="Arial"/>
          <w:spacing w:val="1"/>
        </w:rPr>
        <w:t>cc</w:t>
      </w:r>
      <w:r w:rsidRPr="00EB1AAB">
        <w:rPr>
          <w:rFonts w:ascii="Arial" w:eastAsia="Arial" w:hAnsi="Arial" w:cs="Arial"/>
        </w:rPr>
        <w:t>o</w:t>
      </w:r>
      <w:r w:rsidRPr="00EB1AAB">
        <w:rPr>
          <w:rFonts w:ascii="Arial" w:eastAsia="Arial" w:hAnsi="Arial" w:cs="Arial"/>
          <w:spacing w:val="2"/>
        </w:rPr>
        <w:t>u</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spacing w:val="-2"/>
        </w:rPr>
        <w:t>s</w:t>
      </w:r>
      <w:r w:rsidRPr="00EB1AAB">
        <w:rPr>
          <w:rFonts w:ascii="Arial" w:eastAsia="Arial" w:hAnsi="Arial" w:cs="Arial"/>
        </w:rPr>
        <w:t>)</w:t>
      </w:r>
      <w:r w:rsidRPr="00EB1AAB">
        <w:rPr>
          <w:rFonts w:ascii="Arial" w:eastAsia="Arial" w:hAnsi="Arial" w:cs="Arial"/>
          <w:spacing w:val="13"/>
        </w:rPr>
        <w:t xml:space="preserve"> </w:t>
      </w:r>
      <w:r w:rsidRPr="00EB1AAB">
        <w:rPr>
          <w:rFonts w:ascii="Arial" w:eastAsia="Arial" w:hAnsi="Arial" w:cs="Arial"/>
        </w:rPr>
        <w:t>and</w:t>
      </w:r>
      <w:r w:rsidRPr="00EB1AAB">
        <w:rPr>
          <w:rFonts w:ascii="Arial" w:eastAsia="Arial" w:hAnsi="Arial" w:cs="Arial"/>
          <w:spacing w:val="5"/>
        </w:rPr>
        <w:t xml:space="preserve"> </w:t>
      </w:r>
      <w:r w:rsidRPr="00EB1AAB">
        <w:rPr>
          <w:rFonts w:ascii="Arial" w:eastAsia="Arial" w:hAnsi="Arial" w:cs="Arial"/>
        </w:rPr>
        <w:t>debt</w:t>
      </w:r>
      <w:r w:rsidRPr="00EB1AAB">
        <w:rPr>
          <w:rFonts w:ascii="Arial" w:eastAsia="Arial" w:hAnsi="Arial" w:cs="Arial"/>
          <w:spacing w:val="2"/>
        </w:rPr>
        <w:t>o</w:t>
      </w:r>
      <w:r w:rsidRPr="00EB1AAB">
        <w:rPr>
          <w:rFonts w:ascii="Arial" w:eastAsia="Arial" w:hAnsi="Arial" w:cs="Arial"/>
          <w:spacing w:val="-1"/>
        </w:rPr>
        <w:t>r</w:t>
      </w:r>
      <w:r w:rsidRPr="00EB1AAB">
        <w:rPr>
          <w:rFonts w:ascii="Arial" w:eastAsia="Arial" w:hAnsi="Arial" w:cs="Arial"/>
        </w:rPr>
        <w:t>s</w:t>
      </w:r>
      <w:r w:rsidRPr="00EB1AAB">
        <w:rPr>
          <w:rFonts w:ascii="Arial" w:eastAsia="Arial" w:hAnsi="Arial" w:cs="Arial"/>
          <w:spacing w:val="10"/>
        </w:rPr>
        <w:t xml:space="preserve"> </w:t>
      </w:r>
      <w:r w:rsidRPr="00EB1AAB">
        <w:rPr>
          <w:rFonts w:ascii="Arial" w:eastAsia="Arial" w:hAnsi="Arial" w:cs="Arial"/>
          <w:spacing w:val="-3"/>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1"/>
        </w:rPr>
        <w:t>cl</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spacing w:val="3"/>
        </w:rPr>
        <w:t>i</w:t>
      </w:r>
      <w:r w:rsidRPr="00EB1AAB">
        <w:rPr>
          <w:rFonts w:ascii="Arial" w:eastAsia="Arial" w:hAnsi="Arial" w:cs="Arial"/>
        </w:rPr>
        <w:t>f</w:t>
      </w:r>
      <w:r w:rsidRPr="00EB1AAB">
        <w:rPr>
          <w:rFonts w:ascii="Arial" w:eastAsia="Arial" w:hAnsi="Arial" w:cs="Arial"/>
          <w:spacing w:val="1"/>
        </w:rPr>
        <w:t>i</w:t>
      </w:r>
      <w:r w:rsidRPr="00EB1AAB">
        <w:rPr>
          <w:rFonts w:ascii="Arial" w:eastAsia="Arial" w:hAnsi="Arial" w:cs="Arial"/>
        </w:rPr>
        <w:t>ed</w:t>
      </w:r>
      <w:r w:rsidRPr="00EB1AAB">
        <w:rPr>
          <w:rFonts w:ascii="Arial" w:eastAsia="Arial" w:hAnsi="Arial" w:cs="Arial"/>
          <w:spacing w:val="7"/>
        </w:rPr>
        <w:t xml:space="preserve"> </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rPr>
        <w:t>o</w:t>
      </w:r>
      <w:r w:rsidRPr="00EB1AAB">
        <w:rPr>
          <w:rFonts w:ascii="Arial" w:eastAsia="Arial" w:hAnsi="Arial" w:cs="Arial"/>
          <w:spacing w:val="3"/>
        </w:rPr>
        <w:t xml:space="preserve"> </w:t>
      </w:r>
      <w:r w:rsidRPr="00EB1AAB">
        <w:rPr>
          <w:rFonts w:ascii="Arial" w:eastAsia="Arial" w:hAnsi="Arial" w:cs="Arial"/>
          <w:spacing w:val="2"/>
        </w:rPr>
        <w:t>t</w:t>
      </w:r>
      <w:r w:rsidRPr="00EB1AAB">
        <w:rPr>
          <w:rFonts w:ascii="Arial" w:eastAsia="Arial" w:hAnsi="Arial" w:cs="Arial"/>
          <w:spacing w:val="-3"/>
        </w:rPr>
        <w:t>h</w:t>
      </w:r>
      <w:r w:rsidRPr="00EB1AAB">
        <w:rPr>
          <w:rFonts w:ascii="Arial" w:eastAsia="Arial" w:hAnsi="Arial" w:cs="Arial"/>
          <w:spacing w:val="-1"/>
        </w:rPr>
        <w:t>r</w:t>
      </w:r>
      <w:r w:rsidRPr="00EB1AAB">
        <w:rPr>
          <w:rFonts w:ascii="Arial" w:eastAsia="Arial" w:hAnsi="Arial" w:cs="Arial"/>
          <w:spacing w:val="2"/>
        </w:rPr>
        <w:t>e</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spacing w:val="2"/>
        </w:rPr>
        <w:t>t</w:t>
      </w:r>
      <w:r w:rsidRPr="00EB1AAB">
        <w:rPr>
          <w:rFonts w:ascii="Arial" w:eastAsia="Arial" w:hAnsi="Arial" w:cs="Arial"/>
          <w:spacing w:val="-1"/>
        </w:rPr>
        <w:t>y</w:t>
      </w:r>
      <w:r w:rsidRPr="00EB1AAB">
        <w:rPr>
          <w:rFonts w:ascii="Arial" w:eastAsia="Arial" w:hAnsi="Arial" w:cs="Arial"/>
        </w:rPr>
        <w:t>p</w:t>
      </w:r>
      <w:r w:rsidRPr="00EB1AAB">
        <w:rPr>
          <w:rFonts w:ascii="Arial" w:eastAsia="Arial" w:hAnsi="Arial" w:cs="Arial"/>
          <w:spacing w:val="2"/>
        </w:rPr>
        <w:t>e</w:t>
      </w:r>
      <w:r w:rsidRPr="00EB1AAB">
        <w:rPr>
          <w:rFonts w:ascii="Arial" w:eastAsia="Arial" w:hAnsi="Arial" w:cs="Arial"/>
        </w:rPr>
        <w:t>s</w:t>
      </w:r>
      <w:r w:rsidRPr="00EB1AAB">
        <w:rPr>
          <w:rFonts w:ascii="Arial" w:eastAsia="Arial" w:hAnsi="Arial" w:cs="Arial"/>
          <w:spacing w:val="5"/>
        </w:rPr>
        <w:t xml:space="preserve">; </w:t>
      </w:r>
      <w:r w:rsidRPr="00EB1AAB">
        <w:rPr>
          <w:rFonts w:ascii="Arial" w:eastAsia="Arial" w:hAnsi="Arial" w:cs="Arial"/>
        </w:rPr>
        <w:t>a</w:t>
      </w:r>
      <w:r w:rsidRPr="00EB1AAB">
        <w:rPr>
          <w:rFonts w:ascii="Arial" w:eastAsia="Arial" w:hAnsi="Arial" w:cs="Arial"/>
          <w:spacing w:val="2"/>
        </w:rPr>
        <w:t>m</w:t>
      </w:r>
      <w:r w:rsidRPr="00EB1AAB">
        <w:rPr>
          <w:rFonts w:ascii="Arial" w:eastAsia="Arial" w:hAnsi="Arial" w:cs="Arial"/>
          <w:spacing w:val="-2"/>
        </w:rPr>
        <w:t>o</w:t>
      </w:r>
      <w:r w:rsidRPr="00EB1AAB">
        <w:rPr>
          <w:rFonts w:ascii="Arial" w:eastAsia="Arial" w:hAnsi="Arial" w:cs="Arial"/>
          <w:spacing w:val="-1"/>
        </w:rPr>
        <w:t>r</w:t>
      </w:r>
      <w:r w:rsidRPr="00EB1AAB">
        <w:rPr>
          <w:rFonts w:ascii="Arial" w:eastAsia="Arial" w:hAnsi="Arial" w:cs="Arial"/>
        </w:rPr>
        <w:t>t</w:t>
      </w:r>
      <w:r w:rsidRPr="00EB1AAB">
        <w:rPr>
          <w:rFonts w:ascii="Arial" w:eastAsia="Arial" w:hAnsi="Arial" w:cs="Arial"/>
          <w:spacing w:val="4"/>
        </w:rPr>
        <w:t>i</w:t>
      </w:r>
      <w:r w:rsidRPr="00EB1AAB">
        <w:rPr>
          <w:rFonts w:ascii="Arial" w:eastAsia="Arial" w:hAnsi="Arial" w:cs="Arial"/>
          <w:spacing w:val="1"/>
        </w:rPr>
        <w:t>s</w:t>
      </w:r>
      <w:r w:rsidRPr="00EB1AAB">
        <w:rPr>
          <w:rFonts w:ascii="Arial" w:eastAsia="Arial" w:hAnsi="Arial" w:cs="Arial"/>
          <w:spacing w:val="-3"/>
        </w:rPr>
        <w:t>e</w:t>
      </w:r>
      <w:r w:rsidRPr="00EB1AAB">
        <w:rPr>
          <w:rFonts w:ascii="Arial" w:eastAsia="Arial" w:hAnsi="Arial" w:cs="Arial"/>
        </w:rPr>
        <w:t>d</w:t>
      </w:r>
      <w:r w:rsidRPr="00EB1AAB">
        <w:rPr>
          <w:rFonts w:ascii="Arial" w:eastAsia="Arial" w:hAnsi="Arial" w:cs="Arial"/>
          <w:spacing w:val="11"/>
        </w:rPr>
        <w:t xml:space="preserve"> </w:t>
      </w:r>
      <w:r w:rsidRPr="00EB1AAB">
        <w:rPr>
          <w:rFonts w:ascii="Arial" w:eastAsia="Arial" w:hAnsi="Arial" w:cs="Arial"/>
          <w:spacing w:val="1"/>
          <w:w w:val="101"/>
        </w:rPr>
        <w:t>c</w:t>
      </w:r>
      <w:r w:rsidRPr="00EB1AAB">
        <w:rPr>
          <w:rFonts w:ascii="Arial" w:eastAsia="Arial" w:hAnsi="Arial" w:cs="Arial"/>
          <w:w w:val="101"/>
        </w:rPr>
        <w:t>o</w:t>
      </w:r>
      <w:r w:rsidRPr="00EB1AAB">
        <w:rPr>
          <w:rFonts w:ascii="Arial" w:eastAsia="Arial" w:hAnsi="Arial" w:cs="Arial"/>
          <w:spacing w:val="1"/>
          <w:w w:val="101"/>
        </w:rPr>
        <w:t>s</w:t>
      </w:r>
      <w:r w:rsidRPr="00EB1AAB">
        <w:rPr>
          <w:rFonts w:ascii="Arial" w:eastAsia="Arial" w:hAnsi="Arial" w:cs="Arial"/>
          <w:w w:val="101"/>
        </w:rPr>
        <w:t xml:space="preserve">t, </w:t>
      </w:r>
      <w:r w:rsidRPr="00EB1AAB">
        <w:rPr>
          <w:rFonts w:ascii="Arial" w:eastAsia="Arial" w:hAnsi="Arial" w:cs="Arial"/>
          <w:spacing w:val="2"/>
        </w:rPr>
        <w:t>f</w:t>
      </w:r>
      <w:r w:rsidRPr="00EB1AAB">
        <w:rPr>
          <w:rFonts w:ascii="Arial" w:eastAsia="Arial" w:hAnsi="Arial" w:cs="Arial"/>
        </w:rPr>
        <w:t>air</w:t>
      </w:r>
      <w:r w:rsidRPr="00EB1AAB">
        <w:rPr>
          <w:rFonts w:ascii="Arial" w:eastAsia="Arial" w:hAnsi="Arial" w:cs="Arial"/>
          <w:spacing w:val="6"/>
        </w:rPr>
        <w:t xml:space="preserve"> </w:t>
      </w:r>
      <w:r w:rsidRPr="00EB1AAB">
        <w:rPr>
          <w:rFonts w:ascii="Arial" w:eastAsia="Arial" w:hAnsi="Arial" w:cs="Arial"/>
          <w:spacing w:val="-2"/>
        </w:rPr>
        <w:t>v</w:t>
      </w:r>
      <w:r w:rsidRPr="00EB1AAB">
        <w:rPr>
          <w:rFonts w:ascii="Arial" w:eastAsia="Arial" w:hAnsi="Arial" w:cs="Arial"/>
        </w:rPr>
        <w:t>a</w:t>
      </w:r>
      <w:r w:rsidRPr="00EB1AAB">
        <w:rPr>
          <w:rFonts w:ascii="Arial" w:eastAsia="Arial" w:hAnsi="Arial" w:cs="Arial"/>
          <w:spacing w:val="1"/>
        </w:rPr>
        <w:t>l</w:t>
      </w:r>
      <w:r w:rsidRPr="00EB1AAB">
        <w:rPr>
          <w:rFonts w:ascii="Arial" w:eastAsia="Arial" w:hAnsi="Arial" w:cs="Arial"/>
        </w:rPr>
        <w:t>ue</w:t>
      </w:r>
      <w:r w:rsidRPr="00EB1AAB">
        <w:rPr>
          <w:rFonts w:ascii="Arial" w:eastAsia="Arial" w:hAnsi="Arial" w:cs="Arial"/>
          <w:spacing w:val="3"/>
        </w:rPr>
        <w:t xml:space="preserve"> </w:t>
      </w:r>
      <w:r w:rsidRPr="00EB1AAB">
        <w:rPr>
          <w:rFonts w:ascii="Arial" w:eastAsia="Arial" w:hAnsi="Arial" w:cs="Arial"/>
          <w:spacing w:val="2"/>
        </w:rPr>
        <w:t>t</w:t>
      </w:r>
      <w:r w:rsidRPr="00EB1AAB">
        <w:rPr>
          <w:rFonts w:ascii="Arial" w:eastAsia="Arial" w:hAnsi="Arial" w:cs="Arial"/>
          <w:spacing w:val="-2"/>
        </w:rPr>
        <w:t>h</w:t>
      </w:r>
      <w:r w:rsidRPr="00EB1AAB">
        <w:rPr>
          <w:rFonts w:ascii="Arial" w:eastAsia="Arial" w:hAnsi="Arial" w:cs="Arial"/>
          <w:spacing w:val="-1"/>
        </w:rPr>
        <w:t>r</w:t>
      </w:r>
      <w:r w:rsidRPr="00EB1AAB">
        <w:rPr>
          <w:rFonts w:ascii="Arial" w:eastAsia="Arial" w:hAnsi="Arial" w:cs="Arial"/>
          <w:spacing w:val="2"/>
        </w:rPr>
        <w:t>o</w:t>
      </w:r>
      <w:r w:rsidRPr="00EB1AAB">
        <w:rPr>
          <w:rFonts w:ascii="Arial" w:eastAsia="Arial" w:hAnsi="Arial" w:cs="Arial"/>
          <w:spacing w:val="-3"/>
        </w:rPr>
        <w:t>u</w:t>
      </w:r>
      <w:r w:rsidRPr="00EB1AAB">
        <w:rPr>
          <w:rFonts w:ascii="Arial" w:eastAsia="Arial" w:hAnsi="Arial" w:cs="Arial"/>
          <w:spacing w:val="2"/>
        </w:rPr>
        <w:t>g</w:t>
      </w:r>
      <w:r w:rsidRPr="00EB1AAB">
        <w:rPr>
          <w:rFonts w:ascii="Arial" w:eastAsia="Arial" w:hAnsi="Arial" w:cs="Arial"/>
        </w:rPr>
        <w:t>h</w:t>
      </w:r>
      <w:r w:rsidRPr="00EB1AAB">
        <w:rPr>
          <w:rFonts w:ascii="Arial" w:eastAsia="Arial" w:hAnsi="Arial" w:cs="Arial"/>
          <w:spacing w:val="9"/>
        </w:rPr>
        <w:t xml:space="preserve"> </w:t>
      </w:r>
      <w:r w:rsidRPr="00EB1AAB">
        <w:rPr>
          <w:rFonts w:ascii="Arial" w:eastAsia="Arial" w:hAnsi="Arial" w:cs="Arial"/>
          <w:spacing w:val="-2"/>
        </w:rPr>
        <w:t>o</w:t>
      </w:r>
      <w:r w:rsidRPr="00EB1AAB">
        <w:rPr>
          <w:rFonts w:ascii="Arial" w:eastAsia="Arial" w:hAnsi="Arial" w:cs="Arial"/>
          <w:spacing w:val="2"/>
        </w:rPr>
        <w:t>t</w:t>
      </w:r>
      <w:r w:rsidRPr="00EB1AAB">
        <w:rPr>
          <w:rFonts w:ascii="Arial" w:eastAsia="Arial" w:hAnsi="Arial" w:cs="Arial"/>
        </w:rPr>
        <w:t>h</w:t>
      </w:r>
      <w:r w:rsidRPr="00EB1AAB">
        <w:rPr>
          <w:rFonts w:ascii="Arial" w:eastAsia="Arial" w:hAnsi="Arial" w:cs="Arial"/>
          <w:spacing w:val="-1"/>
        </w:rPr>
        <w:t>e</w:t>
      </w:r>
      <w:r w:rsidRPr="00EB1AAB">
        <w:rPr>
          <w:rFonts w:ascii="Arial" w:eastAsia="Arial" w:hAnsi="Arial" w:cs="Arial"/>
        </w:rPr>
        <w:t>r</w:t>
      </w:r>
      <w:r w:rsidRPr="00EB1AAB">
        <w:rPr>
          <w:rFonts w:ascii="Arial" w:eastAsia="Arial" w:hAnsi="Arial" w:cs="Arial"/>
          <w:spacing w:val="8"/>
        </w:rPr>
        <w:t xml:space="preserve"> </w:t>
      </w:r>
      <w:r w:rsidRPr="00EB1AAB">
        <w:rPr>
          <w:rFonts w:ascii="Arial" w:eastAsia="Arial" w:hAnsi="Arial" w:cs="Arial"/>
          <w:spacing w:val="1"/>
        </w:rPr>
        <w:t>c</w:t>
      </w:r>
      <w:r w:rsidRPr="00EB1AAB">
        <w:rPr>
          <w:rFonts w:ascii="Arial" w:eastAsia="Arial" w:hAnsi="Arial" w:cs="Arial"/>
          <w:spacing w:val="-3"/>
        </w:rPr>
        <w:t>o</w:t>
      </w:r>
      <w:r w:rsidRPr="00EB1AAB">
        <w:rPr>
          <w:rFonts w:ascii="Arial" w:eastAsia="Arial" w:hAnsi="Arial" w:cs="Arial"/>
          <w:spacing w:val="2"/>
        </w:rPr>
        <w:t>m</w:t>
      </w:r>
      <w:r w:rsidRPr="00EB1AAB">
        <w:rPr>
          <w:rFonts w:ascii="Arial" w:eastAsia="Arial" w:hAnsi="Arial" w:cs="Arial"/>
          <w:spacing w:val="-3"/>
        </w:rPr>
        <w:t>p</w:t>
      </w:r>
      <w:r w:rsidRPr="00EB1AAB">
        <w:rPr>
          <w:rFonts w:ascii="Arial" w:eastAsia="Arial" w:hAnsi="Arial" w:cs="Arial"/>
          <w:spacing w:val="1"/>
        </w:rPr>
        <w:t>r</w:t>
      </w:r>
      <w:r w:rsidRPr="00EB1AAB">
        <w:rPr>
          <w:rFonts w:ascii="Arial" w:eastAsia="Arial" w:hAnsi="Arial" w:cs="Arial"/>
        </w:rPr>
        <w:t>ehen</w:t>
      </w:r>
      <w:r w:rsidRPr="00EB1AAB">
        <w:rPr>
          <w:rFonts w:ascii="Arial" w:eastAsia="Arial" w:hAnsi="Arial" w:cs="Arial"/>
          <w:spacing w:val="-2"/>
        </w:rPr>
        <w:t>s</w:t>
      </w:r>
      <w:r w:rsidRPr="00EB1AAB">
        <w:rPr>
          <w:rFonts w:ascii="Arial" w:eastAsia="Arial" w:hAnsi="Arial" w:cs="Arial"/>
          <w:spacing w:val="4"/>
        </w:rPr>
        <w:t>i</w:t>
      </w:r>
      <w:r w:rsidRPr="00EB1AAB">
        <w:rPr>
          <w:rFonts w:ascii="Arial" w:eastAsia="Arial" w:hAnsi="Arial" w:cs="Arial"/>
          <w:spacing w:val="-2"/>
        </w:rPr>
        <w:t>v</w:t>
      </w:r>
      <w:r w:rsidRPr="00EB1AAB">
        <w:rPr>
          <w:rFonts w:ascii="Arial" w:eastAsia="Arial" w:hAnsi="Arial" w:cs="Arial"/>
        </w:rPr>
        <w:t>e</w:t>
      </w:r>
      <w:r w:rsidRPr="00EB1AAB">
        <w:rPr>
          <w:rFonts w:ascii="Arial" w:eastAsia="Arial" w:hAnsi="Arial" w:cs="Arial"/>
          <w:spacing w:val="17"/>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3"/>
        </w:rPr>
        <w:t>c</w:t>
      </w:r>
      <w:r w:rsidRPr="00EB1AAB">
        <w:rPr>
          <w:rFonts w:ascii="Arial" w:eastAsia="Arial" w:hAnsi="Arial" w:cs="Arial"/>
        </w:rPr>
        <w:t>o</w:t>
      </w:r>
      <w:r w:rsidRPr="00EB1AAB">
        <w:rPr>
          <w:rFonts w:ascii="Arial" w:eastAsia="Arial" w:hAnsi="Arial" w:cs="Arial"/>
          <w:spacing w:val="2"/>
        </w:rPr>
        <w:t>m</w:t>
      </w:r>
      <w:r w:rsidRPr="00EB1AAB">
        <w:rPr>
          <w:rFonts w:ascii="Arial" w:eastAsia="Arial" w:hAnsi="Arial" w:cs="Arial"/>
        </w:rPr>
        <w:t>e</w:t>
      </w:r>
      <w:r w:rsidRPr="00EB1AAB">
        <w:rPr>
          <w:rFonts w:ascii="Arial" w:eastAsia="Arial" w:hAnsi="Arial" w:cs="Arial"/>
          <w:spacing w:val="8"/>
        </w:rPr>
        <w:t xml:space="preserve"> </w:t>
      </w:r>
      <w:r w:rsidRPr="00EB1AAB">
        <w:rPr>
          <w:rFonts w:ascii="Arial" w:eastAsia="Arial" w:hAnsi="Arial" w:cs="Arial"/>
          <w:spacing w:val="-1"/>
        </w:rPr>
        <w:t>(F</w:t>
      </w:r>
      <w:r w:rsidRPr="00EB1AAB">
        <w:rPr>
          <w:rFonts w:ascii="Arial" w:eastAsia="Arial" w:hAnsi="Arial" w:cs="Arial"/>
        </w:rPr>
        <w:t>V</w:t>
      </w:r>
      <w:r w:rsidRPr="00EB1AAB">
        <w:rPr>
          <w:rFonts w:ascii="Arial" w:eastAsia="Arial" w:hAnsi="Arial" w:cs="Arial"/>
          <w:spacing w:val="-2"/>
        </w:rPr>
        <w:t>O</w:t>
      </w:r>
      <w:r w:rsidRPr="00EB1AAB">
        <w:rPr>
          <w:rFonts w:ascii="Arial" w:eastAsia="Arial" w:hAnsi="Arial" w:cs="Arial"/>
          <w:spacing w:val="-1"/>
        </w:rPr>
        <w:t>C</w:t>
      </w:r>
      <w:r w:rsidRPr="00EB1AAB">
        <w:rPr>
          <w:rFonts w:ascii="Arial" w:eastAsia="Arial" w:hAnsi="Arial" w:cs="Arial"/>
          <w:spacing w:val="2"/>
        </w:rPr>
        <w:t>I</w:t>
      </w:r>
      <w:r w:rsidRPr="00EB1AAB">
        <w:rPr>
          <w:rFonts w:ascii="Arial" w:eastAsia="Arial" w:hAnsi="Arial" w:cs="Arial"/>
        </w:rPr>
        <w:t>)</w:t>
      </w:r>
      <w:r w:rsidRPr="00EB1AAB">
        <w:rPr>
          <w:rFonts w:ascii="Arial" w:eastAsia="Arial" w:hAnsi="Arial" w:cs="Arial"/>
          <w:spacing w:val="9"/>
        </w:rPr>
        <w:t xml:space="preserve"> </w:t>
      </w:r>
      <w:r w:rsidRPr="00EB1AAB">
        <w:rPr>
          <w:rFonts w:ascii="Arial" w:eastAsia="Arial" w:hAnsi="Arial" w:cs="Arial"/>
          <w:spacing w:val="2"/>
        </w:rPr>
        <w:t>a</w:t>
      </w:r>
      <w:r w:rsidRPr="00EB1AAB">
        <w:rPr>
          <w:rFonts w:ascii="Arial" w:eastAsia="Arial" w:hAnsi="Arial" w:cs="Arial"/>
        </w:rPr>
        <w:t>nd</w:t>
      </w:r>
      <w:r w:rsidRPr="00EB1AAB">
        <w:rPr>
          <w:rFonts w:ascii="Arial" w:eastAsia="Arial" w:hAnsi="Arial" w:cs="Arial"/>
          <w:spacing w:val="5"/>
        </w:rPr>
        <w:t xml:space="preserve"> </w:t>
      </w:r>
      <w:r w:rsidRPr="00EB1AAB">
        <w:rPr>
          <w:rFonts w:ascii="Arial" w:eastAsia="Arial" w:hAnsi="Arial" w:cs="Arial"/>
          <w:spacing w:val="2"/>
        </w:rPr>
        <w:t>f</w:t>
      </w:r>
      <w:r w:rsidRPr="00EB1AAB">
        <w:rPr>
          <w:rFonts w:ascii="Arial" w:eastAsia="Arial" w:hAnsi="Arial" w:cs="Arial"/>
        </w:rPr>
        <w:t>a</w:t>
      </w:r>
      <w:r w:rsidRPr="00EB1AAB">
        <w:rPr>
          <w:rFonts w:ascii="Arial" w:eastAsia="Arial" w:hAnsi="Arial" w:cs="Arial"/>
          <w:spacing w:val="1"/>
        </w:rPr>
        <w:t>i</w:t>
      </w:r>
      <w:r w:rsidRPr="00EB1AAB">
        <w:rPr>
          <w:rFonts w:ascii="Arial" w:eastAsia="Arial" w:hAnsi="Arial" w:cs="Arial"/>
        </w:rPr>
        <w:t>r</w:t>
      </w:r>
      <w:r w:rsidRPr="00EB1AAB">
        <w:rPr>
          <w:rFonts w:ascii="Arial" w:eastAsia="Arial" w:hAnsi="Arial" w:cs="Arial"/>
          <w:spacing w:val="3"/>
        </w:rPr>
        <w:t xml:space="preserve"> </w:t>
      </w:r>
      <w:r w:rsidRPr="00EB1AAB">
        <w:rPr>
          <w:rFonts w:ascii="Arial" w:eastAsia="Arial" w:hAnsi="Arial" w:cs="Arial"/>
          <w:spacing w:val="-1"/>
        </w:rPr>
        <w:t>v</w:t>
      </w:r>
      <w:r w:rsidRPr="00EB1AAB">
        <w:rPr>
          <w:rFonts w:ascii="Arial" w:eastAsia="Arial" w:hAnsi="Arial" w:cs="Arial"/>
        </w:rPr>
        <w:t>a</w:t>
      </w:r>
      <w:r w:rsidRPr="00EB1AAB">
        <w:rPr>
          <w:rFonts w:ascii="Arial" w:eastAsia="Arial" w:hAnsi="Arial" w:cs="Arial"/>
          <w:spacing w:val="1"/>
        </w:rPr>
        <w:t>l</w:t>
      </w:r>
      <w:r w:rsidRPr="00EB1AAB">
        <w:rPr>
          <w:rFonts w:ascii="Arial" w:eastAsia="Arial" w:hAnsi="Arial" w:cs="Arial"/>
        </w:rPr>
        <w:t>ue</w:t>
      </w:r>
      <w:r w:rsidRPr="00EB1AAB">
        <w:rPr>
          <w:rFonts w:ascii="Arial" w:eastAsia="Arial" w:hAnsi="Arial" w:cs="Arial"/>
          <w:spacing w:val="3"/>
        </w:rPr>
        <w:t xml:space="preserve"> </w:t>
      </w:r>
      <w:r w:rsidRPr="00EB1AAB">
        <w:rPr>
          <w:rFonts w:ascii="Arial" w:eastAsia="Arial" w:hAnsi="Arial" w:cs="Arial"/>
          <w:spacing w:val="2"/>
        </w:rPr>
        <w:t>t</w:t>
      </w:r>
      <w:r w:rsidRPr="00EB1AAB">
        <w:rPr>
          <w:rFonts w:ascii="Arial" w:eastAsia="Arial" w:hAnsi="Arial" w:cs="Arial"/>
        </w:rPr>
        <w:t>h</w:t>
      </w:r>
      <w:r w:rsidRPr="00EB1AAB">
        <w:rPr>
          <w:rFonts w:ascii="Arial" w:eastAsia="Arial" w:hAnsi="Arial" w:cs="Arial"/>
          <w:spacing w:val="-1"/>
        </w:rPr>
        <w:t>r</w:t>
      </w:r>
      <w:r w:rsidRPr="00EB1AAB">
        <w:rPr>
          <w:rFonts w:ascii="Arial" w:eastAsia="Arial" w:hAnsi="Arial" w:cs="Arial"/>
          <w:spacing w:val="2"/>
        </w:rPr>
        <w:t>o</w:t>
      </w:r>
      <w:r w:rsidRPr="00EB1AAB">
        <w:rPr>
          <w:rFonts w:ascii="Arial" w:eastAsia="Arial" w:hAnsi="Arial" w:cs="Arial"/>
          <w:spacing w:val="-2"/>
        </w:rPr>
        <w:t>u</w:t>
      </w:r>
      <w:r w:rsidRPr="00EB1AAB">
        <w:rPr>
          <w:rFonts w:ascii="Arial" w:eastAsia="Arial" w:hAnsi="Arial" w:cs="Arial"/>
          <w:spacing w:val="2"/>
        </w:rPr>
        <w:t>g</w:t>
      </w:r>
      <w:r w:rsidRPr="00EB1AAB">
        <w:rPr>
          <w:rFonts w:ascii="Arial" w:eastAsia="Arial" w:hAnsi="Arial" w:cs="Arial"/>
        </w:rPr>
        <w:t>h</w:t>
      </w:r>
      <w:r w:rsidRPr="00EB1AAB">
        <w:rPr>
          <w:rFonts w:ascii="Arial" w:eastAsia="Arial" w:hAnsi="Arial" w:cs="Arial"/>
          <w:spacing w:val="9"/>
        </w:rPr>
        <w:t xml:space="preserve"> </w:t>
      </w:r>
      <w:r w:rsidRPr="00EB1AAB">
        <w:rPr>
          <w:rFonts w:ascii="Arial" w:eastAsia="Arial" w:hAnsi="Arial" w:cs="Arial"/>
        </w:rPr>
        <w:t>p</w:t>
      </w:r>
      <w:r w:rsidRPr="00EB1AAB">
        <w:rPr>
          <w:rFonts w:ascii="Arial" w:eastAsia="Arial" w:hAnsi="Arial" w:cs="Arial"/>
          <w:spacing w:val="-1"/>
        </w:rPr>
        <w:t>r</w:t>
      </w:r>
      <w:r w:rsidRPr="00EB1AAB">
        <w:rPr>
          <w:rFonts w:ascii="Arial" w:eastAsia="Arial" w:hAnsi="Arial" w:cs="Arial"/>
        </w:rPr>
        <w:t>o</w:t>
      </w:r>
      <w:r w:rsidRPr="00EB1AAB">
        <w:rPr>
          <w:rFonts w:ascii="Arial" w:eastAsia="Arial" w:hAnsi="Arial" w:cs="Arial"/>
          <w:spacing w:val="2"/>
        </w:rPr>
        <w:t>f</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9"/>
        </w:rPr>
        <w:t xml:space="preserve"> </w:t>
      </w:r>
      <w:r w:rsidRPr="00EB1AAB">
        <w:rPr>
          <w:rFonts w:ascii="Arial" w:eastAsia="Arial" w:hAnsi="Arial" w:cs="Arial"/>
          <w:spacing w:val="-3"/>
          <w:w w:val="101"/>
        </w:rPr>
        <w:t>o</w:t>
      </w:r>
      <w:r w:rsidRPr="00EB1AAB">
        <w:rPr>
          <w:rFonts w:ascii="Arial" w:eastAsia="Arial" w:hAnsi="Arial" w:cs="Arial"/>
          <w:w w:val="101"/>
        </w:rPr>
        <w:t xml:space="preserve">r </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1"/>
        </w:rPr>
        <w:t>s</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spacing w:val="-1"/>
          <w:w w:val="101"/>
        </w:rPr>
        <w:t>(F</w:t>
      </w:r>
      <w:r w:rsidRPr="00EB1AAB">
        <w:rPr>
          <w:rFonts w:ascii="Arial" w:eastAsia="Arial" w:hAnsi="Arial" w:cs="Arial"/>
          <w:w w:val="101"/>
        </w:rPr>
        <w:t>VPL</w:t>
      </w:r>
      <w:r w:rsidRPr="00EB1AAB">
        <w:rPr>
          <w:rFonts w:ascii="Arial" w:eastAsia="Arial" w:hAnsi="Arial" w:cs="Arial"/>
          <w:spacing w:val="-1"/>
          <w:w w:val="101"/>
        </w:rPr>
        <w:t>)</w:t>
      </w:r>
      <w:r w:rsidRPr="00EB1AAB">
        <w:rPr>
          <w:rFonts w:ascii="Arial" w:eastAsia="Arial" w:hAnsi="Arial" w:cs="Arial"/>
          <w:w w:val="101"/>
        </w:rPr>
        <w:t>.</w:t>
      </w:r>
    </w:p>
    <w:p w14:paraId="3ACF2EE7" w14:textId="77777777" w:rsidR="00655E4C" w:rsidRPr="00EB1AAB" w:rsidRDefault="00655E4C" w:rsidP="006F1659">
      <w:pPr>
        <w:spacing w:before="6" w:line="360" w:lineRule="auto"/>
        <w:rPr>
          <w:rFonts w:ascii="Arial" w:hAnsi="Arial" w:cs="Arial"/>
        </w:rPr>
      </w:pPr>
    </w:p>
    <w:p w14:paraId="39471D33" w14:textId="77777777" w:rsidR="00655E4C" w:rsidRPr="00EB1AAB" w:rsidRDefault="00655E4C" w:rsidP="006F1659">
      <w:pPr>
        <w:spacing w:line="360" w:lineRule="auto"/>
        <w:ind w:right="-88"/>
        <w:rPr>
          <w:rFonts w:ascii="Arial" w:eastAsia="Arial" w:hAnsi="Arial" w:cs="Arial"/>
        </w:rPr>
      </w:pPr>
      <w:r w:rsidRPr="00EB1AAB">
        <w:rPr>
          <w:rFonts w:ascii="Arial" w:eastAsia="Arial" w:hAnsi="Arial" w:cs="Arial"/>
          <w:spacing w:val="-1"/>
        </w:rPr>
        <w:t>T</w:t>
      </w:r>
      <w:r w:rsidRPr="00EB1AAB">
        <w:rPr>
          <w:rFonts w:ascii="Arial" w:eastAsia="Arial" w:hAnsi="Arial" w:cs="Arial"/>
        </w:rPr>
        <w:t>he</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rPr>
        <w:t>at</w:t>
      </w:r>
      <w:r w:rsidRPr="00EB1AAB">
        <w:rPr>
          <w:rFonts w:ascii="Arial" w:eastAsia="Arial" w:hAnsi="Arial" w:cs="Arial"/>
          <w:spacing w:val="2"/>
        </w:rPr>
        <w:t>e</w:t>
      </w:r>
      <w:r w:rsidRPr="00EB1AAB">
        <w:rPr>
          <w:rFonts w:ascii="Arial" w:eastAsia="Arial" w:hAnsi="Arial" w:cs="Arial"/>
          <w:spacing w:val="-2"/>
        </w:rPr>
        <w:t>g</w:t>
      </w:r>
      <w:r w:rsidRPr="00EB1AAB">
        <w:rPr>
          <w:rFonts w:ascii="Arial" w:eastAsia="Arial" w:hAnsi="Arial" w:cs="Arial"/>
          <w:spacing w:val="2"/>
        </w:rPr>
        <w:t>o</w:t>
      </w:r>
      <w:r w:rsidRPr="00EB1AAB">
        <w:rPr>
          <w:rFonts w:ascii="Arial" w:eastAsia="Arial" w:hAnsi="Arial" w:cs="Arial"/>
          <w:spacing w:val="-1"/>
        </w:rPr>
        <w:t>r</w:t>
      </w:r>
      <w:r w:rsidRPr="00EB1AAB">
        <w:rPr>
          <w:rFonts w:ascii="Arial" w:eastAsia="Arial" w:hAnsi="Arial" w:cs="Arial"/>
          <w:spacing w:val="1"/>
        </w:rPr>
        <w:t>is</w:t>
      </w:r>
      <w:r w:rsidRPr="00EB1AAB">
        <w:rPr>
          <w:rFonts w:ascii="Arial" w:eastAsia="Arial" w:hAnsi="Arial" w:cs="Arial"/>
          <w:spacing w:val="-3"/>
        </w:rPr>
        <w:t>a</w:t>
      </w:r>
      <w:r w:rsidRPr="00EB1AAB">
        <w:rPr>
          <w:rFonts w:ascii="Arial" w:eastAsia="Arial" w:hAnsi="Arial" w:cs="Arial"/>
          <w:spacing w:val="2"/>
        </w:rPr>
        <w:t>t</w:t>
      </w:r>
      <w:r w:rsidRPr="00EB1AAB">
        <w:rPr>
          <w:rFonts w:ascii="Arial" w:eastAsia="Arial" w:hAnsi="Arial" w:cs="Arial"/>
          <w:spacing w:val="1"/>
        </w:rPr>
        <w:t>i</w:t>
      </w:r>
      <w:r w:rsidRPr="00EB1AAB">
        <w:rPr>
          <w:rFonts w:ascii="Arial" w:eastAsia="Arial" w:hAnsi="Arial" w:cs="Arial"/>
        </w:rPr>
        <w:t>on</w:t>
      </w:r>
      <w:r w:rsidRPr="00EB1AAB">
        <w:rPr>
          <w:rFonts w:ascii="Arial" w:eastAsia="Arial" w:hAnsi="Arial" w:cs="Arial"/>
          <w:spacing w:val="12"/>
        </w:rPr>
        <w:t xml:space="preserve"> </w:t>
      </w:r>
      <w:r w:rsidRPr="00EB1AAB">
        <w:rPr>
          <w:rFonts w:ascii="Arial" w:eastAsia="Arial" w:hAnsi="Arial" w:cs="Arial"/>
        </w:rPr>
        <w:t>of</w:t>
      </w:r>
      <w:r w:rsidRPr="00EB1AAB">
        <w:rPr>
          <w:rFonts w:ascii="Arial" w:eastAsia="Arial" w:hAnsi="Arial" w:cs="Arial"/>
          <w:spacing w:val="5"/>
        </w:rPr>
        <w:t xml:space="preserve"> </w:t>
      </w:r>
      <w:r w:rsidRPr="00EB1AAB">
        <w:rPr>
          <w:rFonts w:ascii="Arial" w:eastAsia="Arial" w:hAnsi="Arial" w:cs="Arial"/>
          <w:spacing w:val="3"/>
        </w:rPr>
        <w:t>f</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a</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spacing w:val="3"/>
        </w:rPr>
        <w:t>i</w:t>
      </w:r>
      <w:r w:rsidRPr="00EB1AAB">
        <w:rPr>
          <w:rFonts w:ascii="Arial" w:eastAsia="Arial" w:hAnsi="Arial" w:cs="Arial"/>
          <w:spacing w:val="-2"/>
        </w:rPr>
        <w:t>a</w:t>
      </w:r>
      <w:r w:rsidRPr="00EB1AAB">
        <w:rPr>
          <w:rFonts w:ascii="Arial" w:eastAsia="Arial" w:hAnsi="Arial" w:cs="Arial"/>
        </w:rPr>
        <w:t>l</w:t>
      </w:r>
      <w:r w:rsidRPr="00EB1AAB">
        <w:rPr>
          <w:rFonts w:ascii="Arial" w:eastAsia="Arial" w:hAnsi="Arial" w:cs="Arial"/>
          <w:spacing w:val="12"/>
        </w:rPr>
        <w:t xml:space="preserve"> </w:t>
      </w:r>
      <w:r w:rsidRPr="00EB1AAB">
        <w:rPr>
          <w:rFonts w:ascii="Arial" w:eastAsia="Arial" w:hAnsi="Arial" w:cs="Arial"/>
          <w:spacing w:val="-3"/>
        </w:rPr>
        <w:t>a</w:t>
      </w:r>
      <w:r w:rsidRPr="00EB1AAB">
        <w:rPr>
          <w:rFonts w:ascii="Arial" w:eastAsia="Arial" w:hAnsi="Arial" w:cs="Arial"/>
          <w:spacing w:val="1"/>
        </w:rPr>
        <w:t>ss</w:t>
      </w:r>
      <w:r w:rsidRPr="00EB1AAB">
        <w:rPr>
          <w:rFonts w:ascii="Arial" w:eastAsia="Arial" w:hAnsi="Arial" w:cs="Arial"/>
          <w:spacing w:val="-3"/>
        </w:rPr>
        <w:t>e</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7"/>
        </w:rPr>
        <w:t xml:space="preserve"> </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rPr>
        <w:t>o</w:t>
      </w:r>
      <w:r w:rsidRPr="00EB1AAB">
        <w:rPr>
          <w:rFonts w:ascii="Arial" w:eastAsia="Arial" w:hAnsi="Arial" w:cs="Arial"/>
          <w:spacing w:val="2"/>
        </w:rPr>
        <w:t xml:space="preserve"> t</w:t>
      </w:r>
      <w:r w:rsidRPr="00EB1AAB">
        <w:rPr>
          <w:rFonts w:ascii="Arial" w:eastAsia="Arial" w:hAnsi="Arial" w:cs="Arial"/>
        </w:rPr>
        <w:t>h</w:t>
      </w:r>
      <w:r w:rsidRPr="00EB1AAB">
        <w:rPr>
          <w:rFonts w:ascii="Arial" w:eastAsia="Arial" w:hAnsi="Arial" w:cs="Arial"/>
          <w:spacing w:val="2"/>
        </w:rPr>
        <w:t>e</w:t>
      </w:r>
      <w:r w:rsidRPr="00EB1AAB">
        <w:rPr>
          <w:rFonts w:ascii="Arial" w:eastAsia="Arial" w:hAnsi="Arial" w:cs="Arial"/>
          <w:spacing w:val="-2"/>
        </w:rPr>
        <w:t>s</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2"/>
        </w:rPr>
        <w:t>t</w:t>
      </w:r>
      <w:r w:rsidRPr="00EB1AAB">
        <w:rPr>
          <w:rFonts w:ascii="Arial" w:eastAsia="Arial" w:hAnsi="Arial" w:cs="Arial"/>
          <w:spacing w:val="-2"/>
        </w:rPr>
        <w:t>y</w:t>
      </w:r>
      <w:r w:rsidRPr="00EB1AAB">
        <w:rPr>
          <w:rFonts w:ascii="Arial" w:eastAsia="Arial" w:hAnsi="Arial" w:cs="Arial"/>
        </w:rPr>
        <w:t>p</w:t>
      </w:r>
      <w:r w:rsidRPr="00EB1AAB">
        <w:rPr>
          <w:rFonts w:ascii="Arial" w:eastAsia="Arial" w:hAnsi="Arial" w:cs="Arial"/>
          <w:spacing w:val="-3"/>
        </w:rPr>
        <w:t>e</w:t>
      </w:r>
      <w:r w:rsidRPr="00EB1AAB">
        <w:rPr>
          <w:rFonts w:ascii="Arial" w:eastAsia="Arial" w:hAnsi="Arial" w:cs="Arial"/>
        </w:rPr>
        <w:t>s</w:t>
      </w:r>
      <w:r w:rsidRPr="00EB1AAB">
        <w:rPr>
          <w:rFonts w:ascii="Arial" w:eastAsia="Arial" w:hAnsi="Arial" w:cs="Arial"/>
          <w:spacing w:val="7"/>
        </w:rPr>
        <w:t xml:space="preserve"> </w:t>
      </w:r>
      <w:r w:rsidRPr="00EB1AAB">
        <w:rPr>
          <w:rFonts w:ascii="Arial" w:eastAsia="Arial" w:hAnsi="Arial" w:cs="Arial"/>
          <w:spacing w:val="1"/>
        </w:rPr>
        <w:t>i</w:t>
      </w:r>
      <w:r w:rsidRPr="00EB1AAB">
        <w:rPr>
          <w:rFonts w:ascii="Arial" w:eastAsia="Arial" w:hAnsi="Arial" w:cs="Arial"/>
        </w:rPr>
        <w:t>s</w:t>
      </w:r>
      <w:r w:rsidRPr="00EB1AAB">
        <w:rPr>
          <w:rFonts w:ascii="Arial" w:eastAsia="Arial" w:hAnsi="Arial" w:cs="Arial"/>
          <w:spacing w:val="4"/>
        </w:rPr>
        <w:t xml:space="preserve"> </w:t>
      </w:r>
      <w:r w:rsidRPr="00EB1AAB">
        <w:rPr>
          <w:rFonts w:ascii="Arial" w:eastAsia="Arial" w:hAnsi="Arial" w:cs="Arial"/>
        </w:rPr>
        <w:t>d</w:t>
      </w:r>
      <w:r w:rsidRPr="00EB1AAB">
        <w:rPr>
          <w:rFonts w:ascii="Arial" w:eastAsia="Arial" w:hAnsi="Arial" w:cs="Arial"/>
          <w:spacing w:val="-1"/>
        </w:rPr>
        <w:t>e</w:t>
      </w:r>
      <w:r w:rsidRPr="00EB1AAB">
        <w:rPr>
          <w:rFonts w:ascii="Arial" w:eastAsia="Arial" w:hAnsi="Arial" w:cs="Arial"/>
          <w:spacing w:val="2"/>
        </w:rPr>
        <w:t>p</w:t>
      </w:r>
      <w:r w:rsidRPr="00EB1AAB">
        <w:rPr>
          <w:rFonts w:ascii="Arial" w:eastAsia="Arial" w:hAnsi="Arial" w:cs="Arial"/>
          <w:spacing w:val="-3"/>
        </w:rPr>
        <w:t>e</w:t>
      </w:r>
      <w:r w:rsidRPr="00EB1AAB">
        <w:rPr>
          <w:rFonts w:ascii="Arial" w:eastAsia="Arial" w:hAnsi="Arial" w:cs="Arial"/>
          <w:spacing w:val="2"/>
        </w:rPr>
        <w:t>n</w:t>
      </w:r>
      <w:r w:rsidRPr="00EB1AAB">
        <w:rPr>
          <w:rFonts w:ascii="Arial" w:eastAsia="Arial" w:hAnsi="Arial" w:cs="Arial"/>
        </w:rPr>
        <w:t>de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17"/>
        </w:rPr>
        <w:t xml:space="preserve"> </w:t>
      </w:r>
      <w:r w:rsidRPr="00EB1AAB">
        <w:rPr>
          <w:rFonts w:ascii="Arial" w:eastAsia="Arial" w:hAnsi="Arial" w:cs="Arial"/>
        </w:rPr>
        <w:t>on</w:t>
      </w:r>
      <w:r w:rsidRPr="00EB1AAB">
        <w:rPr>
          <w:rFonts w:ascii="Arial" w:eastAsia="Arial" w:hAnsi="Arial" w:cs="Arial"/>
          <w:spacing w:val="2"/>
        </w:rPr>
        <w:t xml:space="preserve"> t</w:t>
      </w:r>
      <w:r w:rsidRPr="00EB1AAB">
        <w:rPr>
          <w:rFonts w:ascii="Arial" w:eastAsia="Arial" w:hAnsi="Arial" w:cs="Arial"/>
        </w:rPr>
        <w:t>he</w:t>
      </w:r>
      <w:r w:rsidRPr="00EB1AAB">
        <w:rPr>
          <w:rFonts w:ascii="Arial" w:eastAsia="Arial" w:hAnsi="Arial" w:cs="Arial"/>
          <w:spacing w:val="3"/>
        </w:rPr>
        <w:t xml:space="preserve"> </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rPr>
        <w:t>a</w:t>
      </w:r>
      <w:r w:rsidRPr="00EB1AAB">
        <w:rPr>
          <w:rFonts w:ascii="Arial" w:eastAsia="Arial" w:hAnsi="Arial" w:cs="Arial"/>
          <w:spacing w:val="3"/>
        </w:rPr>
        <w:t>s</w:t>
      </w:r>
      <w:r w:rsidRPr="00EB1AAB">
        <w:rPr>
          <w:rFonts w:ascii="Arial" w:eastAsia="Arial" w:hAnsi="Arial" w:cs="Arial"/>
        </w:rPr>
        <w:t>on</w:t>
      </w:r>
      <w:r w:rsidRPr="00EB1AAB">
        <w:rPr>
          <w:rFonts w:ascii="Arial" w:eastAsia="Arial" w:hAnsi="Arial" w:cs="Arial"/>
          <w:spacing w:val="7"/>
        </w:rPr>
        <w:t xml:space="preserve"> </w:t>
      </w:r>
      <w:r w:rsidRPr="00EB1AAB">
        <w:rPr>
          <w:rFonts w:ascii="Arial" w:eastAsia="Arial" w:hAnsi="Arial" w:cs="Arial"/>
          <w:spacing w:val="2"/>
          <w:w w:val="101"/>
        </w:rPr>
        <w:t>f</w:t>
      </w:r>
      <w:r w:rsidRPr="00EB1AAB">
        <w:rPr>
          <w:rFonts w:ascii="Arial" w:eastAsia="Arial" w:hAnsi="Arial" w:cs="Arial"/>
          <w:w w:val="101"/>
        </w:rPr>
        <w:t xml:space="preserve">or </w:t>
      </w:r>
      <w:r w:rsidRPr="00EB1AAB">
        <w:rPr>
          <w:rFonts w:ascii="Arial" w:eastAsia="Arial" w:hAnsi="Arial" w:cs="Arial"/>
        </w:rPr>
        <w:t>h</w:t>
      </w:r>
      <w:r w:rsidRPr="00EB1AAB">
        <w:rPr>
          <w:rFonts w:ascii="Arial" w:eastAsia="Arial" w:hAnsi="Arial" w:cs="Arial"/>
          <w:spacing w:val="-3"/>
        </w:rPr>
        <w:t>o</w:t>
      </w:r>
      <w:r w:rsidRPr="00EB1AAB">
        <w:rPr>
          <w:rFonts w:ascii="Arial" w:eastAsia="Arial" w:hAnsi="Arial" w:cs="Arial"/>
          <w:spacing w:val="1"/>
        </w:rPr>
        <w:t>l</w:t>
      </w:r>
      <w:r w:rsidRPr="00EB1AAB">
        <w:rPr>
          <w:rFonts w:ascii="Arial" w:eastAsia="Arial" w:hAnsi="Arial" w:cs="Arial"/>
        </w:rPr>
        <w:t>d</w:t>
      </w:r>
      <w:r w:rsidRPr="00EB1AAB">
        <w:rPr>
          <w:rFonts w:ascii="Arial" w:eastAsia="Arial" w:hAnsi="Arial" w:cs="Arial"/>
          <w:spacing w:val="1"/>
        </w:rPr>
        <w:t>i</w:t>
      </w:r>
      <w:r w:rsidRPr="00EB1AAB">
        <w:rPr>
          <w:rFonts w:ascii="Arial" w:eastAsia="Arial" w:hAnsi="Arial" w:cs="Arial"/>
          <w:spacing w:val="2"/>
        </w:rPr>
        <w:t>n</w:t>
      </w:r>
      <w:r w:rsidRPr="00EB1AAB">
        <w:rPr>
          <w:rFonts w:ascii="Arial" w:eastAsia="Arial" w:hAnsi="Arial" w:cs="Arial"/>
        </w:rPr>
        <w:t>g</w:t>
      </w:r>
      <w:r w:rsidRPr="00EB1AAB">
        <w:rPr>
          <w:rFonts w:ascii="Arial" w:eastAsia="Arial" w:hAnsi="Arial" w:cs="Arial"/>
          <w:spacing w:val="8"/>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5"/>
        </w:rPr>
        <w:t xml:space="preserve"> </w:t>
      </w:r>
      <w:r w:rsidRPr="00EB1AAB">
        <w:rPr>
          <w:rFonts w:ascii="Arial" w:eastAsia="Arial" w:hAnsi="Arial" w:cs="Arial"/>
        </w:rPr>
        <w:t>a</w:t>
      </w:r>
      <w:r w:rsidRPr="00EB1AAB">
        <w:rPr>
          <w:rFonts w:ascii="Arial" w:eastAsia="Arial" w:hAnsi="Arial" w:cs="Arial"/>
          <w:spacing w:val="1"/>
        </w:rPr>
        <w:t>ss</w:t>
      </w:r>
      <w:r w:rsidRPr="00EB1AAB">
        <w:rPr>
          <w:rFonts w:ascii="Arial" w:eastAsia="Arial" w:hAnsi="Arial" w:cs="Arial"/>
        </w:rPr>
        <w:t>ets</w:t>
      </w:r>
      <w:r w:rsidRPr="00EB1AAB">
        <w:rPr>
          <w:rFonts w:ascii="Arial" w:eastAsia="Arial" w:hAnsi="Arial" w:cs="Arial"/>
          <w:spacing w:val="9"/>
        </w:rPr>
        <w:t>, which</w:t>
      </w:r>
      <w:r w:rsidRPr="00EB1AAB">
        <w:rPr>
          <w:rFonts w:ascii="Arial" w:eastAsia="Arial" w:hAnsi="Arial" w:cs="Arial"/>
          <w:spacing w:val="-1"/>
        </w:rPr>
        <w:t xml:space="preserve"> can be </w:t>
      </w:r>
      <w:r w:rsidRPr="00EB1AAB">
        <w:rPr>
          <w:rFonts w:ascii="Arial" w:eastAsia="Arial" w:hAnsi="Arial" w:cs="Arial"/>
          <w:spacing w:val="2"/>
        </w:rPr>
        <w:t>t</w:t>
      </w:r>
      <w:r w:rsidRPr="00EB1AAB">
        <w:rPr>
          <w:rFonts w:ascii="Arial" w:eastAsia="Arial" w:hAnsi="Arial" w:cs="Arial"/>
        </w:rPr>
        <w:t>o</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spacing w:val="-2"/>
        </w:rPr>
        <w:t>o</w:t>
      </w:r>
      <w:r w:rsidRPr="00EB1AAB">
        <w:rPr>
          <w:rFonts w:ascii="Arial" w:eastAsia="Arial" w:hAnsi="Arial" w:cs="Arial"/>
          <w:spacing w:val="3"/>
        </w:rPr>
        <w:t>l</w:t>
      </w:r>
      <w:r w:rsidRPr="00EB1AAB">
        <w:rPr>
          <w:rFonts w:ascii="Arial" w:eastAsia="Arial" w:hAnsi="Arial" w:cs="Arial"/>
          <w:spacing w:val="1"/>
        </w:rPr>
        <w:t>l</w:t>
      </w:r>
      <w:r w:rsidRPr="00EB1AAB">
        <w:rPr>
          <w:rFonts w:ascii="Arial" w:eastAsia="Arial" w:hAnsi="Arial" w:cs="Arial"/>
        </w:rPr>
        <w:t>e</w:t>
      </w:r>
      <w:r w:rsidRPr="00EB1AAB">
        <w:rPr>
          <w:rFonts w:ascii="Arial" w:eastAsia="Arial" w:hAnsi="Arial" w:cs="Arial"/>
          <w:spacing w:val="-2"/>
        </w:rPr>
        <w:t>c</w:t>
      </w:r>
      <w:r w:rsidRPr="00EB1AAB">
        <w:rPr>
          <w:rFonts w:ascii="Arial" w:eastAsia="Arial" w:hAnsi="Arial" w:cs="Arial"/>
        </w:rPr>
        <w:t>t</w:t>
      </w:r>
      <w:r w:rsidRPr="00EB1AAB">
        <w:rPr>
          <w:rFonts w:ascii="Arial" w:eastAsia="Arial" w:hAnsi="Arial" w:cs="Arial"/>
          <w:spacing w:val="10"/>
        </w:rPr>
        <w:t xml:space="preserve"> </w:t>
      </w:r>
      <w:r w:rsidRPr="00EB1AAB">
        <w:rPr>
          <w:rFonts w:ascii="Arial" w:eastAsia="Arial" w:hAnsi="Arial" w:cs="Arial"/>
          <w:spacing w:val="-1"/>
        </w:rPr>
        <w:t>c</w:t>
      </w:r>
      <w:r w:rsidRPr="00EB1AAB">
        <w:rPr>
          <w:rFonts w:ascii="Arial" w:eastAsia="Arial" w:hAnsi="Arial" w:cs="Arial"/>
        </w:rPr>
        <w:t>a</w:t>
      </w:r>
      <w:r w:rsidRPr="00EB1AAB">
        <w:rPr>
          <w:rFonts w:ascii="Arial" w:eastAsia="Arial" w:hAnsi="Arial" w:cs="Arial"/>
          <w:spacing w:val="1"/>
        </w:rPr>
        <w:t>s</w:t>
      </w:r>
      <w:r w:rsidRPr="00EB1AAB">
        <w:rPr>
          <w:rFonts w:ascii="Arial" w:eastAsia="Arial" w:hAnsi="Arial" w:cs="Arial"/>
        </w:rPr>
        <w:t>h</w:t>
      </w:r>
      <w:r w:rsidRPr="00EB1AAB">
        <w:rPr>
          <w:rFonts w:ascii="Arial" w:eastAsia="Arial" w:hAnsi="Arial" w:cs="Arial"/>
          <w:spacing w:val="3"/>
        </w:rPr>
        <w:t xml:space="preserve"> </w:t>
      </w:r>
      <w:r w:rsidRPr="00EB1AAB">
        <w:rPr>
          <w:rFonts w:ascii="Arial" w:eastAsia="Arial" w:hAnsi="Arial" w:cs="Arial"/>
          <w:spacing w:val="5"/>
        </w:rPr>
        <w:t>f</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3"/>
        </w:rPr>
        <w:t>w</w:t>
      </w:r>
      <w:r w:rsidRPr="00EB1AAB">
        <w:rPr>
          <w:rFonts w:ascii="Arial" w:eastAsia="Arial" w:hAnsi="Arial" w:cs="Arial"/>
          <w:spacing w:val="-2"/>
        </w:rPr>
        <w:t>s</w:t>
      </w:r>
      <w:r w:rsidRPr="00EB1AAB">
        <w:rPr>
          <w:rFonts w:ascii="Arial" w:eastAsia="Arial" w:hAnsi="Arial" w:cs="Arial"/>
        </w:rPr>
        <w:t>,</w:t>
      </w:r>
      <w:r w:rsidRPr="00EB1AAB">
        <w:rPr>
          <w:rFonts w:ascii="Arial" w:eastAsia="Arial" w:hAnsi="Arial" w:cs="Arial"/>
          <w:spacing w:val="10"/>
        </w:rPr>
        <w:t xml:space="preserve"> </w:t>
      </w:r>
      <w:r w:rsidRPr="00EB1AAB">
        <w:rPr>
          <w:rFonts w:ascii="Arial" w:eastAsia="Arial" w:hAnsi="Arial" w:cs="Arial"/>
        </w:rPr>
        <w:t>to</w:t>
      </w:r>
      <w:r w:rsidRPr="00EB1AAB">
        <w:rPr>
          <w:rFonts w:ascii="Arial" w:eastAsia="Arial" w:hAnsi="Arial" w:cs="Arial"/>
          <w:spacing w:val="5"/>
        </w:rPr>
        <w:t xml:space="preserve"> </w:t>
      </w:r>
      <w:r w:rsidRPr="00EB1AAB">
        <w:rPr>
          <w:rFonts w:ascii="Arial" w:eastAsia="Arial" w:hAnsi="Arial" w:cs="Arial"/>
          <w:spacing w:val="1"/>
        </w:rPr>
        <w:t>s</w:t>
      </w:r>
      <w:r w:rsidRPr="00EB1AAB">
        <w:rPr>
          <w:rFonts w:ascii="Arial" w:eastAsia="Arial" w:hAnsi="Arial" w:cs="Arial"/>
          <w:spacing w:val="-2"/>
        </w:rPr>
        <w:t>e</w:t>
      </w:r>
      <w:r w:rsidRPr="00EB1AAB">
        <w:rPr>
          <w:rFonts w:ascii="Arial" w:eastAsia="Arial" w:hAnsi="Arial" w:cs="Arial"/>
          <w:spacing w:val="1"/>
        </w:rPr>
        <w:t>l</w:t>
      </w:r>
      <w:r w:rsidRPr="00EB1AAB">
        <w:rPr>
          <w:rFonts w:ascii="Arial" w:eastAsia="Arial" w:hAnsi="Arial" w:cs="Arial"/>
        </w:rPr>
        <w:t>l</w:t>
      </w:r>
      <w:r w:rsidRPr="00EB1AAB">
        <w:rPr>
          <w:rFonts w:ascii="Arial" w:eastAsia="Arial" w:hAnsi="Arial" w:cs="Arial"/>
          <w:spacing w:val="7"/>
        </w:rPr>
        <w:t xml:space="preserve"> </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rPr>
        <w:t>ets</w:t>
      </w:r>
      <w:r w:rsidRPr="00EB1AAB">
        <w:rPr>
          <w:rFonts w:ascii="Arial" w:eastAsia="Arial" w:hAnsi="Arial" w:cs="Arial"/>
          <w:spacing w:val="9"/>
        </w:rPr>
        <w:t xml:space="preserve"> </w:t>
      </w:r>
      <w:r w:rsidRPr="00EB1AAB">
        <w:rPr>
          <w:rFonts w:ascii="Arial" w:eastAsia="Arial" w:hAnsi="Arial" w:cs="Arial"/>
          <w:spacing w:val="-3"/>
        </w:rPr>
        <w:t>o</w:t>
      </w:r>
      <w:r w:rsidRPr="00EB1AAB">
        <w:rPr>
          <w:rFonts w:ascii="Arial" w:eastAsia="Arial" w:hAnsi="Arial" w:cs="Arial"/>
        </w:rPr>
        <w:t>r</w:t>
      </w:r>
      <w:r w:rsidRPr="00EB1AAB">
        <w:rPr>
          <w:rFonts w:ascii="Arial" w:eastAsia="Arial" w:hAnsi="Arial" w:cs="Arial"/>
          <w:spacing w:val="5"/>
        </w:rPr>
        <w:t xml:space="preserve"> </w:t>
      </w:r>
      <w:r w:rsidRPr="00EB1AAB">
        <w:rPr>
          <w:rFonts w:ascii="Arial" w:eastAsia="Arial" w:hAnsi="Arial" w:cs="Arial"/>
          <w:spacing w:val="-3"/>
        </w:rPr>
        <w:t>a</w:t>
      </w:r>
      <w:r w:rsidRPr="00EB1AAB">
        <w:rPr>
          <w:rFonts w:ascii="Arial" w:eastAsia="Arial" w:hAnsi="Arial" w:cs="Arial"/>
          <w:spacing w:val="1"/>
        </w:rPr>
        <w:t>c</w:t>
      </w:r>
      <w:r w:rsidRPr="00EB1AAB">
        <w:rPr>
          <w:rFonts w:ascii="Arial" w:eastAsia="Arial" w:hAnsi="Arial" w:cs="Arial"/>
          <w:spacing w:val="-3"/>
        </w:rPr>
        <w:t>h</w:t>
      </w:r>
      <w:r w:rsidRPr="00EB1AAB">
        <w:rPr>
          <w:rFonts w:ascii="Arial" w:eastAsia="Arial" w:hAnsi="Arial" w:cs="Arial"/>
          <w:spacing w:val="4"/>
        </w:rPr>
        <w:t>i</w:t>
      </w:r>
      <w:r w:rsidRPr="00EB1AAB">
        <w:rPr>
          <w:rFonts w:ascii="Arial" w:eastAsia="Arial" w:hAnsi="Arial" w:cs="Arial"/>
          <w:spacing w:val="-3"/>
        </w:rPr>
        <w:t>e</w:t>
      </w:r>
      <w:r w:rsidRPr="00EB1AAB">
        <w:rPr>
          <w:rFonts w:ascii="Arial" w:eastAsia="Arial" w:hAnsi="Arial" w:cs="Arial"/>
          <w:spacing w:val="3"/>
        </w:rPr>
        <w:t>v</w:t>
      </w:r>
      <w:r w:rsidRPr="00EB1AAB">
        <w:rPr>
          <w:rFonts w:ascii="Arial" w:eastAsia="Arial" w:hAnsi="Arial" w:cs="Arial"/>
        </w:rPr>
        <w:t>e</w:t>
      </w:r>
      <w:r w:rsidRPr="00EB1AAB">
        <w:rPr>
          <w:rFonts w:ascii="Arial" w:eastAsia="Arial" w:hAnsi="Arial" w:cs="Arial"/>
          <w:spacing w:val="11"/>
        </w:rPr>
        <w:t xml:space="preserve"> </w:t>
      </w:r>
      <w:r w:rsidRPr="00EB1AAB">
        <w:rPr>
          <w:rFonts w:ascii="Arial" w:eastAsia="Arial" w:hAnsi="Arial" w:cs="Arial"/>
          <w:spacing w:val="-3"/>
        </w:rPr>
        <w:t>o</w:t>
      </w:r>
      <w:r w:rsidRPr="00EB1AAB">
        <w:rPr>
          <w:rFonts w:ascii="Arial" w:eastAsia="Arial" w:hAnsi="Arial" w:cs="Arial"/>
        </w:rPr>
        <w:t>b</w:t>
      </w:r>
      <w:r w:rsidRPr="00EB1AAB">
        <w:rPr>
          <w:rFonts w:ascii="Arial" w:eastAsia="Arial" w:hAnsi="Arial" w:cs="Arial"/>
          <w:spacing w:val="1"/>
        </w:rPr>
        <w:t>j</w:t>
      </w:r>
      <w:r w:rsidRPr="00EB1AAB">
        <w:rPr>
          <w:rFonts w:ascii="Arial" w:eastAsia="Arial" w:hAnsi="Arial" w:cs="Arial"/>
        </w:rPr>
        <w:t>e</w:t>
      </w:r>
      <w:r w:rsidRPr="00EB1AAB">
        <w:rPr>
          <w:rFonts w:ascii="Arial" w:eastAsia="Arial" w:hAnsi="Arial" w:cs="Arial"/>
          <w:spacing w:val="-2"/>
        </w:rPr>
        <w:t>c</w:t>
      </w:r>
      <w:r w:rsidRPr="00EB1AAB">
        <w:rPr>
          <w:rFonts w:ascii="Arial" w:eastAsia="Arial" w:hAnsi="Arial" w:cs="Arial"/>
          <w:spacing w:val="2"/>
        </w:rPr>
        <w:t>t</w:t>
      </w:r>
      <w:r w:rsidRPr="00EB1AAB">
        <w:rPr>
          <w:rFonts w:ascii="Arial" w:eastAsia="Arial" w:hAnsi="Arial" w:cs="Arial"/>
          <w:spacing w:val="1"/>
        </w:rPr>
        <w:t>iv</w:t>
      </w:r>
      <w:r w:rsidRPr="00EB1AAB">
        <w:rPr>
          <w:rFonts w:ascii="Arial" w:eastAsia="Arial" w:hAnsi="Arial" w:cs="Arial"/>
          <w:spacing w:val="-3"/>
        </w:rPr>
        <w:t>e</w:t>
      </w:r>
      <w:r w:rsidRPr="00EB1AAB">
        <w:rPr>
          <w:rFonts w:ascii="Arial" w:eastAsia="Arial" w:hAnsi="Arial" w:cs="Arial"/>
        </w:rPr>
        <w:t>s</w:t>
      </w:r>
      <w:r w:rsidRPr="00EB1AAB">
        <w:rPr>
          <w:rFonts w:ascii="Arial" w:eastAsia="Arial" w:hAnsi="Arial" w:cs="Arial"/>
          <w:spacing w:val="12"/>
        </w:rPr>
        <w:t xml:space="preserve"> </w:t>
      </w:r>
      <w:r w:rsidRPr="00EB1AAB">
        <w:rPr>
          <w:rFonts w:ascii="Arial" w:eastAsia="Arial" w:hAnsi="Arial" w:cs="Arial"/>
          <w:spacing w:val="2"/>
        </w:rPr>
        <w:t>b</w:t>
      </w:r>
      <w:r w:rsidRPr="00EB1AAB">
        <w:rPr>
          <w:rFonts w:ascii="Arial" w:eastAsia="Arial" w:hAnsi="Arial" w:cs="Arial"/>
        </w:rPr>
        <w:t>y</w:t>
      </w:r>
      <w:r w:rsidRPr="00EB1AAB">
        <w:rPr>
          <w:rFonts w:ascii="Arial" w:eastAsia="Arial" w:hAnsi="Arial" w:cs="Arial"/>
          <w:spacing w:val="2"/>
        </w:rPr>
        <w:t xml:space="preserve"> </w:t>
      </w:r>
      <w:r w:rsidRPr="00EB1AAB">
        <w:rPr>
          <w:rFonts w:ascii="Arial" w:eastAsia="Arial" w:hAnsi="Arial" w:cs="Arial"/>
          <w:w w:val="101"/>
        </w:rPr>
        <w:t>ot</w:t>
      </w:r>
      <w:r w:rsidRPr="00EB1AAB">
        <w:rPr>
          <w:rFonts w:ascii="Arial" w:eastAsia="Arial" w:hAnsi="Arial" w:cs="Arial"/>
          <w:spacing w:val="2"/>
          <w:w w:val="101"/>
        </w:rPr>
        <w:t>h</w:t>
      </w:r>
      <w:r w:rsidRPr="00EB1AAB">
        <w:rPr>
          <w:rFonts w:ascii="Arial" w:eastAsia="Arial" w:hAnsi="Arial" w:cs="Arial"/>
          <w:spacing w:val="-3"/>
          <w:w w:val="101"/>
        </w:rPr>
        <w:t>e</w:t>
      </w:r>
      <w:r w:rsidRPr="00EB1AAB">
        <w:rPr>
          <w:rFonts w:ascii="Arial" w:eastAsia="Arial" w:hAnsi="Arial" w:cs="Arial"/>
          <w:w w:val="101"/>
        </w:rPr>
        <w:t xml:space="preserve">r </w:t>
      </w:r>
      <w:r w:rsidRPr="00EB1AAB">
        <w:rPr>
          <w:rFonts w:ascii="Arial" w:eastAsia="Arial" w:hAnsi="Arial" w:cs="Arial"/>
          <w:spacing w:val="3"/>
          <w:w w:val="101"/>
        </w:rPr>
        <w:t>m</w:t>
      </w:r>
      <w:r w:rsidRPr="00EB1AAB">
        <w:rPr>
          <w:rFonts w:ascii="Arial" w:eastAsia="Arial" w:hAnsi="Arial" w:cs="Arial"/>
          <w:spacing w:val="-3"/>
          <w:w w:val="101"/>
        </w:rPr>
        <w:t>e</w:t>
      </w:r>
      <w:r w:rsidRPr="00EB1AAB">
        <w:rPr>
          <w:rFonts w:ascii="Arial" w:eastAsia="Arial" w:hAnsi="Arial" w:cs="Arial"/>
          <w:w w:val="101"/>
        </w:rPr>
        <w:t>a</w:t>
      </w:r>
      <w:r w:rsidRPr="00EB1AAB">
        <w:rPr>
          <w:rFonts w:ascii="Arial" w:eastAsia="Arial" w:hAnsi="Arial" w:cs="Arial"/>
          <w:spacing w:val="-3"/>
          <w:w w:val="101"/>
        </w:rPr>
        <w:t>n</w:t>
      </w:r>
      <w:r w:rsidRPr="00EB1AAB">
        <w:rPr>
          <w:rFonts w:ascii="Arial" w:eastAsia="Arial" w:hAnsi="Arial" w:cs="Arial"/>
          <w:spacing w:val="1"/>
          <w:w w:val="101"/>
        </w:rPr>
        <w:t>s</w:t>
      </w:r>
      <w:r w:rsidRPr="00EB1AAB">
        <w:rPr>
          <w:rFonts w:ascii="Arial" w:eastAsia="Arial" w:hAnsi="Arial" w:cs="Arial"/>
          <w:w w:val="101"/>
        </w:rPr>
        <w:t>.</w:t>
      </w:r>
    </w:p>
    <w:p w14:paraId="7837F9BA" w14:textId="77777777" w:rsidR="00655E4C" w:rsidRPr="00EB1AAB" w:rsidRDefault="00655E4C" w:rsidP="006F1659">
      <w:pPr>
        <w:spacing w:before="9" w:line="360" w:lineRule="auto"/>
        <w:ind w:right="-88"/>
        <w:rPr>
          <w:rFonts w:ascii="Arial" w:hAnsi="Arial" w:cs="Arial"/>
        </w:rPr>
      </w:pPr>
    </w:p>
    <w:p w14:paraId="16744A5C" w14:textId="77777777" w:rsidR="00655E4C" w:rsidRPr="00EB1AAB" w:rsidRDefault="00655E4C" w:rsidP="006F1659">
      <w:pPr>
        <w:spacing w:line="360" w:lineRule="auto"/>
        <w:ind w:right="-88"/>
        <w:rPr>
          <w:rFonts w:ascii="Arial" w:eastAsia="Arial" w:hAnsi="Arial" w:cs="Arial"/>
        </w:rPr>
      </w:pPr>
      <w:r w:rsidRPr="00EB1AAB">
        <w:rPr>
          <w:rFonts w:ascii="Arial" w:eastAsia="Arial" w:hAnsi="Arial" w:cs="Arial"/>
          <w:spacing w:val="-1"/>
        </w:rPr>
        <w:t>F</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3"/>
        </w:rPr>
        <w:t xml:space="preserve"> </w:t>
      </w:r>
      <w:r w:rsidRPr="00EB1AAB">
        <w:rPr>
          <w:rFonts w:ascii="Arial" w:eastAsia="Arial" w:hAnsi="Arial" w:cs="Arial"/>
          <w:spacing w:val="-3"/>
        </w:rPr>
        <w:t>a</w:t>
      </w:r>
      <w:r w:rsidRPr="00EB1AAB">
        <w:rPr>
          <w:rFonts w:ascii="Arial" w:eastAsia="Arial" w:hAnsi="Arial" w:cs="Arial"/>
          <w:spacing w:val="1"/>
        </w:rPr>
        <w:t>s</w:t>
      </w:r>
      <w:r w:rsidRPr="00EB1AAB">
        <w:rPr>
          <w:rFonts w:ascii="Arial" w:eastAsia="Arial" w:hAnsi="Arial" w:cs="Arial"/>
          <w:spacing w:val="-1"/>
        </w:rPr>
        <w:t>s</w:t>
      </w:r>
      <w:r w:rsidRPr="00EB1AAB">
        <w:rPr>
          <w:rFonts w:ascii="Arial" w:eastAsia="Arial" w:hAnsi="Arial" w:cs="Arial"/>
        </w:rPr>
        <w:t>e</w:t>
      </w:r>
      <w:r w:rsidRPr="00EB1AAB">
        <w:rPr>
          <w:rFonts w:ascii="Arial" w:eastAsia="Arial" w:hAnsi="Arial" w:cs="Arial"/>
          <w:spacing w:val="-1"/>
        </w:rPr>
        <w:t>t</w:t>
      </w:r>
      <w:r w:rsidRPr="00EB1AAB">
        <w:rPr>
          <w:rFonts w:ascii="Arial" w:eastAsia="Arial" w:hAnsi="Arial" w:cs="Arial"/>
        </w:rPr>
        <w:t>s</w:t>
      </w:r>
      <w:r w:rsidRPr="00EB1AAB">
        <w:rPr>
          <w:rFonts w:ascii="Arial" w:eastAsia="Arial" w:hAnsi="Arial" w:cs="Arial"/>
          <w:spacing w:val="9"/>
        </w:rPr>
        <w:t xml:space="preserve"> </w:t>
      </w:r>
      <w:r w:rsidRPr="00EB1AAB">
        <w:rPr>
          <w:rFonts w:ascii="Arial" w:eastAsia="Arial" w:hAnsi="Arial" w:cs="Arial"/>
          <w:spacing w:val="2"/>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spacing w:val="-2"/>
        </w:rPr>
        <w:t>introduced</w:t>
      </w:r>
      <w:r w:rsidRPr="00EB1AAB">
        <w:rPr>
          <w:rFonts w:ascii="Arial" w:eastAsia="Arial" w:hAnsi="Arial" w:cs="Arial"/>
          <w:spacing w:val="14"/>
        </w:rPr>
        <w:t xml:space="preserve"> </w:t>
      </w:r>
      <w:r w:rsidRPr="00EB1AAB">
        <w:rPr>
          <w:rFonts w:ascii="Arial" w:eastAsia="Arial" w:hAnsi="Arial" w:cs="Arial"/>
          <w:spacing w:val="-2"/>
        </w:rPr>
        <w:t>o</w:t>
      </w:r>
      <w:r w:rsidRPr="00EB1AAB">
        <w:rPr>
          <w:rFonts w:ascii="Arial" w:eastAsia="Arial" w:hAnsi="Arial" w:cs="Arial"/>
        </w:rPr>
        <w:t>n</w:t>
      </w:r>
      <w:r w:rsidRPr="00EB1AAB">
        <w:rPr>
          <w:rFonts w:ascii="Arial" w:eastAsia="Arial" w:hAnsi="Arial" w:cs="Arial"/>
          <w:spacing w:val="2"/>
        </w:rPr>
        <w:t>t</w:t>
      </w:r>
      <w:r w:rsidRPr="00EB1AAB">
        <w:rPr>
          <w:rFonts w:ascii="Arial" w:eastAsia="Arial" w:hAnsi="Arial" w:cs="Arial"/>
        </w:rPr>
        <w:t>o</w:t>
      </w:r>
      <w:r w:rsidRPr="00EB1AAB">
        <w:rPr>
          <w:rFonts w:ascii="Arial" w:eastAsia="Arial" w:hAnsi="Arial" w:cs="Arial"/>
          <w:spacing w:val="5"/>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2"/>
        </w:rPr>
        <w:t xml:space="preserve"> b</w:t>
      </w:r>
      <w:r w:rsidRPr="00EB1AAB">
        <w:rPr>
          <w:rFonts w:ascii="Arial" w:eastAsia="Arial" w:hAnsi="Arial" w:cs="Arial"/>
          <w:spacing w:val="-3"/>
        </w:rPr>
        <w:t>a</w:t>
      </w:r>
      <w:r w:rsidRPr="00EB1AAB">
        <w:rPr>
          <w:rFonts w:ascii="Arial" w:eastAsia="Arial" w:hAnsi="Arial" w:cs="Arial"/>
          <w:spacing w:val="4"/>
        </w:rPr>
        <w:t>l</w:t>
      </w:r>
      <w:r w:rsidRPr="00EB1AAB">
        <w:rPr>
          <w:rFonts w:ascii="Arial" w:eastAsia="Arial" w:hAnsi="Arial" w:cs="Arial"/>
          <w:spacing w:val="-3"/>
        </w:rPr>
        <w:t>a</w:t>
      </w:r>
      <w:r w:rsidRPr="00EB1AAB">
        <w:rPr>
          <w:rFonts w:ascii="Arial" w:eastAsia="Arial" w:hAnsi="Arial" w:cs="Arial"/>
        </w:rPr>
        <w:t>n</w:t>
      </w:r>
      <w:r w:rsidRPr="00EB1AAB">
        <w:rPr>
          <w:rFonts w:ascii="Arial" w:eastAsia="Arial" w:hAnsi="Arial" w:cs="Arial"/>
          <w:spacing w:val="3"/>
        </w:rPr>
        <w:t>c</w:t>
      </w:r>
      <w:r w:rsidRPr="00EB1AAB">
        <w:rPr>
          <w:rFonts w:ascii="Arial" w:eastAsia="Arial" w:hAnsi="Arial" w:cs="Arial"/>
        </w:rPr>
        <w:t>e</w:t>
      </w:r>
      <w:r w:rsidRPr="00EB1AAB">
        <w:rPr>
          <w:rFonts w:ascii="Arial" w:eastAsia="Arial" w:hAnsi="Arial" w:cs="Arial"/>
          <w:spacing w:val="9"/>
        </w:rPr>
        <w:t xml:space="preserve"> </w:t>
      </w:r>
      <w:r w:rsidRPr="00EB1AAB">
        <w:rPr>
          <w:rFonts w:ascii="Arial" w:eastAsia="Arial" w:hAnsi="Arial" w:cs="Arial"/>
          <w:spacing w:val="1"/>
        </w:rPr>
        <w:t>s</w:t>
      </w:r>
      <w:r w:rsidRPr="00EB1AAB">
        <w:rPr>
          <w:rFonts w:ascii="Arial" w:eastAsia="Arial" w:hAnsi="Arial" w:cs="Arial"/>
        </w:rPr>
        <w:t>he</w:t>
      </w:r>
      <w:r w:rsidRPr="00EB1AAB">
        <w:rPr>
          <w:rFonts w:ascii="Arial" w:eastAsia="Arial" w:hAnsi="Arial" w:cs="Arial"/>
          <w:spacing w:val="-1"/>
        </w:rPr>
        <w:t>e</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rPr>
        <w:t>at</w:t>
      </w:r>
      <w:r w:rsidRPr="00EB1AAB">
        <w:rPr>
          <w:rFonts w:ascii="Arial" w:eastAsia="Arial" w:hAnsi="Arial" w:cs="Arial"/>
          <w:spacing w:val="3"/>
        </w:rPr>
        <w:t xml:space="preserve"> </w:t>
      </w:r>
      <w:r w:rsidRPr="00EB1AAB">
        <w:rPr>
          <w:rFonts w:ascii="Arial" w:eastAsia="Arial" w:hAnsi="Arial" w:cs="Arial"/>
          <w:spacing w:val="2"/>
        </w:rPr>
        <w:t>f</w:t>
      </w:r>
      <w:r w:rsidRPr="00EB1AAB">
        <w:rPr>
          <w:rFonts w:ascii="Arial" w:eastAsia="Arial" w:hAnsi="Arial" w:cs="Arial"/>
        </w:rPr>
        <w:t>a</w:t>
      </w:r>
      <w:r w:rsidRPr="00EB1AAB">
        <w:rPr>
          <w:rFonts w:ascii="Arial" w:eastAsia="Arial" w:hAnsi="Arial" w:cs="Arial"/>
          <w:spacing w:val="1"/>
        </w:rPr>
        <w:t>i</w:t>
      </w:r>
      <w:r w:rsidRPr="00EB1AAB">
        <w:rPr>
          <w:rFonts w:ascii="Arial" w:eastAsia="Arial" w:hAnsi="Arial" w:cs="Arial"/>
        </w:rPr>
        <w:t>r</w:t>
      </w:r>
      <w:r w:rsidRPr="00EB1AAB">
        <w:rPr>
          <w:rFonts w:ascii="Arial" w:eastAsia="Arial" w:hAnsi="Arial" w:cs="Arial"/>
          <w:spacing w:val="6"/>
        </w:rPr>
        <w:t xml:space="preserve"> </w:t>
      </w:r>
      <w:r w:rsidRPr="00EB1AAB">
        <w:rPr>
          <w:rFonts w:ascii="Arial" w:eastAsia="Arial" w:hAnsi="Arial" w:cs="Arial"/>
          <w:spacing w:val="-1"/>
        </w:rPr>
        <w:t>v</w:t>
      </w:r>
      <w:r w:rsidRPr="00EB1AAB">
        <w:rPr>
          <w:rFonts w:ascii="Arial" w:eastAsia="Arial" w:hAnsi="Arial" w:cs="Arial"/>
        </w:rPr>
        <w:t>a</w:t>
      </w:r>
      <w:r w:rsidRPr="00EB1AAB">
        <w:rPr>
          <w:rFonts w:ascii="Arial" w:eastAsia="Arial" w:hAnsi="Arial" w:cs="Arial"/>
          <w:spacing w:val="1"/>
        </w:rPr>
        <w:t>l</w:t>
      </w:r>
      <w:r w:rsidRPr="00EB1AAB">
        <w:rPr>
          <w:rFonts w:ascii="Arial" w:eastAsia="Arial" w:hAnsi="Arial" w:cs="Arial"/>
        </w:rPr>
        <w:t>ue</w:t>
      </w:r>
      <w:r w:rsidRPr="00EB1AAB">
        <w:rPr>
          <w:rFonts w:ascii="Arial" w:eastAsia="Arial" w:hAnsi="Arial" w:cs="Arial"/>
          <w:spacing w:val="5"/>
        </w:rPr>
        <w:t xml:space="preserve"> </w:t>
      </w:r>
      <w:r w:rsidRPr="00EB1AAB">
        <w:rPr>
          <w:rFonts w:ascii="Arial" w:eastAsia="Arial" w:hAnsi="Arial" w:cs="Arial"/>
        </w:rPr>
        <w:t>wh</w:t>
      </w:r>
      <w:r w:rsidRPr="00EB1AAB">
        <w:rPr>
          <w:rFonts w:ascii="Arial" w:eastAsia="Arial" w:hAnsi="Arial" w:cs="Arial"/>
          <w:spacing w:val="-1"/>
        </w:rPr>
        <w:t>e</w:t>
      </w:r>
      <w:r w:rsidRPr="00EB1AAB">
        <w:rPr>
          <w:rFonts w:ascii="Arial" w:eastAsia="Arial" w:hAnsi="Arial" w:cs="Arial"/>
        </w:rPr>
        <w:t>n</w:t>
      </w:r>
      <w:r w:rsidRPr="00EB1AAB">
        <w:rPr>
          <w:rFonts w:ascii="Arial" w:eastAsia="Arial" w:hAnsi="Arial" w:cs="Arial"/>
          <w:spacing w:val="3"/>
        </w:rPr>
        <w:t xml:space="preserve"> </w:t>
      </w:r>
      <w:r w:rsidRPr="00EB1AAB">
        <w:rPr>
          <w:rFonts w:ascii="Arial" w:eastAsia="Arial" w:hAnsi="Arial" w:cs="Arial"/>
          <w:spacing w:val="2"/>
        </w:rPr>
        <w:t>t</w:t>
      </w:r>
      <w:r w:rsidRPr="00EB1AAB">
        <w:rPr>
          <w:rFonts w:ascii="Arial" w:eastAsia="Arial" w:hAnsi="Arial" w:cs="Arial"/>
        </w:rPr>
        <w:t>he</w:t>
      </w:r>
      <w:r w:rsidRPr="00EB1AAB">
        <w:rPr>
          <w:rFonts w:ascii="Arial" w:eastAsia="Arial" w:hAnsi="Arial" w:cs="Arial"/>
          <w:spacing w:val="4"/>
        </w:rPr>
        <w:t xml:space="preserve"> </w:t>
      </w:r>
      <w:r w:rsidRPr="00EB1AAB">
        <w:rPr>
          <w:rFonts w:ascii="Arial" w:eastAsia="Arial" w:hAnsi="Arial" w:cs="Arial"/>
          <w:spacing w:val="2"/>
          <w:w w:val="101"/>
        </w:rPr>
        <w:t xml:space="preserve">Authority </w:t>
      </w:r>
      <w:r w:rsidRPr="00EB1AAB">
        <w:rPr>
          <w:rFonts w:ascii="Arial" w:eastAsia="Arial" w:hAnsi="Arial" w:cs="Arial"/>
        </w:rPr>
        <w:t>b</w:t>
      </w:r>
      <w:r w:rsidRPr="00EB1AAB">
        <w:rPr>
          <w:rFonts w:ascii="Arial" w:eastAsia="Arial" w:hAnsi="Arial" w:cs="Arial"/>
          <w:spacing w:val="-3"/>
        </w:rPr>
        <w:t>e</w:t>
      </w:r>
      <w:r w:rsidRPr="00EB1AAB">
        <w:rPr>
          <w:rFonts w:ascii="Arial" w:eastAsia="Arial" w:hAnsi="Arial" w:cs="Arial"/>
          <w:spacing w:val="3"/>
        </w:rPr>
        <w:t>c</w:t>
      </w:r>
      <w:r w:rsidRPr="00EB1AAB">
        <w:rPr>
          <w:rFonts w:ascii="Arial" w:eastAsia="Arial" w:hAnsi="Arial" w:cs="Arial"/>
          <w:spacing w:val="-3"/>
        </w:rPr>
        <w:t>o</w:t>
      </w:r>
      <w:r w:rsidRPr="00EB1AAB">
        <w:rPr>
          <w:rFonts w:ascii="Arial" w:eastAsia="Arial" w:hAnsi="Arial" w:cs="Arial"/>
          <w:spacing w:val="2"/>
        </w:rPr>
        <w:t>m</w:t>
      </w:r>
      <w:r w:rsidRPr="00EB1AAB">
        <w:rPr>
          <w:rFonts w:ascii="Arial" w:eastAsia="Arial" w:hAnsi="Arial" w:cs="Arial"/>
        </w:rPr>
        <w:t>es</w:t>
      </w:r>
      <w:r w:rsidRPr="00EB1AAB">
        <w:rPr>
          <w:rFonts w:ascii="Arial" w:eastAsia="Arial" w:hAnsi="Arial" w:cs="Arial"/>
          <w:spacing w:val="8"/>
        </w:rPr>
        <w:t xml:space="preserve"> </w:t>
      </w:r>
      <w:r w:rsidRPr="00EB1AAB">
        <w:rPr>
          <w:rFonts w:ascii="Arial" w:eastAsia="Arial" w:hAnsi="Arial" w:cs="Arial"/>
        </w:rPr>
        <w:t>a</w:t>
      </w:r>
      <w:r w:rsidRPr="00EB1AAB">
        <w:rPr>
          <w:rFonts w:ascii="Arial" w:eastAsia="Arial" w:hAnsi="Arial" w:cs="Arial"/>
          <w:spacing w:val="4"/>
        </w:rPr>
        <w:t xml:space="preserve"> </w:t>
      </w:r>
      <w:r w:rsidRPr="00EB1AAB">
        <w:rPr>
          <w:rFonts w:ascii="Arial" w:eastAsia="Arial" w:hAnsi="Arial" w:cs="Arial"/>
        </w:rPr>
        <w:t>p</w:t>
      </w:r>
      <w:r w:rsidRPr="00EB1AAB">
        <w:rPr>
          <w:rFonts w:ascii="Arial" w:eastAsia="Arial" w:hAnsi="Arial" w:cs="Arial"/>
          <w:spacing w:val="-1"/>
        </w:rPr>
        <w:t>ar</w:t>
      </w:r>
      <w:r w:rsidRPr="00EB1AAB">
        <w:rPr>
          <w:rFonts w:ascii="Arial" w:eastAsia="Arial" w:hAnsi="Arial" w:cs="Arial"/>
          <w:spacing w:val="5"/>
        </w:rPr>
        <w:t>t</w:t>
      </w:r>
      <w:r w:rsidRPr="00EB1AAB">
        <w:rPr>
          <w:rFonts w:ascii="Arial" w:eastAsia="Arial" w:hAnsi="Arial" w:cs="Arial"/>
        </w:rPr>
        <w:t>y</w:t>
      </w:r>
      <w:r w:rsidRPr="00EB1AAB">
        <w:rPr>
          <w:rFonts w:ascii="Arial" w:eastAsia="Arial" w:hAnsi="Arial" w:cs="Arial"/>
          <w:spacing w:val="2"/>
        </w:rPr>
        <w:t xml:space="preserve"> t</w:t>
      </w:r>
      <w:r w:rsidRPr="00EB1AAB">
        <w:rPr>
          <w:rFonts w:ascii="Arial" w:eastAsia="Arial" w:hAnsi="Arial" w:cs="Arial"/>
        </w:rPr>
        <w:t>o</w:t>
      </w:r>
      <w:r w:rsidRPr="00EB1AAB">
        <w:rPr>
          <w:rFonts w:ascii="Arial" w:eastAsia="Arial" w:hAnsi="Arial" w:cs="Arial"/>
          <w:spacing w:val="3"/>
        </w:rPr>
        <w:t xml:space="preserve"> any </w:t>
      </w:r>
      <w:r w:rsidRPr="00EB1AAB">
        <w:rPr>
          <w:rFonts w:ascii="Arial" w:eastAsia="Arial" w:hAnsi="Arial" w:cs="Arial"/>
          <w:spacing w:val="-1"/>
        </w:rPr>
        <w:t>c</w:t>
      </w:r>
      <w:r w:rsidRPr="00EB1AAB">
        <w:rPr>
          <w:rFonts w:ascii="Arial" w:eastAsia="Arial" w:hAnsi="Arial" w:cs="Arial"/>
          <w:spacing w:val="2"/>
        </w:rPr>
        <w:t>o</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spacing w:val="-1"/>
        </w:rPr>
        <w:t>r</w:t>
      </w:r>
      <w:r w:rsidRPr="00EB1AAB">
        <w:rPr>
          <w:rFonts w:ascii="Arial" w:eastAsia="Arial" w:hAnsi="Arial" w:cs="Arial"/>
          <w:spacing w:val="-3"/>
        </w:rPr>
        <w:t>a</w:t>
      </w:r>
      <w:r w:rsidRPr="00EB1AAB">
        <w:rPr>
          <w:rFonts w:ascii="Arial" w:eastAsia="Arial" w:hAnsi="Arial" w:cs="Arial"/>
          <w:spacing w:val="1"/>
        </w:rPr>
        <w:t>c</w:t>
      </w:r>
      <w:r w:rsidRPr="00EB1AAB">
        <w:rPr>
          <w:rFonts w:ascii="Arial" w:eastAsia="Arial" w:hAnsi="Arial" w:cs="Arial"/>
          <w:spacing w:val="2"/>
        </w:rPr>
        <w:t>t</w:t>
      </w:r>
      <w:r w:rsidRPr="00EB1AAB">
        <w:rPr>
          <w:rFonts w:ascii="Arial" w:eastAsia="Arial" w:hAnsi="Arial" w:cs="Arial"/>
        </w:rPr>
        <w:t>u</w:t>
      </w:r>
      <w:r w:rsidRPr="00EB1AAB">
        <w:rPr>
          <w:rFonts w:ascii="Arial" w:eastAsia="Arial" w:hAnsi="Arial" w:cs="Arial"/>
          <w:spacing w:val="-3"/>
        </w:rPr>
        <w:t>a</w:t>
      </w:r>
      <w:r w:rsidRPr="00EB1AAB">
        <w:rPr>
          <w:rFonts w:ascii="Arial" w:eastAsia="Arial" w:hAnsi="Arial" w:cs="Arial"/>
        </w:rPr>
        <w:t>l</w:t>
      </w:r>
      <w:r w:rsidRPr="00EB1AAB">
        <w:rPr>
          <w:rFonts w:ascii="Arial" w:eastAsia="Arial" w:hAnsi="Arial" w:cs="Arial"/>
          <w:spacing w:val="15"/>
        </w:rPr>
        <w:t xml:space="preserve"> </w:t>
      </w:r>
      <w:r w:rsidRPr="00EB1AAB">
        <w:rPr>
          <w:rFonts w:ascii="Arial" w:eastAsia="Arial" w:hAnsi="Arial" w:cs="Arial"/>
          <w:spacing w:val="-3"/>
          <w:w w:val="101"/>
        </w:rPr>
        <w:t>p</w:t>
      </w:r>
      <w:r w:rsidRPr="00EB1AAB">
        <w:rPr>
          <w:rFonts w:ascii="Arial" w:eastAsia="Arial" w:hAnsi="Arial" w:cs="Arial"/>
          <w:spacing w:val="1"/>
          <w:w w:val="101"/>
        </w:rPr>
        <w:t>r</w:t>
      </w:r>
      <w:r w:rsidRPr="00EB1AAB">
        <w:rPr>
          <w:rFonts w:ascii="Arial" w:eastAsia="Arial" w:hAnsi="Arial" w:cs="Arial"/>
          <w:w w:val="101"/>
        </w:rPr>
        <w:t>o</w:t>
      </w:r>
      <w:r w:rsidRPr="00EB1AAB">
        <w:rPr>
          <w:rFonts w:ascii="Arial" w:eastAsia="Arial" w:hAnsi="Arial" w:cs="Arial"/>
          <w:spacing w:val="1"/>
          <w:w w:val="101"/>
        </w:rPr>
        <w:t>visi</w:t>
      </w:r>
      <w:r w:rsidRPr="00EB1AAB">
        <w:rPr>
          <w:rFonts w:ascii="Arial" w:eastAsia="Arial" w:hAnsi="Arial" w:cs="Arial"/>
          <w:w w:val="101"/>
        </w:rPr>
        <w:t>o</w:t>
      </w:r>
      <w:r w:rsidRPr="00EB1AAB">
        <w:rPr>
          <w:rFonts w:ascii="Arial" w:eastAsia="Arial" w:hAnsi="Arial" w:cs="Arial"/>
          <w:spacing w:val="-3"/>
          <w:w w:val="101"/>
        </w:rPr>
        <w:t>n</w:t>
      </w:r>
      <w:r w:rsidRPr="00EB1AAB">
        <w:rPr>
          <w:rFonts w:ascii="Arial" w:eastAsia="Arial" w:hAnsi="Arial" w:cs="Arial"/>
          <w:w w:val="101"/>
        </w:rPr>
        <w:t>.</w:t>
      </w:r>
    </w:p>
    <w:p w14:paraId="06557395" w14:textId="77777777" w:rsidR="00655E4C" w:rsidRPr="00EB1AAB" w:rsidRDefault="00655E4C" w:rsidP="006F1659">
      <w:pPr>
        <w:spacing w:before="6" w:line="360" w:lineRule="auto"/>
        <w:ind w:right="-88"/>
        <w:rPr>
          <w:rFonts w:ascii="Arial" w:hAnsi="Arial" w:cs="Arial"/>
        </w:rPr>
      </w:pPr>
    </w:p>
    <w:p w14:paraId="173FCB89" w14:textId="11E89122" w:rsidR="00655E4C" w:rsidRPr="00EB1AAB" w:rsidRDefault="00655E4C" w:rsidP="00CF25A6">
      <w:pPr>
        <w:pStyle w:val="Heading5"/>
        <w:spacing w:line="360" w:lineRule="auto"/>
        <w:rPr>
          <w:lang w:eastAsia="en-GB"/>
        </w:rPr>
      </w:pPr>
      <w:r w:rsidRPr="00EB1AAB">
        <w:rPr>
          <w:lang w:eastAsia="en-GB"/>
        </w:rPr>
        <w:t>1.1</w:t>
      </w:r>
      <w:r w:rsidR="00E85440">
        <w:rPr>
          <w:lang w:eastAsia="en-GB"/>
        </w:rPr>
        <w:t>8</w:t>
      </w:r>
      <w:r w:rsidRPr="00EB1AAB">
        <w:rPr>
          <w:lang w:eastAsia="en-GB"/>
        </w:rPr>
        <w:t>.1. A</w:t>
      </w:r>
      <w:r w:rsidRPr="00CF25A6">
        <w:rPr>
          <w:lang w:eastAsia="en-GB"/>
        </w:rPr>
        <w:t>morti</w:t>
      </w:r>
      <w:r w:rsidRPr="00EB1AAB">
        <w:rPr>
          <w:lang w:eastAsia="en-GB"/>
        </w:rPr>
        <w:t>sed</w:t>
      </w:r>
      <w:r w:rsidRPr="00CF25A6">
        <w:rPr>
          <w:lang w:eastAsia="en-GB"/>
        </w:rPr>
        <w:t xml:space="preserve"> </w:t>
      </w:r>
      <w:r w:rsidRPr="00EB1AAB">
        <w:rPr>
          <w:lang w:eastAsia="en-GB"/>
        </w:rPr>
        <w:t>C</w:t>
      </w:r>
      <w:r w:rsidRPr="00CF25A6">
        <w:rPr>
          <w:lang w:eastAsia="en-GB"/>
        </w:rPr>
        <w:t>o</w:t>
      </w:r>
      <w:r w:rsidRPr="00EB1AAB">
        <w:rPr>
          <w:lang w:eastAsia="en-GB"/>
        </w:rPr>
        <w:t>st</w:t>
      </w:r>
    </w:p>
    <w:p w14:paraId="05700749" w14:textId="77777777" w:rsidR="00655E4C" w:rsidRPr="00EB1AAB" w:rsidRDefault="00655E4C" w:rsidP="006F1659">
      <w:pPr>
        <w:spacing w:line="360" w:lineRule="auto"/>
        <w:ind w:right="-88"/>
        <w:rPr>
          <w:rFonts w:ascii="Arial" w:eastAsia="Arial" w:hAnsi="Arial" w:cs="Arial"/>
          <w:u w:val="single"/>
        </w:rPr>
      </w:pPr>
    </w:p>
    <w:p w14:paraId="35D43E0F" w14:textId="77777777" w:rsidR="00655E4C" w:rsidRPr="00EB1AAB" w:rsidRDefault="00655E4C" w:rsidP="006F1659">
      <w:pPr>
        <w:spacing w:before="7" w:line="360" w:lineRule="auto"/>
        <w:ind w:right="-88"/>
        <w:rPr>
          <w:rFonts w:ascii="Arial" w:eastAsia="Arial" w:hAnsi="Arial" w:cs="Arial"/>
        </w:rPr>
      </w:pPr>
      <w:r w:rsidRPr="00EB1AAB">
        <w:rPr>
          <w:rFonts w:ascii="Arial" w:eastAsia="Arial" w:hAnsi="Arial" w:cs="Arial"/>
          <w:spacing w:val="-1"/>
        </w:rPr>
        <w:t>T</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3"/>
        </w:rPr>
        <w:t>a</w:t>
      </w:r>
      <w:r w:rsidRPr="00EB1AAB">
        <w:rPr>
          <w:rFonts w:ascii="Arial" w:eastAsia="Arial" w:hAnsi="Arial" w:cs="Arial"/>
          <w:spacing w:val="1"/>
        </w:rPr>
        <w:t>s</w:t>
      </w:r>
      <w:r w:rsidRPr="00EB1AAB">
        <w:rPr>
          <w:rFonts w:ascii="Arial" w:eastAsia="Arial" w:hAnsi="Arial" w:cs="Arial"/>
          <w:spacing w:val="3"/>
        </w:rPr>
        <w:t>s</w:t>
      </w:r>
      <w:r w:rsidRPr="00EB1AAB">
        <w:rPr>
          <w:rFonts w:ascii="Arial" w:eastAsia="Arial" w:hAnsi="Arial" w:cs="Arial"/>
          <w:spacing w:val="-3"/>
        </w:rPr>
        <w:t>e</w:t>
      </w:r>
      <w:r w:rsidRPr="00EB1AAB">
        <w:rPr>
          <w:rFonts w:ascii="Arial" w:eastAsia="Arial" w:hAnsi="Arial" w:cs="Arial"/>
        </w:rPr>
        <w:t>ts</w:t>
      </w:r>
      <w:r w:rsidRPr="00EB1AAB">
        <w:rPr>
          <w:rFonts w:ascii="Arial" w:eastAsia="Arial" w:hAnsi="Arial" w:cs="Arial"/>
          <w:spacing w:val="9"/>
        </w:rPr>
        <w:t xml:space="preserve"> </w:t>
      </w:r>
      <w:r w:rsidRPr="00EB1AAB">
        <w:rPr>
          <w:rFonts w:ascii="Arial" w:eastAsia="Arial" w:hAnsi="Arial" w:cs="Arial"/>
          <w:spacing w:val="2"/>
        </w:rPr>
        <w:t>r</w:t>
      </w:r>
      <w:r w:rsidRPr="00EB1AAB">
        <w:rPr>
          <w:rFonts w:ascii="Arial" w:eastAsia="Arial" w:hAnsi="Arial" w:cs="Arial"/>
          <w:spacing w:val="-3"/>
        </w:rPr>
        <w:t>e</w:t>
      </w:r>
      <w:r w:rsidRPr="00EB1AAB">
        <w:rPr>
          <w:rFonts w:ascii="Arial" w:eastAsia="Arial" w:hAnsi="Arial" w:cs="Arial"/>
          <w:spacing w:val="3"/>
        </w:rPr>
        <w:t>l</w:t>
      </w:r>
      <w:r w:rsidRPr="00EB1AAB">
        <w:rPr>
          <w:rFonts w:ascii="Arial" w:eastAsia="Arial" w:hAnsi="Arial" w:cs="Arial"/>
          <w:spacing w:val="-3"/>
        </w:rPr>
        <w:t>a</w:t>
      </w:r>
      <w:r w:rsidRPr="00EB1AAB">
        <w:rPr>
          <w:rFonts w:ascii="Arial" w:eastAsia="Arial" w:hAnsi="Arial" w:cs="Arial"/>
          <w:spacing w:val="2"/>
        </w:rPr>
        <w:t>t</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to</w:t>
      </w:r>
      <w:r w:rsidRPr="00EB1AAB">
        <w:rPr>
          <w:rFonts w:ascii="Arial" w:eastAsia="Arial" w:hAnsi="Arial" w:cs="Arial"/>
          <w:spacing w:val="6"/>
        </w:rPr>
        <w:t xml:space="preserve"> </w:t>
      </w:r>
      <w:r w:rsidRPr="00EB1AAB">
        <w:rPr>
          <w:rFonts w:ascii="Arial" w:eastAsia="Arial" w:hAnsi="Arial" w:cs="Arial"/>
        </w:rPr>
        <w:t>f</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2"/>
        </w:rPr>
        <w:t xml:space="preserve"> </w:t>
      </w:r>
      <w:r w:rsidRPr="00EB1AAB">
        <w:rPr>
          <w:rFonts w:ascii="Arial" w:eastAsia="Arial" w:hAnsi="Arial" w:cs="Arial"/>
          <w:spacing w:val="1"/>
        </w:rPr>
        <w:t>i</w:t>
      </w:r>
      <w:r w:rsidRPr="00EB1AAB">
        <w:rPr>
          <w:rFonts w:ascii="Arial" w:eastAsia="Arial" w:hAnsi="Arial" w:cs="Arial"/>
          <w:spacing w:val="-3"/>
        </w:rPr>
        <w:t>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2"/>
        </w:rPr>
        <w:t>r</w:t>
      </w:r>
      <w:r w:rsidRPr="00EB1AAB">
        <w:rPr>
          <w:rFonts w:ascii="Arial" w:eastAsia="Arial" w:hAnsi="Arial" w:cs="Arial"/>
          <w:spacing w:val="-2"/>
        </w:rPr>
        <w:t>u</w:t>
      </w:r>
      <w:r w:rsidRPr="00EB1AAB">
        <w:rPr>
          <w:rFonts w:ascii="Arial" w:eastAsia="Arial" w:hAnsi="Arial" w:cs="Arial"/>
          <w:spacing w:val="2"/>
        </w:rPr>
        <w:t>m</w:t>
      </w:r>
      <w:r w:rsidRPr="00EB1AAB">
        <w:rPr>
          <w:rFonts w:ascii="Arial" w:eastAsia="Arial" w:hAnsi="Arial" w:cs="Arial"/>
          <w:spacing w:val="-3"/>
        </w:rPr>
        <w:t>e</w:t>
      </w:r>
      <w:r w:rsidRPr="00EB1AAB">
        <w:rPr>
          <w:rFonts w:ascii="Arial" w:eastAsia="Arial" w:hAnsi="Arial" w:cs="Arial"/>
        </w:rPr>
        <w:t>n</w:t>
      </w:r>
      <w:r w:rsidRPr="00EB1AAB">
        <w:rPr>
          <w:rFonts w:ascii="Arial" w:eastAsia="Arial" w:hAnsi="Arial" w:cs="Arial"/>
          <w:spacing w:val="-1"/>
        </w:rPr>
        <w:t>t</w:t>
      </w:r>
      <w:r w:rsidRPr="00EB1AAB">
        <w:rPr>
          <w:rFonts w:ascii="Arial" w:eastAsia="Arial" w:hAnsi="Arial" w:cs="Arial"/>
        </w:rPr>
        <w:t>s</w:t>
      </w:r>
      <w:r w:rsidRPr="00EB1AAB">
        <w:rPr>
          <w:rFonts w:ascii="Arial" w:eastAsia="Arial" w:hAnsi="Arial" w:cs="Arial"/>
          <w:spacing w:val="16"/>
        </w:rPr>
        <w:t xml:space="preserve"> </w:t>
      </w:r>
      <w:r w:rsidRPr="00EB1AAB">
        <w:rPr>
          <w:rFonts w:ascii="Arial" w:eastAsia="Arial" w:hAnsi="Arial" w:cs="Arial"/>
        </w:rPr>
        <w:t>wh</w:t>
      </w:r>
      <w:r w:rsidRPr="00EB1AAB">
        <w:rPr>
          <w:rFonts w:ascii="Arial" w:eastAsia="Arial" w:hAnsi="Arial" w:cs="Arial"/>
          <w:spacing w:val="-1"/>
        </w:rPr>
        <w:t>er</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2"/>
        </w:rPr>
        <w:t>a</w:t>
      </w:r>
      <w:r w:rsidRPr="00EB1AAB">
        <w:rPr>
          <w:rFonts w:ascii="Arial" w:eastAsia="Arial" w:hAnsi="Arial" w:cs="Arial"/>
          <w:spacing w:val="2"/>
        </w:rPr>
        <w:t>m</w:t>
      </w:r>
      <w:r w:rsidRPr="00EB1AAB">
        <w:rPr>
          <w:rFonts w:ascii="Arial" w:eastAsia="Arial" w:hAnsi="Arial" w:cs="Arial"/>
        </w:rPr>
        <w:t>o</w:t>
      </w:r>
      <w:r w:rsidRPr="00EB1AAB">
        <w:rPr>
          <w:rFonts w:ascii="Arial" w:eastAsia="Arial" w:hAnsi="Arial" w:cs="Arial"/>
          <w:spacing w:val="2"/>
        </w:rPr>
        <w:t>u</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11"/>
        </w:rPr>
        <w:t xml:space="preserve"> </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3"/>
        </w:rPr>
        <w:t>c</w:t>
      </w:r>
      <w:r w:rsidRPr="00EB1AAB">
        <w:rPr>
          <w:rFonts w:ascii="Arial" w:eastAsia="Arial" w:hAnsi="Arial" w:cs="Arial"/>
          <w:spacing w:val="-3"/>
        </w:rPr>
        <w:t>e</w:t>
      </w:r>
      <w:r w:rsidRPr="00EB1AAB">
        <w:rPr>
          <w:rFonts w:ascii="Arial" w:eastAsia="Arial" w:hAnsi="Arial" w:cs="Arial"/>
          <w:spacing w:val="4"/>
        </w:rPr>
        <w:t>i</w:t>
      </w:r>
      <w:r w:rsidRPr="00EB1AAB">
        <w:rPr>
          <w:rFonts w:ascii="Arial" w:eastAsia="Arial" w:hAnsi="Arial" w:cs="Arial"/>
          <w:spacing w:val="-1"/>
        </w:rPr>
        <w:t>v</w:t>
      </w:r>
      <w:r w:rsidRPr="00EB1AAB">
        <w:rPr>
          <w:rFonts w:ascii="Arial" w:eastAsia="Arial" w:hAnsi="Arial" w:cs="Arial"/>
        </w:rPr>
        <w:t>ed</w:t>
      </w:r>
      <w:r w:rsidRPr="00EB1AAB">
        <w:rPr>
          <w:rFonts w:ascii="Arial" w:eastAsia="Arial" w:hAnsi="Arial" w:cs="Arial"/>
          <w:spacing w:val="10"/>
        </w:rPr>
        <w:t xml:space="preserve"> 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1"/>
        </w:rPr>
        <w:t>s</w:t>
      </w:r>
      <w:r w:rsidRPr="00EB1AAB">
        <w:rPr>
          <w:rFonts w:ascii="Arial" w:eastAsia="Arial" w:hAnsi="Arial" w:cs="Arial"/>
        </w:rPr>
        <w:t>o</w:t>
      </w:r>
      <w:r w:rsidRPr="00EB1AAB">
        <w:rPr>
          <w:rFonts w:ascii="Arial" w:eastAsia="Arial" w:hAnsi="Arial" w:cs="Arial"/>
          <w:spacing w:val="1"/>
        </w:rPr>
        <w:t>l</w:t>
      </w:r>
      <w:r w:rsidRPr="00EB1AAB">
        <w:rPr>
          <w:rFonts w:ascii="Arial" w:eastAsia="Arial" w:hAnsi="Arial" w:cs="Arial"/>
        </w:rPr>
        <w:t>e</w:t>
      </w:r>
      <w:r w:rsidRPr="00EB1AAB">
        <w:rPr>
          <w:rFonts w:ascii="Arial" w:eastAsia="Arial" w:hAnsi="Arial" w:cs="Arial"/>
          <w:spacing w:val="3"/>
        </w:rPr>
        <w:t>l</w:t>
      </w:r>
      <w:r w:rsidRPr="00EB1AAB">
        <w:rPr>
          <w:rFonts w:ascii="Arial" w:eastAsia="Arial" w:hAnsi="Arial" w:cs="Arial"/>
        </w:rPr>
        <w:t>y</w:t>
      </w:r>
      <w:r w:rsidRPr="00EB1AAB">
        <w:rPr>
          <w:rFonts w:ascii="Arial" w:eastAsia="Arial" w:hAnsi="Arial" w:cs="Arial"/>
          <w:spacing w:val="6"/>
        </w:rPr>
        <w:t xml:space="preserve"> </w:t>
      </w:r>
      <w:r w:rsidRPr="00EB1AAB">
        <w:rPr>
          <w:rFonts w:ascii="Arial" w:eastAsia="Arial" w:hAnsi="Arial" w:cs="Arial"/>
        </w:rPr>
        <w:t>p</w:t>
      </w:r>
      <w:r w:rsidRPr="00EB1AAB">
        <w:rPr>
          <w:rFonts w:ascii="Arial" w:eastAsia="Arial" w:hAnsi="Arial" w:cs="Arial"/>
          <w:spacing w:val="-1"/>
        </w:rPr>
        <w:t>r</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spacing w:val="4"/>
        </w:rPr>
        <w:t>i</w:t>
      </w:r>
      <w:r w:rsidRPr="00EB1AAB">
        <w:rPr>
          <w:rFonts w:ascii="Arial" w:eastAsia="Arial" w:hAnsi="Arial" w:cs="Arial"/>
        </w:rPr>
        <w:t>pal</w:t>
      </w:r>
      <w:r w:rsidRPr="00EB1AAB">
        <w:rPr>
          <w:rFonts w:ascii="Arial" w:eastAsia="Arial" w:hAnsi="Arial" w:cs="Arial"/>
          <w:spacing w:val="13"/>
        </w:rPr>
        <w:t xml:space="preserve"> </w:t>
      </w:r>
      <w:r w:rsidRPr="00EB1AAB">
        <w:rPr>
          <w:rFonts w:ascii="Arial" w:eastAsia="Arial" w:hAnsi="Arial" w:cs="Arial"/>
          <w:spacing w:val="-3"/>
        </w:rPr>
        <w:t>a</w:t>
      </w:r>
      <w:r w:rsidRPr="00EB1AAB">
        <w:rPr>
          <w:rFonts w:ascii="Arial" w:eastAsia="Arial" w:hAnsi="Arial" w:cs="Arial"/>
        </w:rPr>
        <w:t>nd</w:t>
      </w:r>
      <w:r w:rsidRPr="00EB1AAB">
        <w:rPr>
          <w:rFonts w:ascii="Arial" w:eastAsia="Arial" w:hAnsi="Arial" w:cs="Arial"/>
          <w:spacing w:val="2"/>
        </w:rPr>
        <w:t xml:space="preserve"> </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spacing w:val="5"/>
        </w:rPr>
        <w:t>t</w:t>
      </w:r>
      <w:r w:rsidRPr="00EB1AAB">
        <w:rPr>
          <w:rFonts w:ascii="Arial" w:eastAsia="Arial" w:hAnsi="Arial" w:cs="Arial"/>
          <w:spacing w:val="-3"/>
        </w:rPr>
        <w:t>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4"/>
        </w:rPr>
        <w:t xml:space="preserve"> </w:t>
      </w:r>
      <w:r w:rsidRPr="00EB1AAB">
        <w:rPr>
          <w:rFonts w:ascii="Arial" w:eastAsia="Arial" w:hAnsi="Arial" w:cs="Arial"/>
          <w:spacing w:val="-3"/>
        </w:rPr>
        <w:t>a</w:t>
      </w:r>
      <w:r w:rsidRPr="00EB1AAB">
        <w:rPr>
          <w:rFonts w:ascii="Arial" w:eastAsia="Arial" w:hAnsi="Arial" w:cs="Arial"/>
          <w:spacing w:val="2"/>
        </w:rPr>
        <w:t>n</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rPr>
        <w:t>th</w:t>
      </w:r>
      <w:r w:rsidRPr="00EB1AAB">
        <w:rPr>
          <w:rFonts w:ascii="Arial" w:eastAsia="Arial" w:hAnsi="Arial" w:cs="Arial"/>
          <w:spacing w:val="2"/>
        </w:rPr>
        <w:t>e</w:t>
      </w:r>
      <w:r w:rsidRPr="00EB1AAB">
        <w:rPr>
          <w:rFonts w:ascii="Arial" w:eastAsia="Arial" w:hAnsi="Arial" w:cs="Arial"/>
        </w:rPr>
        <w:t>y</w:t>
      </w:r>
      <w:r w:rsidRPr="00EB1AAB">
        <w:rPr>
          <w:rFonts w:ascii="Arial" w:eastAsia="Arial" w:hAnsi="Arial" w:cs="Arial"/>
          <w:spacing w:val="4"/>
        </w:rPr>
        <w:t xml:space="preserve"> </w:t>
      </w:r>
      <w:r w:rsidRPr="00EB1AAB">
        <w:rPr>
          <w:rFonts w:ascii="Arial" w:eastAsia="Arial" w:hAnsi="Arial" w:cs="Arial"/>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spacing w:val="3"/>
        </w:rPr>
        <w:t>l</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rPr>
        <w:t>in a hold to collect business model</w:t>
      </w:r>
      <w:r w:rsidRPr="00EB1AAB">
        <w:rPr>
          <w:rFonts w:ascii="Arial" w:eastAsia="Arial" w:hAnsi="Arial" w:cs="Arial"/>
          <w:spacing w:val="7"/>
        </w:rPr>
        <w:t xml:space="preserve"> </w:t>
      </w:r>
      <w:r w:rsidRPr="00EB1AAB">
        <w:rPr>
          <w:rFonts w:ascii="Arial" w:eastAsia="Arial" w:hAnsi="Arial" w:cs="Arial"/>
          <w:spacing w:val="1"/>
          <w:w w:val="101"/>
        </w:rPr>
        <w:t>(</w:t>
      </w:r>
      <w:r w:rsidRPr="00EB1AAB">
        <w:rPr>
          <w:rFonts w:ascii="Arial" w:eastAsia="Arial" w:hAnsi="Arial" w:cs="Arial"/>
          <w:w w:val="101"/>
        </w:rPr>
        <w:t>e.</w:t>
      </w:r>
      <w:r w:rsidRPr="00EB1AAB">
        <w:rPr>
          <w:rFonts w:ascii="Arial" w:eastAsia="Arial" w:hAnsi="Arial" w:cs="Arial"/>
          <w:spacing w:val="-3"/>
          <w:w w:val="101"/>
        </w:rPr>
        <w:t xml:space="preserve">g.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v</w:t>
      </w:r>
      <w:r w:rsidRPr="00EB1AAB">
        <w:rPr>
          <w:rFonts w:ascii="Arial" w:eastAsia="Arial" w:hAnsi="Arial" w:cs="Arial"/>
          <w:spacing w:val="-2"/>
        </w:rPr>
        <w:t>e</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2"/>
        </w:rPr>
        <w:t>m</w:t>
      </w:r>
      <w:r w:rsidRPr="00EB1AAB">
        <w:rPr>
          <w:rFonts w:ascii="Arial" w:eastAsia="Arial" w:hAnsi="Arial" w:cs="Arial"/>
          <w:spacing w:val="-2"/>
        </w:rPr>
        <w:t>e</w:t>
      </w:r>
      <w:r w:rsidRPr="00EB1AAB">
        <w:rPr>
          <w:rFonts w:ascii="Arial" w:eastAsia="Arial" w:hAnsi="Arial" w:cs="Arial"/>
        </w:rPr>
        <w:t>nts</w:t>
      </w:r>
      <w:r w:rsidRPr="00EB1AAB">
        <w:rPr>
          <w:rFonts w:ascii="Arial" w:eastAsia="Arial" w:hAnsi="Arial" w:cs="Arial"/>
          <w:spacing w:val="14"/>
        </w:rPr>
        <w:t xml:space="preserve"> </w:t>
      </w:r>
      <w:r w:rsidRPr="00EB1AAB">
        <w:rPr>
          <w:rFonts w:ascii="Arial" w:eastAsia="Arial" w:hAnsi="Arial" w:cs="Arial"/>
        </w:rPr>
        <w:t>of</w:t>
      </w:r>
      <w:r w:rsidRPr="00EB1AAB">
        <w:rPr>
          <w:rFonts w:ascii="Arial" w:eastAsia="Arial" w:hAnsi="Arial" w:cs="Arial"/>
          <w:spacing w:val="5"/>
        </w:rPr>
        <w:t xml:space="preserve"> </w:t>
      </w:r>
      <w:r w:rsidRPr="00EB1AAB">
        <w:rPr>
          <w:rFonts w:ascii="Arial" w:eastAsia="Arial" w:hAnsi="Arial" w:cs="Arial"/>
          <w:spacing w:val="1"/>
        </w:rPr>
        <w:t>s</w:t>
      </w:r>
      <w:r w:rsidRPr="00EB1AAB">
        <w:rPr>
          <w:rFonts w:ascii="Arial" w:eastAsia="Arial" w:hAnsi="Arial" w:cs="Arial"/>
          <w:spacing w:val="-2"/>
        </w:rPr>
        <w:t>u</w:t>
      </w:r>
      <w:r w:rsidRPr="00EB1AAB">
        <w:rPr>
          <w:rFonts w:ascii="Arial" w:eastAsia="Arial" w:hAnsi="Arial" w:cs="Arial"/>
          <w:spacing w:val="-1"/>
        </w:rPr>
        <w:t>r</w:t>
      </w:r>
      <w:r w:rsidRPr="00EB1AAB">
        <w:rPr>
          <w:rFonts w:ascii="Arial" w:eastAsia="Arial" w:hAnsi="Arial" w:cs="Arial"/>
        </w:rPr>
        <w:t>p</w:t>
      </w:r>
      <w:r w:rsidRPr="00EB1AAB">
        <w:rPr>
          <w:rFonts w:ascii="Arial" w:eastAsia="Arial" w:hAnsi="Arial" w:cs="Arial"/>
          <w:spacing w:val="1"/>
        </w:rPr>
        <w:t>l</w:t>
      </w:r>
      <w:r w:rsidRPr="00EB1AAB">
        <w:rPr>
          <w:rFonts w:ascii="Arial" w:eastAsia="Arial" w:hAnsi="Arial" w:cs="Arial"/>
        </w:rPr>
        <w:t>us</w:t>
      </w:r>
      <w:r w:rsidRPr="00EB1AAB">
        <w:rPr>
          <w:rFonts w:ascii="Arial" w:eastAsia="Arial" w:hAnsi="Arial" w:cs="Arial"/>
          <w:spacing w:val="11"/>
        </w:rPr>
        <w:t xml:space="preserve"> </w:t>
      </w:r>
      <w:r w:rsidRPr="00EB1AAB">
        <w:rPr>
          <w:rFonts w:ascii="Arial" w:eastAsia="Arial" w:hAnsi="Arial" w:cs="Arial"/>
          <w:spacing w:val="-2"/>
        </w:rPr>
        <w:t>c</w:t>
      </w:r>
      <w:r w:rsidRPr="00EB1AAB">
        <w:rPr>
          <w:rFonts w:ascii="Arial" w:eastAsia="Arial" w:hAnsi="Arial" w:cs="Arial"/>
        </w:rPr>
        <w:t>a</w:t>
      </w:r>
      <w:r w:rsidRPr="00EB1AAB">
        <w:rPr>
          <w:rFonts w:ascii="Arial" w:eastAsia="Arial" w:hAnsi="Arial" w:cs="Arial"/>
          <w:spacing w:val="1"/>
        </w:rPr>
        <w:t>s</w:t>
      </w:r>
      <w:r w:rsidRPr="00EB1AAB">
        <w:rPr>
          <w:rFonts w:ascii="Arial" w:eastAsia="Arial" w:hAnsi="Arial" w:cs="Arial"/>
        </w:rPr>
        <w:t>h</w:t>
      </w:r>
      <w:r w:rsidRPr="00EB1AAB">
        <w:rPr>
          <w:rFonts w:ascii="Arial" w:eastAsia="Arial" w:hAnsi="Arial" w:cs="Arial"/>
          <w:spacing w:val="6"/>
        </w:rPr>
        <w:t xml:space="preserve"> </w:t>
      </w:r>
      <w:r w:rsidRPr="00EB1AAB">
        <w:rPr>
          <w:rFonts w:ascii="Arial" w:eastAsia="Arial" w:hAnsi="Arial" w:cs="Arial"/>
          <w:spacing w:val="-3"/>
        </w:rPr>
        <w:t>w</w:t>
      </w:r>
      <w:r w:rsidRPr="00EB1AAB">
        <w:rPr>
          <w:rFonts w:ascii="Arial" w:eastAsia="Arial" w:hAnsi="Arial" w:cs="Arial"/>
          <w:spacing w:val="4"/>
        </w:rPr>
        <w:t>i</w:t>
      </w:r>
      <w:r w:rsidRPr="00EB1AAB">
        <w:rPr>
          <w:rFonts w:ascii="Arial" w:eastAsia="Arial" w:hAnsi="Arial" w:cs="Arial"/>
        </w:rPr>
        <w:t>th</w:t>
      </w:r>
      <w:r w:rsidRPr="00EB1AAB">
        <w:rPr>
          <w:rFonts w:ascii="Arial" w:eastAsia="Arial" w:hAnsi="Arial" w:cs="Arial"/>
          <w:spacing w:val="5"/>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1"/>
        </w:rPr>
        <w:t xml:space="preserve"> </w:t>
      </w:r>
      <w:r w:rsidRPr="00EB1AAB">
        <w:rPr>
          <w:rFonts w:ascii="Arial" w:eastAsia="Arial" w:hAnsi="Arial" w:cs="Arial"/>
          <w:spacing w:val="2"/>
        </w:rPr>
        <w:t>g</w:t>
      </w:r>
      <w:r w:rsidRPr="00EB1AAB">
        <w:rPr>
          <w:rFonts w:ascii="Arial" w:eastAsia="Arial" w:hAnsi="Arial" w:cs="Arial"/>
          <w:spacing w:val="-3"/>
        </w:rPr>
        <w:t>o</w:t>
      </w:r>
      <w:r w:rsidRPr="00EB1AAB">
        <w:rPr>
          <w:rFonts w:ascii="Arial" w:eastAsia="Arial" w:hAnsi="Arial" w:cs="Arial"/>
          <w:spacing w:val="1"/>
        </w:rPr>
        <w:t>v</w:t>
      </w:r>
      <w:r w:rsidRPr="00EB1AAB">
        <w:rPr>
          <w:rFonts w:ascii="Arial" w:eastAsia="Arial" w:hAnsi="Arial" w:cs="Arial"/>
          <w:spacing w:val="2"/>
        </w:rPr>
        <w:t>e</w:t>
      </w:r>
      <w:r w:rsidRPr="00EB1AAB">
        <w:rPr>
          <w:rFonts w:ascii="Arial" w:eastAsia="Arial" w:hAnsi="Arial" w:cs="Arial"/>
          <w:spacing w:val="-1"/>
        </w:rPr>
        <w:t>r</w:t>
      </w:r>
      <w:r w:rsidRPr="00EB1AAB">
        <w:rPr>
          <w:rFonts w:ascii="Arial" w:eastAsia="Arial" w:hAnsi="Arial" w:cs="Arial"/>
          <w:spacing w:val="-3"/>
        </w:rPr>
        <w:t>n</w:t>
      </w:r>
      <w:r w:rsidRPr="00EB1AAB">
        <w:rPr>
          <w:rFonts w:ascii="Arial" w:eastAsia="Arial" w:hAnsi="Arial" w:cs="Arial"/>
          <w:spacing w:val="5"/>
        </w:rPr>
        <w:t>m</w:t>
      </w:r>
      <w:r w:rsidRPr="00EB1AAB">
        <w:rPr>
          <w:rFonts w:ascii="Arial" w:eastAsia="Arial" w:hAnsi="Arial" w:cs="Arial"/>
        </w:rPr>
        <w:t>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4"/>
        </w:rPr>
        <w:t>’</w:t>
      </w:r>
      <w:r w:rsidRPr="00EB1AAB">
        <w:rPr>
          <w:rFonts w:ascii="Arial" w:eastAsia="Arial" w:hAnsi="Arial" w:cs="Arial"/>
        </w:rPr>
        <w:t>s</w:t>
      </w:r>
      <w:r w:rsidRPr="00EB1AAB">
        <w:rPr>
          <w:rFonts w:ascii="Arial" w:eastAsia="Arial" w:hAnsi="Arial" w:cs="Arial"/>
          <w:spacing w:val="16"/>
        </w:rPr>
        <w:t xml:space="preserve"> </w:t>
      </w:r>
      <w:r w:rsidRPr="00EB1AAB">
        <w:rPr>
          <w:rFonts w:ascii="Arial" w:eastAsia="Arial" w:hAnsi="Arial" w:cs="Arial"/>
          <w:spacing w:val="-3"/>
        </w:rPr>
        <w:t>d</w:t>
      </w:r>
      <w:r w:rsidRPr="00EB1AAB">
        <w:rPr>
          <w:rFonts w:ascii="Arial" w:eastAsia="Arial" w:hAnsi="Arial" w:cs="Arial"/>
          <w:spacing w:val="2"/>
        </w:rPr>
        <w:t>e</w:t>
      </w:r>
      <w:r w:rsidRPr="00EB1AAB">
        <w:rPr>
          <w:rFonts w:ascii="Arial" w:eastAsia="Arial" w:hAnsi="Arial" w:cs="Arial"/>
          <w:spacing w:val="-2"/>
        </w:rPr>
        <w:t>b</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spacing w:val="2"/>
        </w:rPr>
        <w:t>m</w:t>
      </w:r>
      <w:r w:rsidRPr="00EB1AAB">
        <w:rPr>
          <w:rFonts w:ascii="Arial" w:eastAsia="Arial" w:hAnsi="Arial" w:cs="Arial"/>
          <w:spacing w:val="-3"/>
        </w:rPr>
        <w:t>a</w:t>
      </w:r>
      <w:r w:rsidRPr="00EB1AAB">
        <w:rPr>
          <w:rFonts w:ascii="Arial" w:eastAsia="Arial" w:hAnsi="Arial" w:cs="Arial"/>
          <w:spacing w:val="2"/>
        </w:rPr>
        <w:t>n</w:t>
      </w:r>
      <w:r w:rsidRPr="00EB1AAB">
        <w:rPr>
          <w:rFonts w:ascii="Arial" w:eastAsia="Arial" w:hAnsi="Arial" w:cs="Arial"/>
          <w:spacing w:val="-3"/>
        </w:rPr>
        <w:t>a</w:t>
      </w:r>
      <w:r w:rsidRPr="00EB1AAB">
        <w:rPr>
          <w:rFonts w:ascii="Arial" w:eastAsia="Arial" w:hAnsi="Arial" w:cs="Arial"/>
          <w:spacing w:val="2"/>
        </w:rPr>
        <w:t>g</w:t>
      </w:r>
      <w:r w:rsidRPr="00EB1AAB">
        <w:rPr>
          <w:rFonts w:ascii="Arial" w:eastAsia="Arial" w:hAnsi="Arial" w:cs="Arial"/>
          <w:spacing w:val="-3"/>
        </w:rPr>
        <w:t>e</w:t>
      </w:r>
      <w:r w:rsidRPr="00EB1AAB">
        <w:rPr>
          <w:rFonts w:ascii="Arial" w:eastAsia="Arial" w:hAnsi="Arial" w:cs="Arial"/>
          <w:spacing w:val="2"/>
        </w:rPr>
        <w:t>m</w:t>
      </w:r>
      <w:r w:rsidRPr="00EB1AAB">
        <w:rPr>
          <w:rFonts w:ascii="Arial" w:eastAsia="Arial" w:hAnsi="Arial" w:cs="Arial"/>
          <w:spacing w:val="-3"/>
        </w:rPr>
        <w:t>e</w:t>
      </w:r>
      <w:r w:rsidRPr="00EB1AAB">
        <w:rPr>
          <w:rFonts w:ascii="Arial" w:eastAsia="Arial" w:hAnsi="Arial" w:cs="Arial"/>
          <w:spacing w:val="2"/>
        </w:rPr>
        <w:t>n</w:t>
      </w:r>
      <w:r w:rsidRPr="00EB1AAB">
        <w:rPr>
          <w:rFonts w:ascii="Arial" w:eastAsia="Arial" w:hAnsi="Arial" w:cs="Arial"/>
        </w:rPr>
        <w:t>t</w:t>
      </w:r>
      <w:r w:rsidRPr="00EB1AAB">
        <w:rPr>
          <w:rFonts w:ascii="Arial" w:eastAsia="Arial" w:hAnsi="Arial" w:cs="Arial"/>
          <w:spacing w:val="14"/>
        </w:rPr>
        <w:t xml:space="preserve"> </w:t>
      </w:r>
      <w:r w:rsidRPr="00EB1AAB">
        <w:rPr>
          <w:rFonts w:ascii="Arial" w:eastAsia="Arial" w:hAnsi="Arial" w:cs="Arial"/>
        </w:rPr>
        <w:t>of</w:t>
      </w:r>
      <w:r w:rsidRPr="00EB1AAB">
        <w:rPr>
          <w:rFonts w:ascii="Arial" w:eastAsia="Arial" w:hAnsi="Arial" w:cs="Arial"/>
          <w:spacing w:val="2"/>
        </w:rPr>
        <w:t>f</w:t>
      </w:r>
      <w:r w:rsidRPr="00EB1AAB">
        <w:rPr>
          <w:rFonts w:ascii="Arial" w:eastAsia="Arial" w:hAnsi="Arial" w:cs="Arial"/>
          <w:spacing w:val="1"/>
        </w:rPr>
        <w:t>ic</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rPr>
        <w:t>or</w:t>
      </w:r>
      <w:r w:rsidRPr="00EB1AAB">
        <w:rPr>
          <w:rFonts w:ascii="Arial" w:eastAsia="Arial" w:hAnsi="Arial" w:cs="Arial"/>
          <w:spacing w:val="2"/>
        </w:rPr>
        <w:t xml:space="preserve"> </w:t>
      </w:r>
      <w:r w:rsidRPr="00EB1AAB">
        <w:rPr>
          <w:rFonts w:ascii="Arial" w:eastAsia="Arial" w:hAnsi="Arial" w:cs="Arial"/>
          <w:spacing w:val="4"/>
        </w:rPr>
        <w:t>l</w:t>
      </w:r>
      <w:r w:rsidRPr="00EB1AAB">
        <w:rPr>
          <w:rFonts w:ascii="Arial" w:eastAsia="Arial" w:hAnsi="Arial" w:cs="Arial"/>
          <w:spacing w:val="-3"/>
        </w:rPr>
        <w:t>o</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rPr>
        <w:t>s</w:t>
      </w:r>
      <w:r w:rsidRPr="00EB1AAB">
        <w:rPr>
          <w:rFonts w:ascii="Arial" w:eastAsia="Arial" w:hAnsi="Arial" w:cs="Arial"/>
          <w:spacing w:val="7"/>
        </w:rPr>
        <w:t xml:space="preserve"> </w:t>
      </w:r>
      <w:r w:rsidRPr="00EB1AAB">
        <w:rPr>
          <w:rFonts w:ascii="Arial" w:eastAsia="Arial" w:hAnsi="Arial" w:cs="Arial"/>
          <w:w w:val="101"/>
        </w:rPr>
        <w:t xml:space="preserve">to </w:t>
      </w:r>
      <w:r w:rsidRPr="00EB1AAB">
        <w:rPr>
          <w:rFonts w:ascii="Arial" w:eastAsia="Arial" w:hAnsi="Arial" w:cs="Arial"/>
        </w:rPr>
        <w:t>th</w:t>
      </w:r>
      <w:r w:rsidRPr="00EB1AAB">
        <w:rPr>
          <w:rFonts w:ascii="Arial" w:eastAsia="Arial" w:hAnsi="Arial" w:cs="Arial"/>
          <w:spacing w:val="1"/>
        </w:rPr>
        <w:t>i</w:t>
      </w:r>
      <w:r w:rsidRPr="00EB1AAB">
        <w:rPr>
          <w:rFonts w:ascii="Arial" w:eastAsia="Arial" w:hAnsi="Arial" w:cs="Arial"/>
          <w:spacing w:val="-1"/>
        </w:rPr>
        <w:t>r</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spacing w:val="2"/>
          <w:w w:val="101"/>
        </w:rPr>
        <w:t>p</w:t>
      </w:r>
      <w:r w:rsidRPr="00EB1AAB">
        <w:rPr>
          <w:rFonts w:ascii="Arial" w:eastAsia="Arial" w:hAnsi="Arial" w:cs="Arial"/>
          <w:spacing w:val="-3"/>
          <w:w w:val="101"/>
        </w:rPr>
        <w:t>a</w:t>
      </w:r>
      <w:r w:rsidRPr="00EB1AAB">
        <w:rPr>
          <w:rFonts w:ascii="Arial" w:eastAsia="Arial" w:hAnsi="Arial" w:cs="Arial"/>
          <w:spacing w:val="-1"/>
          <w:w w:val="101"/>
        </w:rPr>
        <w:t>r</w:t>
      </w:r>
      <w:r w:rsidRPr="00EB1AAB">
        <w:rPr>
          <w:rFonts w:ascii="Arial" w:eastAsia="Arial" w:hAnsi="Arial" w:cs="Arial"/>
          <w:spacing w:val="2"/>
          <w:w w:val="101"/>
        </w:rPr>
        <w:t>t</w:t>
      </w:r>
      <w:r w:rsidRPr="00EB1AAB">
        <w:rPr>
          <w:rFonts w:ascii="Arial" w:eastAsia="Arial" w:hAnsi="Arial" w:cs="Arial"/>
          <w:spacing w:val="1"/>
          <w:w w:val="101"/>
        </w:rPr>
        <w:t>i</w:t>
      </w:r>
      <w:r w:rsidRPr="00EB1AAB">
        <w:rPr>
          <w:rFonts w:ascii="Arial" w:eastAsia="Arial" w:hAnsi="Arial" w:cs="Arial"/>
          <w:spacing w:val="-3"/>
          <w:w w:val="101"/>
        </w:rPr>
        <w:t>e</w:t>
      </w:r>
      <w:r w:rsidRPr="00EB1AAB">
        <w:rPr>
          <w:rFonts w:ascii="Arial" w:eastAsia="Arial" w:hAnsi="Arial" w:cs="Arial"/>
          <w:spacing w:val="1"/>
          <w:w w:val="101"/>
        </w:rPr>
        <w:t>s</w:t>
      </w:r>
      <w:r w:rsidRPr="00EB1AAB">
        <w:rPr>
          <w:rFonts w:ascii="Arial" w:eastAsia="Arial" w:hAnsi="Arial" w:cs="Arial"/>
          <w:spacing w:val="-1"/>
          <w:w w:val="101"/>
        </w:rPr>
        <w:t>)</w:t>
      </w:r>
      <w:r w:rsidRPr="00EB1AAB">
        <w:rPr>
          <w:rFonts w:ascii="Arial" w:eastAsia="Arial" w:hAnsi="Arial" w:cs="Arial"/>
          <w:w w:val="101"/>
        </w:rPr>
        <w:t>.</w:t>
      </w:r>
    </w:p>
    <w:p w14:paraId="2A5D8451" w14:textId="77777777" w:rsidR="00655E4C" w:rsidRPr="00EB1AAB" w:rsidRDefault="00655E4C" w:rsidP="006F1659">
      <w:pPr>
        <w:spacing w:before="12" w:line="360" w:lineRule="auto"/>
        <w:ind w:right="-88"/>
        <w:rPr>
          <w:rFonts w:ascii="Arial" w:hAnsi="Arial" w:cs="Arial"/>
        </w:rPr>
      </w:pPr>
    </w:p>
    <w:p w14:paraId="60A9DA1C" w14:textId="77777777" w:rsidR="00655E4C" w:rsidRPr="00EB1AAB" w:rsidRDefault="00655E4C" w:rsidP="006F1659">
      <w:pPr>
        <w:spacing w:line="360" w:lineRule="auto"/>
        <w:ind w:right="-88"/>
        <w:rPr>
          <w:rFonts w:ascii="Arial" w:eastAsia="Arial" w:hAnsi="Arial" w:cs="Arial"/>
          <w:w w:val="101"/>
        </w:rPr>
      </w:pPr>
      <w:r w:rsidRPr="00EB1AAB">
        <w:rPr>
          <w:rFonts w:ascii="Arial" w:eastAsia="Arial" w:hAnsi="Arial" w:cs="Arial"/>
          <w:spacing w:val="-1"/>
        </w:rPr>
        <w:t>T</w:t>
      </w:r>
      <w:r w:rsidRPr="00EB1AAB">
        <w:rPr>
          <w:rFonts w:ascii="Arial" w:eastAsia="Arial" w:hAnsi="Arial" w:cs="Arial"/>
        </w:rPr>
        <w:t>he</w:t>
      </w:r>
      <w:r w:rsidRPr="00EB1AAB">
        <w:rPr>
          <w:rFonts w:ascii="Arial" w:eastAsia="Arial" w:hAnsi="Arial" w:cs="Arial"/>
          <w:spacing w:val="4"/>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t</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9"/>
        </w:rPr>
        <w:t xml:space="preserve"> </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1"/>
        </w:rPr>
        <w:t>c</w:t>
      </w:r>
      <w:r w:rsidRPr="00EB1AAB">
        <w:rPr>
          <w:rFonts w:ascii="Arial" w:eastAsia="Arial" w:hAnsi="Arial" w:cs="Arial"/>
          <w:spacing w:val="-3"/>
        </w:rPr>
        <w:t>e</w:t>
      </w:r>
      <w:r w:rsidRPr="00EB1AAB">
        <w:rPr>
          <w:rFonts w:ascii="Arial" w:eastAsia="Arial" w:hAnsi="Arial" w:cs="Arial"/>
          <w:spacing w:val="1"/>
        </w:rPr>
        <w:t>iv</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8"/>
        </w:rPr>
        <w:t xml:space="preserve"> </w:t>
      </w:r>
      <w:r w:rsidRPr="00EB1AAB">
        <w:rPr>
          <w:rFonts w:ascii="Arial" w:eastAsia="Arial" w:hAnsi="Arial" w:cs="Arial"/>
          <w:spacing w:val="2"/>
        </w:rPr>
        <w:t>o</w:t>
      </w:r>
      <w:r w:rsidRPr="00EB1AAB">
        <w:rPr>
          <w:rFonts w:ascii="Arial" w:eastAsia="Arial" w:hAnsi="Arial" w:cs="Arial"/>
        </w:rPr>
        <w:t>n</w:t>
      </w:r>
      <w:r w:rsidRPr="00EB1AAB">
        <w:rPr>
          <w:rFonts w:ascii="Arial" w:eastAsia="Arial" w:hAnsi="Arial" w:cs="Arial"/>
          <w:spacing w:val="4"/>
        </w:rPr>
        <w:t xml:space="preserve"> </w:t>
      </w:r>
      <w:r w:rsidRPr="00EB1AAB">
        <w:rPr>
          <w:rFonts w:ascii="Arial" w:eastAsia="Arial" w:hAnsi="Arial" w:cs="Arial"/>
        </w:rPr>
        <w:t>t</w:t>
      </w:r>
      <w:r w:rsidRPr="00EB1AAB">
        <w:rPr>
          <w:rFonts w:ascii="Arial" w:eastAsia="Arial" w:hAnsi="Arial" w:cs="Arial"/>
          <w:spacing w:val="-3"/>
        </w:rPr>
        <w:t>h</w:t>
      </w:r>
      <w:r w:rsidRPr="00EB1AAB">
        <w:rPr>
          <w:rFonts w:ascii="Arial" w:eastAsia="Arial" w:hAnsi="Arial" w:cs="Arial"/>
        </w:rPr>
        <w:t>e</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5"/>
        </w:rPr>
        <w:t xml:space="preserve"> </w:t>
      </w:r>
      <w:r w:rsidRPr="00EB1AAB">
        <w:rPr>
          <w:rFonts w:ascii="Arial" w:eastAsia="Arial" w:hAnsi="Arial" w:cs="Arial"/>
        </w:rPr>
        <w:t>a</w:t>
      </w:r>
      <w:r w:rsidRPr="00EB1AAB">
        <w:rPr>
          <w:rFonts w:ascii="Arial" w:eastAsia="Arial" w:hAnsi="Arial" w:cs="Arial"/>
          <w:spacing w:val="1"/>
        </w:rPr>
        <w:t>ss</w:t>
      </w:r>
      <w:r w:rsidRPr="00EB1AAB">
        <w:rPr>
          <w:rFonts w:ascii="Arial" w:eastAsia="Arial" w:hAnsi="Arial" w:cs="Arial"/>
        </w:rPr>
        <w:t>ets</w:t>
      </w:r>
      <w:r w:rsidRPr="00EB1AAB">
        <w:rPr>
          <w:rFonts w:ascii="Arial" w:eastAsia="Arial" w:hAnsi="Arial" w:cs="Arial"/>
          <w:spacing w:val="9"/>
        </w:rPr>
        <w:t xml:space="preserve"> </w:t>
      </w:r>
      <w:r w:rsidRPr="00EB1AAB">
        <w:rPr>
          <w:rFonts w:ascii="Arial" w:eastAsia="Arial" w:hAnsi="Arial" w:cs="Arial"/>
          <w:spacing w:val="1"/>
        </w:rPr>
        <w:t>i</w:t>
      </w:r>
      <w:r w:rsidRPr="00EB1AAB">
        <w:rPr>
          <w:rFonts w:ascii="Arial" w:eastAsia="Arial" w:hAnsi="Arial" w:cs="Arial"/>
        </w:rPr>
        <w:t>s measured using the Effective Interest Rate model</w:t>
      </w:r>
      <w:r w:rsidRPr="00EB1AAB">
        <w:rPr>
          <w:rFonts w:ascii="Arial" w:eastAsia="Arial" w:hAnsi="Arial" w:cs="Arial"/>
          <w:w w:val="101"/>
        </w:rPr>
        <w:t>.</w:t>
      </w:r>
    </w:p>
    <w:p w14:paraId="6F215756" w14:textId="77777777" w:rsidR="00655E4C" w:rsidRPr="00EB1AAB" w:rsidRDefault="00655E4C" w:rsidP="006F1659">
      <w:pPr>
        <w:spacing w:before="6" w:line="360" w:lineRule="auto"/>
        <w:ind w:right="-88"/>
        <w:rPr>
          <w:rFonts w:ascii="Arial" w:hAnsi="Arial" w:cs="Arial"/>
        </w:rPr>
      </w:pPr>
    </w:p>
    <w:p w14:paraId="6D205F0C" w14:textId="221481AC" w:rsidR="00655E4C" w:rsidRPr="00EB1AAB" w:rsidRDefault="00655E4C" w:rsidP="00CF25A6">
      <w:pPr>
        <w:pStyle w:val="Heading5"/>
        <w:spacing w:line="360" w:lineRule="auto"/>
      </w:pPr>
      <w:r w:rsidRPr="00CF25A6">
        <w:rPr>
          <w:lang w:eastAsia="en-GB"/>
        </w:rPr>
        <w:t>1.1</w:t>
      </w:r>
      <w:r w:rsidR="00E85440" w:rsidRPr="00CF25A6">
        <w:rPr>
          <w:lang w:eastAsia="en-GB"/>
        </w:rPr>
        <w:t>8</w:t>
      </w:r>
      <w:r w:rsidRPr="00CF25A6">
        <w:rPr>
          <w:lang w:eastAsia="en-GB"/>
        </w:rPr>
        <w:t>.2. F</w:t>
      </w:r>
      <w:r w:rsidRPr="00EB1AAB">
        <w:rPr>
          <w:lang w:eastAsia="en-GB"/>
        </w:rPr>
        <w:t>a</w:t>
      </w:r>
      <w:r w:rsidRPr="00CF25A6">
        <w:rPr>
          <w:lang w:eastAsia="en-GB"/>
        </w:rPr>
        <w:t>i</w:t>
      </w:r>
      <w:r w:rsidRPr="00EB1AAB">
        <w:rPr>
          <w:lang w:eastAsia="en-GB"/>
        </w:rPr>
        <w:t>r</w:t>
      </w:r>
      <w:r w:rsidRPr="00CF25A6">
        <w:rPr>
          <w:lang w:eastAsia="en-GB"/>
        </w:rPr>
        <w:t xml:space="preserve"> Va</w:t>
      </w:r>
      <w:r w:rsidRPr="00EB1AAB">
        <w:rPr>
          <w:lang w:eastAsia="en-GB"/>
        </w:rPr>
        <w:t>l</w:t>
      </w:r>
      <w:r w:rsidRPr="00CF25A6">
        <w:rPr>
          <w:lang w:eastAsia="en-GB"/>
        </w:rPr>
        <w:t>u</w:t>
      </w:r>
      <w:r w:rsidRPr="00EB1AAB">
        <w:rPr>
          <w:lang w:eastAsia="en-GB"/>
        </w:rPr>
        <w:t>e</w:t>
      </w:r>
      <w:r w:rsidRPr="00CF25A6">
        <w:rPr>
          <w:lang w:eastAsia="en-GB"/>
        </w:rPr>
        <w:t xml:space="preserve"> throug</w:t>
      </w:r>
      <w:r w:rsidRPr="00EB1AAB">
        <w:rPr>
          <w:lang w:eastAsia="en-GB"/>
        </w:rPr>
        <w:t>h</w:t>
      </w:r>
      <w:r w:rsidRPr="00CF25A6">
        <w:rPr>
          <w:lang w:eastAsia="en-GB"/>
        </w:rPr>
        <w:t xml:space="preserve"> Oth</w:t>
      </w:r>
      <w:r w:rsidRPr="00EB1AAB">
        <w:rPr>
          <w:lang w:eastAsia="en-GB"/>
        </w:rPr>
        <w:t>er</w:t>
      </w:r>
      <w:r w:rsidRPr="00CF25A6">
        <w:rPr>
          <w:lang w:eastAsia="en-GB"/>
        </w:rPr>
        <w:t xml:space="preserve"> </w:t>
      </w:r>
      <w:r w:rsidRPr="00EB1AAB">
        <w:rPr>
          <w:lang w:eastAsia="en-GB"/>
        </w:rPr>
        <w:t>C</w:t>
      </w:r>
      <w:r w:rsidRPr="00CF25A6">
        <w:rPr>
          <w:lang w:eastAsia="en-GB"/>
        </w:rPr>
        <w:t>omp</w:t>
      </w:r>
      <w:r w:rsidRPr="00EB1AAB">
        <w:rPr>
          <w:lang w:eastAsia="en-GB"/>
        </w:rPr>
        <w:t>re</w:t>
      </w:r>
      <w:r w:rsidRPr="00CF25A6">
        <w:rPr>
          <w:lang w:eastAsia="en-GB"/>
        </w:rPr>
        <w:t>h</w:t>
      </w:r>
      <w:r w:rsidRPr="00EB1AAB">
        <w:rPr>
          <w:lang w:eastAsia="en-GB"/>
        </w:rPr>
        <w:t>e</w:t>
      </w:r>
      <w:r w:rsidRPr="00CF25A6">
        <w:rPr>
          <w:lang w:eastAsia="en-GB"/>
        </w:rPr>
        <w:t>n</w:t>
      </w:r>
      <w:r w:rsidRPr="00EB1AAB">
        <w:rPr>
          <w:lang w:eastAsia="en-GB"/>
        </w:rPr>
        <w:t>s</w:t>
      </w:r>
      <w:r w:rsidRPr="00CF25A6">
        <w:rPr>
          <w:lang w:eastAsia="en-GB"/>
        </w:rPr>
        <w:t>iv</w:t>
      </w:r>
      <w:r w:rsidRPr="00EB1AAB">
        <w:rPr>
          <w:lang w:eastAsia="en-GB"/>
        </w:rPr>
        <w:t>e</w:t>
      </w:r>
      <w:r w:rsidRPr="00CF25A6">
        <w:rPr>
          <w:lang w:eastAsia="en-GB"/>
        </w:rPr>
        <w:t xml:space="preserve"> </w:t>
      </w:r>
      <w:r w:rsidRPr="00EB1AAB">
        <w:rPr>
          <w:lang w:eastAsia="en-GB"/>
        </w:rPr>
        <w:t>I</w:t>
      </w:r>
      <w:r w:rsidRPr="00CF25A6">
        <w:rPr>
          <w:lang w:eastAsia="en-GB"/>
        </w:rPr>
        <w:t>ncom</w:t>
      </w:r>
      <w:r w:rsidRPr="00EB1AAB">
        <w:rPr>
          <w:lang w:eastAsia="en-GB"/>
        </w:rPr>
        <w:t>e</w:t>
      </w:r>
      <w:r w:rsidRPr="00CF25A6">
        <w:rPr>
          <w:lang w:eastAsia="en-GB"/>
        </w:rPr>
        <w:t xml:space="preserve"> (F</w:t>
      </w:r>
      <w:r w:rsidRPr="00EB1AAB">
        <w:rPr>
          <w:lang w:eastAsia="en-GB"/>
        </w:rPr>
        <w:t>V</w:t>
      </w:r>
      <w:r w:rsidRPr="00CF25A6">
        <w:rPr>
          <w:lang w:eastAsia="en-GB"/>
        </w:rPr>
        <w:t>OC</w:t>
      </w:r>
      <w:r w:rsidRPr="00EB1AAB">
        <w:rPr>
          <w:lang w:eastAsia="en-GB"/>
        </w:rPr>
        <w:t>I)</w:t>
      </w:r>
    </w:p>
    <w:p w14:paraId="0DEB4347" w14:textId="77777777" w:rsidR="00655E4C" w:rsidRPr="00EB1AAB" w:rsidRDefault="00655E4C" w:rsidP="006F1659">
      <w:pPr>
        <w:spacing w:line="360" w:lineRule="auto"/>
        <w:ind w:right="-88"/>
        <w:rPr>
          <w:rFonts w:ascii="Arial" w:eastAsia="Arial" w:hAnsi="Arial" w:cs="Arial"/>
          <w:b/>
        </w:rPr>
      </w:pPr>
    </w:p>
    <w:p w14:paraId="1580AE46" w14:textId="0F8A5920" w:rsidR="00655E4C" w:rsidRPr="00EB1AAB" w:rsidRDefault="00655E4C" w:rsidP="006F1659">
      <w:pPr>
        <w:spacing w:before="7" w:line="360" w:lineRule="auto"/>
        <w:ind w:right="-88"/>
        <w:rPr>
          <w:rFonts w:ascii="Arial" w:eastAsia="Arial" w:hAnsi="Arial" w:cs="Arial"/>
        </w:rPr>
      </w:pPr>
      <w:r w:rsidRPr="00EB1AAB">
        <w:rPr>
          <w:rFonts w:ascii="Arial" w:eastAsia="Arial" w:hAnsi="Arial" w:cs="Arial"/>
          <w:spacing w:val="-1"/>
        </w:rPr>
        <w:t>T</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3"/>
        </w:rPr>
        <w:t>a</w:t>
      </w:r>
      <w:r w:rsidRPr="00EB1AAB">
        <w:rPr>
          <w:rFonts w:ascii="Arial" w:eastAsia="Arial" w:hAnsi="Arial" w:cs="Arial"/>
          <w:spacing w:val="1"/>
        </w:rPr>
        <w:t>s</w:t>
      </w:r>
      <w:r w:rsidRPr="00EB1AAB">
        <w:rPr>
          <w:rFonts w:ascii="Arial" w:eastAsia="Arial" w:hAnsi="Arial" w:cs="Arial"/>
          <w:spacing w:val="3"/>
        </w:rPr>
        <w:t>s</w:t>
      </w:r>
      <w:r w:rsidRPr="00EB1AAB">
        <w:rPr>
          <w:rFonts w:ascii="Arial" w:eastAsia="Arial" w:hAnsi="Arial" w:cs="Arial"/>
          <w:spacing w:val="-3"/>
        </w:rPr>
        <w:t>e</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7"/>
        </w:rPr>
        <w:t xml:space="preserve"> </w:t>
      </w:r>
      <w:r w:rsidRPr="00EB1AAB">
        <w:rPr>
          <w:rFonts w:ascii="Arial" w:eastAsia="Arial" w:hAnsi="Arial" w:cs="Arial"/>
          <w:spacing w:val="2"/>
        </w:rPr>
        <w:t>r</w:t>
      </w:r>
      <w:r w:rsidRPr="00EB1AAB">
        <w:rPr>
          <w:rFonts w:ascii="Arial" w:eastAsia="Arial" w:hAnsi="Arial" w:cs="Arial"/>
          <w:spacing w:val="-3"/>
        </w:rPr>
        <w:t>e</w:t>
      </w:r>
      <w:r w:rsidRPr="00EB1AAB">
        <w:rPr>
          <w:rFonts w:ascii="Arial" w:eastAsia="Arial" w:hAnsi="Arial" w:cs="Arial"/>
          <w:spacing w:val="1"/>
        </w:rPr>
        <w:t>l</w:t>
      </w:r>
      <w:r w:rsidRPr="00EB1AAB">
        <w:rPr>
          <w:rFonts w:ascii="Arial" w:eastAsia="Arial" w:hAnsi="Arial" w:cs="Arial"/>
        </w:rPr>
        <w:t>a</w:t>
      </w:r>
      <w:r w:rsidRPr="00EB1AAB">
        <w:rPr>
          <w:rFonts w:ascii="Arial" w:eastAsia="Arial" w:hAnsi="Arial" w:cs="Arial"/>
          <w:spacing w:val="2"/>
        </w:rPr>
        <w:t>t</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to</w:t>
      </w:r>
      <w:r w:rsidRPr="00EB1AAB">
        <w:rPr>
          <w:rFonts w:ascii="Arial" w:eastAsia="Arial" w:hAnsi="Arial" w:cs="Arial"/>
          <w:spacing w:val="6"/>
        </w:rPr>
        <w:t xml:space="preserve"> </w:t>
      </w:r>
      <w:r w:rsidRPr="00EB1AAB">
        <w:rPr>
          <w:rFonts w:ascii="Arial" w:eastAsia="Arial" w:hAnsi="Arial" w:cs="Arial"/>
        </w:rPr>
        <w:t>f</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2"/>
        </w:rPr>
        <w:t xml:space="preserve"> </w:t>
      </w:r>
      <w:r w:rsidRPr="00EB1AAB">
        <w:rPr>
          <w:rFonts w:ascii="Arial" w:eastAsia="Arial" w:hAnsi="Arial" w:cs="Arial"/>
          <w:spacing w:val="1"/>
        </w:rPr>
        <w:t>i</w:t>
      </w:r>
      <w:r w:rsidRPr="00EB1AAB">
        <w:rPr>
          <w:rFonts w:ascii="Arial" w:eastAsia="Arial" w:hAnsi="Arial" w:cs="Arial"/>
          <w:spacing w:val="-3"/>
        </w:rPr>
        <w:t>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u</w:t>
      </w:r>
      <w:r w:rsidRPr="00EB1AAB">
        <w:rPr>
          <w:rFonts w:ascii="Arial" w:eastAsia="Arial" w:hAnsi="Arial" w:cs="Arial"/>
          <w:spacing w:val="2"/>
        </w:rPr>
        <w:t>m</w:t>
      </w:r>
      <w:r w:rsidRPr="00EB1AAB">
        <w:rPr>
          <w:rFonts w:ascii="Arial" w:eastAsia="Arial" w:hAnsi="Arial" w:cs="Arial"/>
          <w:spacing w:val="-3"/>
        </w:rPr>
        <w:t>e</w:t>
      </w:r>
      <w:r w:rsidRPr="00EB1AAB">
        <w:rPr>
          <w:rFonts w:ascii="Arial" w:eastAsia="Arial" w:hAnsi="Arial" w:cs="Arial"/>
        </w:rPr>
        <w:t>n</w:t>
      </w:r>
      <w:r w:rsidRPr="00EB1AAB">
        <w:rPr>
          <w:rFonts w:ascii="Arial" w:eastAsia="Arial" w:hAnsi="Arial" w:cs="Arial"/>
          <w:spacing w:val="-1"/>
        </w:rPr>
        <w:t>t</w:t>
      </w:r>
      <w:r w:rsidRPr="00EB1AAB">
        <w:rPr>
          <w:rFonts w:ascii="Arial" w:eastAsia="Arial" w:hAnsi="Arial" w:cs="Arial"/>
        </w:rPr>
        <w:t>s</w:t>
      </w:r>
      <w:r w:rsidRPr="00EB1AAB">
        <w:rPr>
          <w:rFonts w:ascii="Arial" w:eastAsia="Arial" w:hAnsi="Arial" w:cs="Arial"/>
          <w:spacing w:val="16"/>
        </w:rPr>
        <w:t xml:space="preserve"> </w:t>
      </w:r>
      <w:r w:rsidRPr="00EB1AAB">
        <w:rPr>
          <w:rFonts w:ascii="Arial" w:eastAsia="Arial" w:hAnsi="Arial" w:cs="Arial"/>
        </w:rPr>
        <w:t>wh</w:t>
      </w:r>
      <w:r w:rsidRPr="00EB1AAB">
        <w:rPr>
          <w:rFonts w:ascii="Arial" w:eastAsia="Arial" w:hAnsi="Arial" w:cs="Arial"/>
          <w:spacing w:val="-1"/>
        </w:rPr>
        <w:t>er</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2"/>
        </w:rPr>
        <w:t>a</w:t>
      </w:r>
      <w:r w:rsidRPr="00EB1AAB">
        <w:rPr>
          <w:rFonts w:ascii="Arial" w:eastAsia="Arial" w:hAnsi="Arial" w:cs="Arial"/>
          <w:spacing w:val="2"/>
        </w:rPr>
        <w:t>m</w:t>
      </w:r>
      <w:r w:rsidRPr="00EB1AAB">
        <w:rPr>
          <w:rFonts w:ascii="Arial" w:eastAsia="Arial" w:hAnsi="Arial" w:cs="Arial"/>
        </w:rPr>
        <w:t>o</w:t>
      </w:r>
      <w:r w:rsidRPr="00EB1AAB">
        <w:rPr>
          <w:rFonts w:ascii="Arial" w:eastAsia="Arial" w:hAnsi="Arial" w:cs="Arial"/>
          <w:spacing w:val="2"/>
        </w:rPr>
        <w:t>u</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11"/>
        </w:rPr>
        <w:t xml:space="preserve"> </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3"/>
        </w:rPr>
        <w:t>c</w:t>
      </w:r>
      <w:r w:rsidRPr="00EB1AAB">
        <w:rPr>
          <w:rFonts w:ascii="Arial" w:eastAsia="Arial" w:hAnsi="Arial" w:cs="Arial"/>
          <w:spacing w:val="-3"/>
        </w:rPr>
        <w:t>e</w:t>
      </w:r>
      <w:r w:rsidRPr="00EB1AAB">
        <w:rPr>
          <w:rFonts w:ascii="Arial" w:eastAsia="Arial" w:hAnsi="Arial" w:cs="Arial"/>
          <w:spacing w:val="4"/>
        </w:rPr>
        <w:t>i</w:t>
      </w:r>
      <w:r w:rsidRPr="00EB1AAB">
        <w:rPr>
          <w:rFonts w:ascii="Arial" w:eastAsia="Arial" w:hAnsi="Arial" w:cs="Arial"/>
          <w:spacing w:val="-1"/>
        </w:rPr>
        <w:t>v</w:t>
      </w:r>
      <w:r w:rsidRPr="00EB1AAB">
        <w:rPr>
          <w:rFonts w:ascii="Arial" w:eastAsia="Arial" w:hAnsi="Arial" w:cs="Arial"/>
        </w:rPr>
        <w:t>ed</w:t>
      </w:r>
      <w:r w:rsidRPr="00EB1AAB">
        <w:rPr>
          <w:rFonts w:ascii="Arial" w:eastAsia="Arial" w:hAnsi="Arial" w:cs="Arial"/>
          <w:spacing w:val="10"/>
        </w:rPr>
        <w:t xml:space="preserve"> </w:t>
      </w:r>
      <w:r w:rsidRPr="00EB1AAB">
        <w:rPr>
          <w:rFonts w:ascii="Arial" w:eastAsia="Arial" w:hAnsi="Arial" w:cs="Arial"/>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1"/>
        </w:rPr>
        <w:t>s</w:t>
      </w:r>
      <w:r w:rsidRPr="00EB1AAB">
        <w:rPr>
          <w:rFonts w:ascii="Arial" w:eastAsia="Arial" w:hAnsi="Arial" w:cs="Arial"/>
        </w:rPr>
        <w:t>o</w:t>
      </w:r>
      <w:r w:rsidRPr="00EB1AAB">
        <w:rPr>
          <w:rFonts w:ascii="Arial" w:eastAsia="Arial" w:hAnsi="Arial" w:cs="Arial"/>
          <w:spacing w:val="1"/>
        </w:rPr>
        <w:t>l</w:t>
      </w:r>
      <w:r w:rsidRPr="00EB1AAB">
        <w:rPr>
          <w:rFonts w:ascii="Arial" w:eastAsia="Arial" w:hAnsi="Arial" w:cs="Arial"/>
        </w:rPr>
        <w:t>e</w:t>
      </w:r>
      <w:r w:rsidRPr="00EB1AAB">
        <w:rPr>
          <w:rFonts w:ascii="Arial" w:eastAsia="Arial" w:hAnsi="Arial" w:cs="Arial"/>
          <w:spacing w:val="3"/>
        </w:rPr>
        <w:t>l</w:t>
      </w:r>
      <w:r w:rsidRPr="00EB1AAB">
        <w:rPr>
          <w:rFonts w:ascii="Arial" w:eastAsia="Arial" w:hAnsi="Arial" w:cs="Arial"/>
        </w:rPr>
        <w:t>y</w:t>
      </w:r>
      <w:r w:rsidRPr="00EB1AAB">
        <w:rPr>
          <w:rFonts w:ascii="Arial" w:eastAsia="Arial" w:hAnsi="Arial" w:cs="Arial"/>
          <w:spacing w:val="6"/>
        </w:rPr>
        <w:t xml:space="preserve"> </w:t>
      </w:r>
      <w:r w:rsidRPr="00EB1AAB">
        <w:rPr>
          <w:rFonts w:ascii="Arial" w:eastAsia="Arial" w:hAnsi="Arial" w:cs="Arial"/>
        </w:rPr>
        <w:t>p</w:t>
      </w:r>
      <w:r w:rsidRPr="00EB1AAB">
        <w:rPr>
          <w:rFonts w:ascii="Arial" w:eastAsia="Arial" w:hAnsi="Arial" w:cs="Arial"/>
          <w:spacing w:val="-1"/>
        </w:rPr>
        <w:t>r</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spacing w:val="4"/>
        </w:rPr>
        <w:t>i</w:t>
      </w:r>
      <w:r w:rsidRPr="00EB1AAB">
        <w:rPr>
          <w:rFonts w:ascii="Arial" w:eastAsia="Arial" w:hAnsi="Arial" w:cs="Arial"/>
        </w:rPr>
        <w:t>pal</w:t>
      </w:r>
      <w:r w:rsidRPr="00EB1AAB">
        <w:rPr>
          <w:rFonts w:ascii="Arial" w:eastAsia="Arial" w:hAnsi="Arial" w:cs="Arial"/>
          <w:spacing w:val="13"/>
        </w:rPr>
        <w:t xml:space="preserve"> </w:t>
      </w:r>
      <w:r w:rsidRPr="00EB1AAB">
        <w:rPr>
          <w:rFonts w:ascii="Arial" w:eastAsia="Arial" w:hAnsi="Arial" w:cs="Arial"/>
          <w:spacing w:val="-3"/>
        </w:rPr>
        <w:t>a</w:t>
      </w:r>
      <w:r w:rsidRPr="00EB1AAB">
        <w:rPr>
          <w:rFonts w:ascii="Arial" w:eastAsia="Arial" w:hAnsi="Arial" w:cs="Arial"/>
        </w:rPr>
        <w:t>nd</w:t>
      </w:r>
      <w:r w:rsidRPr="00EB1AAB">
        <w:rPr>
          <w:rFonts w:ascii="Arial" w:eastAsia="Arial" w:hAnsi="Arial" w:cs="Arial"/>
          <w:spacing w:val="2"/>
        </w:rPr>
        <w:t xml:space="preserve"> </w:t>
      </w:r>
      <w:r w:rsidR="00203B09" w:rsidRPr="00EB1AAB">
        <w:rPr>
          <w:rFonts w:ascii="Arial" w:eastAsia="Arial" w:hAnsi="Arial" w:cs="Arial"/>
          <w:spacing w:val="4"/>
        </w:rPr>
        <w:t>i</w:t>
      </w:r>
      <w:r w:rsidR="00203B09" w:rsidRPr="00EB1AAB">
        <w:rPr>
          <w:rFonts w:ascii="Arial" w:eastAsia="Arial" w:hAnsi="Arial" w:cs="Arial"/>
          <w:spacing w:val="-3"/>
        </w:rPr>
        <w:t>n</w:t>
      </w:r>
      <w:r w:rsidR="00203B09" w:rsidRPr="00EB1AAB">
        <w:rPr>
          <w:rFonts w:ascii="Arial" w:eastAsia="Arial" w:hAnsi="Arial" w:cs="Arial"/>
          <w:spacing w:val="5"/>
        </w:rPr>
        <w:t>t</w:t>
      </w:r>
      <w:r w:rsidR="00203B09" w:rsidRPr="00EB1AAB">
        <w:rPr>
          <w:rFonts w:ascii="Arial" w:eastAsia="Arial" w:hAnsi="Arial" w:cs="Arial"/>
          <w:spacing w:val="-3"/>
        </w:rPr>
        <w:t>e</w:t>
      </w:r>
      <w:r w:rsidR="00203B09" w:rsidRPr="00EB1AAB">
        <w:rPr>
          <w:rFonts w:ascii="Arial" w:eastAsia="Arial" w:hAnsi="Arial" w:cs="Arial"/>
          <w:spacing w:val="-1"/>
        </w:rPr>
        <w:t>r</w:t>
      </w:r>
      <w:r w:rsidR="00203B09" w:rsidRPr="00EB1AAB">
        <w:rPr>
          <w:rFonts w:ascii="Arial" w:eastAsia="Arial" w:hAnsi="Arial" w:cs="Arial"/>
        </w:rPr>
        <w:t>e</w:t>
      </w:r>
      <w:r w:rsidR="00203B09" w:rsidRPr="00EB1AAB">
        <w:rPr>
          <w:rFonts w:ascii="Arial" w:eastAsia="Arial" w:hAnsi="Arial" w:cs="Arial"/>
          <w:spacing w:val="-1"/>
        </w:rPr>
        <w:t>s</w:t>
      </w:r>
      <w:r w:rsidR="00203B09" w:rsidRPr="00EB1AAB">
        <w:rPr>
          <w:rFonts w:ascii="Arial" w:eastAsia="Arial" w:hAnsi="Arial" w:cs="Arial"/>
        </w:rPr>
        <w:t>t,</w:t>
      </w:r>
      <w:r w:rsidRPr="00EB1AAB">
        <w:rPr>
          <w:rFonts w:ascii="Arial" w:eastAsia="Arial" w:hAnsi="Arial" w:cs="Arial"/>
          <w:spacing w:val="14"/>
        </w:rPr>
        <w:t xml:space="preserve"> </w:t>
      </w:r>
      <w:r w:rsidRPr="00EB1AAB">
        <w:rPr>
          <w:rFonts w:ascii="Arial" w:eastAsia="Arial" w:hAnsi="Arial" w:cs="Arial"/>
          <w:spacing w:val="-3"/>
        </w:rPr>
        <w:t>b</w:t>
      </w:r>
      <w:r w:rsidRPr="00EB1AAB">
        <w:rPr>
          <w:rFonts w:ascii="Arial" w:eastAsia="Arial" w:hAnsi="Arial" w:cs="Arial"/>
        </w:rPr>
        <w:t>ut</w:t>
      </w:r>
      <w:r w:rsidRPr="00EB1AAB">
        <w:rPr>
          <w:rFonts w:ascii="Arial" w:eastAsia="Arial" w:hAnsi="Arial" w:cs="Arial"/>
          <w:spacing w:val="4"/>
        </w:rPr>
        <w:t xml:space="preserve"> </w:t>
      </w:r>
      <w:r w:rsidRPr="00EB1AAB">
        <w:rPr>
          <w:rFonts w:ascii="Arial" w:eastAsia="Arial" w:hAnsi="Arial" w:cs="Arial"/>
          <w:spacing w:val="2"/>
        </w:rPr>
        <w:t>t</w:t>
      </w:r>
      <w:r w:rsidRPr="00EB1AAB">
        <w:rPr>
          <w:rFonts w:ascii="Arial" w:eastAsia="Arial" w:hAnsi="Arial" w:cs="Arial"/>
        </w:rPr>
        <w:t>h</w:t>
      </w:r>
      <w:r w:rsidRPr="00EB1AAB">
        <w:rPr>
          <w:rFonts w:ascii="Arial" w:eastAsia="Arial" w:hAnsi="Arial" w:cs="Arial"/>
          <w:spacing w:val="2"/>
        </w:rPr>
        <w:t>e</w:t>
      </w:r>
      <w:r w:rsidRPr="00EB1AAB">
        <w:rPr>
          <w:rFonts w:ascii="Arial" w:eastAsia="Arial" w:hAnsi="Arial" w:cs="Arial"/>
        </w:rPr>
        <w:t>y</w:t>
      </w:r>
      <w:r w:rsidRPr="00EB1AAB">
        <w:rPr>
          <w:rFonts w:ascii="Arial" w:eastAsia="Arial" w:hAnsi="Arial" w:cs="Arial"/>
          <w:spacing w:val="6"/>
        </w:rPr>
        <w:t xml:space="preserve"> </w:t>
      </w:r>
      <w:r w:rsidRPr="00EB1AAB">
        <w:rPr>
          <w:rFonts w:ascii="Arial" w:eastAsia="Arial" w:hAnsi="Arial" w:cs="Arial"/>
          <w:spacing w:val="-3"/>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spacing w:val="1"/>
        </w:rPr>
        <w:t>l</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spacing w:val="2"/>
        </w:rPr>
        <w:t>t</w:t>
      </w:r>
      <w:r w:rsidRPr="00EB1AAB">
        <w:rPr>
          <w:rFonts w:ascii="Arial" w:eastAsia="Arial" w:hAnsi="Arial" w:cs="Arial"/>
        </w:rPr>
        <w:t xml:space="preserve">o </w:t>
      </w:r>
      <w:r w:rsidRPr="00EB1AAB">
        <w:rPr>
          <w:rFonts w:ascii="Arial" w:eastAsia="Arial" w:hAnsi="Arial" w:cs="Arial"/>
          <w:spacing w:val="3"/>
        </w:rPr>
        <w:t>c</w:t>
      </w:r>
      <w:r w:rsidRPr="00EB1AAB">
        <w:rPr>
          <w:rFonts w:ascii="Arial" w:eastAsia="Arial" w:hAnsi="Arial" w:cs="Arial"/>
        </w:rPr>
        <w:t>o</w:t>
      </w:r>
      <w:r w:rsidRPr="00EB1AAB">
        <w:rPr>
          <w:rFonts w:ascii="Arial" w:eastAsia="Arial" w:hAnsi="Arial" w:cs="Arial"/>
          <w:spacing w:val="1"/>
        </w:rPr>
        <w:t>ll</w:t>
      </w:r>
      <w:r w:rsidRPr="00EB1AAB">
        <w:rPr>
          <w:rFonts w:ascii="Arial" w:eastAsia="Arial" w:hAnsi="Arial" w:cs="Arial"/>
        </w:rPr>
        <w:t>e</w:t>
      </w:r>
      <w:r w:rsidRPr="00EB1AAB">
        <w:rPr>
          <w:rFonts w:ascii="Arial" w:eastAsia="Arial" w:hAnsi="Arial" w:cs="Arial"/>
          <w:spacing w:val="-2"/>
        </w:rPr>
        <w:t>c</w:t>
      </w:r>
      <w:r w:rsidRPr="00EB1AAB">
        <w:rPr>
          <w:rFonts w:ascii="Arial" w:eastAsia="Arial" w:hAnsi="Arial" w:cs="Arial"/>
        </w:rPr>
        <w:t>t</w:t>
      </w:r>
      <w:r w:rsidRPr="00EB1AAB">
        <w:rPr>
          <w:rFonts w:ascii="Arial" w:eastAsia="Arial" w:hAnsi="Arial" w:cs="Arial"/>
          <w:spacing w:val="10"/>
        </w:rPr>
        <w:t xml:space="preserve"> </w:t>
      </w:r>
      <w:r w:rsidRPr="00EB1AAB">
        <w:rPr>
          <w:rFonts w:ascii="Arial" w:eastAsia="Arial" w:hAnsi="Arial" w:cs="Arial"/>
          <w:spacing w:val="1"/>
        </w:rPr>
        <w:t>c</w:t>
      </w:r>
      <w:r w:rsidRPr="00EB1AAB">
        <w:rPr>
          <w:rFonts w:ascii="Arial" w:eastAsia="Arial" w:hAnsi="Arial" w:cs="Arial"/>
          <w:spacing w:val="-3"/>
        </w:rPr>
        <w:t>a</w:t>
      </w:r>
      <w:r w:rsidRPr="00EB1AAB">
        <w:rPr>
          <w:rFonts w:ascii="Arial" w:eastAsia="Arial" w:hAnsi="Arial" w:cs="Arial"/>
          <w:spacing w:val="1"/>
        </w:rPr>
        <w:t>s</w:t>
      </w:r>
      <w:r w:rsidRPr="00EB1AAB">
        <w:rPr>
          <w:rFonts w:ascii="Arial" w:eastAsia="Arial" w:hAnsi="Arial" w:cs="Arial"/>
        </w:rPr>
        <w:t>h</w:t>
      </w:r>
      <w:r w:rsidRPr="00EB1AAB">
        <w:rPr>
          <w:rFonts w:ascii="Arial" w:eastAsia="Arial" w:hAnsi="Arial" w:cs="Arial"/>
          <w:spacing w:val="6"/>
        </w:rPr>
        <w:t xml:space="preserve"> </w:t>
      </w:r>
      <w:r w:rsidRPr="00EB1AAB">
        <w:rPr>
          <w:rFonts w:ascii="Arial" w:eastAsia="Arial" w:hAnsi="Arial" w:cs="Arial"/>
        </w:rPr>
        <w:t>and have the ability</w:t>
      </w:r>
      <w:r w:rsidRPr="00EB1AAB">
        <w:rPr>
          <w:rFonts w:ascii="Arial" w:eastAsia="Arial" w:hAnsi="Arial" w:cs="Arial"/>
          <w:spacing w:val="2"/>
        </w:rPr>
        <w:t xml:space="preserve"> </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1"/>
        </w:rPr>
        <w:t>l</w:t>
      </w:r>
      <w:r w:rsidRPr="00EB1AAB">
        <w:rPr>
          <w:rFonts w:ascii="Arial" w:eastAsia="Arial" w:hAnsi="Arial" w:cs="Arial"/>
        </w:rPr>
        <w:t>l</w:t>
      </w:r>
      <w:r w:rsidRPr="00EB1AAB">
        <w:rPr>
          <w:rFonts w:ascii="Arial" w:eastAsia="Arial" w:hAnsi="Arial" w:cs="Arial"/>
          <w:spacing w:val="7"/>
        </w:rPr>
        <w:t xml:space="preserve"> </w:t>
      </w:r>
      <w:r w:rsidRPr="00EB1AAB">
        <w:rPr>
          <w:rFonts w:ascii="Arial" w:eastAsia="Arial" w:hAnsi="Arial" w:cs="Arial"/>
          <w:w w:val="101"/>
        </w:rPr>
        <w:t>t</w:t>
      </w:r>
      <w:r w:rsidRPr="00EB1AAB">
        <w:rPr>
          <w:rFonts w:ascii="Arial" w:eastAsia="Arial" w:hAnsi="Arial" w:cs="Arial"/>
          <w:spacing w:val="-3"/>
          <w:w w:val="101"/>
        </w:rPr>
        <w:t>h</w:t>
      </w:r>
      <w:r w:rsidRPr="00EB1AAB">
        <w:rPr>
          <w:rFonts w:ascii="Arial" w:eastAsia="Arial" w:hAnsi="Arial" w:cs="Arial"/>
          <w:w w:val="101"/>
        </w:rPr>
        <w:t xml:space="preserve">e </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spacing w:val="-3"/>
        </w:rPr>
        <w:t>e</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9"/>
        </w:rPr>
        <w:t xml:space="preserve"> </w:t>
      </w:r>
      <w:r w:rsidRPr="00EB1AAB">
        <w:rPr>
          <w:rFonts w:ascii="Arial" w:eastAsia="Arial" w:hAnsi="Arial" w:cs="Arial"/>
          <w:spacing w:val="2"/>
        </w:rPr>
        <w:t>(</w:t>
      </w:r>
      <w:r w:rsidRPr="00EB1AAB">
        <w:rPr>
          <w:rFonts w:ascii="Arial" w:eastAsia="Arial" w:hAnsi="Arial" w:cs="Arial"/>
          <w:spacing w:val="-3"/>
        </w:rPr>
        <w:t>e</w:t>
      </w:r>
      <w:r w:rsidRPr="00EB1AAB">
        <w:rPr>
          <w:rFonts w:ascii="Arial" w:eastAsia="Arial" w:hAnsi="Arial" w:cs="Arial"/>
        </w:rPr>
        <w:t>.g.</w:t>
      </w:r>
      <w:r w:rsidRPr="00EB1AAB">
        <w:rPr>
          <w:rFonts w:ascii="Arial" w:eastAsia="Arial" w:hAnsi="Arial" w:cs="Arial"/>
          <w:spacing w:val="8"/>
        </w:rPr>
        <w:t xml:space="preserve"> </w:t>
      </w:r>
      <w:r w:rsidRPr="00EB1AAB">
        <w:rPr>
          <w:rFonts w:ascii="Arial" w:eastAsia="Arial" w:hAnsi="Arial" w:cs="Arial"/>
        </w:rPr>
        <w:t>mon</w:t>
      </w:r>
      <w:r w:rsidRPr="00EB1AAB">
        <w:rPr>
          <w:rFonts w:ascii="Arial" w:eastAsia="Arial" w:hAnsi="Arial" w:cs="Arial"/>
          <w:spacing w:val="2"/>
        </w:rPr>
        <w:t>e</w:t>
      </w:r>
      <w:r w:rsidRPr="00EB1AAB">
        <w:rPr>
          <w:rFonts w:ascii="Arial" w:eastAsia="Arial" w:hAnsi="Arial" w:cs="Arial"/>
        </w:rPr>
        <w:t>y</w:t>
      </w:r>
      <w:r w:rsidRPr="00EB1AAB">
        <w:rPr>
          <w:rFonts w:ascii="Arial" w:eastAsia="Arial" w:hAnsi="Arial" w:cs="Arial"/>
          <w:spacing w:val="7"/>
        </w:rPr>
        <w:t xml:space="preserve"> </w:t>
      </w:r>
      <w:r w:rsidRPr="00EB1AAB">
        <w:rPr>
          <w:rFonts w:ascii="Arial" w:eastAsia="Arial" w:hAnsi="Arial" w:cs="Arial"/>
          <w:spacing w:val="2"/>
        </w:rPr>
        <w:t>m</w:t>
      </w:r>
      <w:r w:rsidRPr="00EB1AAB">
        <w:rPr>
          <w:rFonts w:ascii="Arial" w:eastAsia="Arial" w:hAnsi="Arial" w:cs="Arial"/>
        </w:rPr>
        <w:t>a</w:t>
      </w:r>
      <w:r w:rsidRPr="00EB1AAB">
        <w:rPr>
          <w:rFonts w:ascii="Arial" w:eastAsia="Arial" w:hAnsi="Arial" w:cs="Arial"/>
          <w:spacing w:val="-1"/>
        </w:rPr>
        <w:t>r</w:t>
      </w:r>
      <w:r w:rsidRPr="00EB1AAB">
        <w:rPr>
          <w:rFonts w:ascii="Arial" w:eastAsia="Arial" w:hAnsi="Arial" w:cs="Arial"/>
          <w:spacing w:val="1"/>
        </w:rPr>
        <w:t>k</w:t>
      </w:r>
      <w:r w:rsidRPr="00EB1AAB">
        <w:rPr>
          <w:rFonts w:ascii="Arial" w:eastAsia="Arial" w:hAnsi="Arial" w:cs="Arial"/>
          <w:spacing w:val="-3"/>
        </w:rPr>
        <w:t>e</w:t>
      </w:r>
      <w:r w:rsidRPr="00EB1AAB">
        <w:rPr>
          <w:rFonts w:ascii="Arial" w:eastAsia="Arial" w:hAnsi="Arial" w:cs="Arial"/>
        </w:rPr>
        <w:t>t</w:t>
      </w:r>
      <w:r w:rsidRPr="00EB1AAB">
        <w:rPr>
          <w:rFonts w:ascii="Arial" w:eastAsia="Arial" w:hAnsi="Arial" w:cs="Arial"/>
          <w:spacing w:val="11"/>
        </w:rPr>
        <w:t xml:space="preserve"> </w:t>
      </w:r>
      <w:r w:rsidRPr="00EB1AAB">
        <w:rPr>
          <w:rFonts w:ascii="Arial" w:eastAsia="Arial" w:hAnsi="Arial" w:cs="Arial"/>
          <w:spacing w:val="2"/>
          <w:w w:val="101"/>
        </w:rPr>
        <w:t>f</w:t>
      </w:r>
      <w:r w:rsidRPr="00EB1AAB">
        <w:rPr>
          <w:rFonts w:ascii="Arial" w:eastAsia="Arial" w:hAnsi="Arial" w:cs="Arial"/>
          <w:w w:val="101"/>
        </w:rPr>
        <w:t>u</w:t>
      </w:r>
      <w:r w:rsidRPr="00EB1AAB">
        <w:rPr>
          <w:rFonts w:ascii="Arial" w:eastAsia="Arial" w:hAnsi="Arial" w:cs="Arial"/>
          <w:spacing w:val="-3"/>
          <w:w w:val="101"/>
        </w:rPr>
        <w:t>n</w:t>
      </w:r>
      <w:r w:rsidRPr="00EB1AAB">
        <w:rPr>
          <w:rFonts w:ascii="Arial" w:eastAsia="Arial" w:hAnsi="Arial" w:cs="Arial"/>
          <w:w w:val="101"/>
        </w:rPr>
        <w:t>d</w:t>
      </w:r>
      <w:r w:rsidRPr="00EB1AAB">
        <w:rPr>
          <w:rFonts w:ascii="Arial" w:eastAsia="Arial" w:hAnsi="Arial" w:cs="Arial"/>
          <w:spacing w:val="-2"/>
          <w:w w:val="101"/>
        </w:rPr>
        <w:t>s</w:t>
      </w:r>
      <w:r w:rsidRPr="00EB1AAB">
        <w:rPr>
          <w:rFonts w:ascii="Arial" w:eastAsia="Arial" w:hAnsi="Arial" w:cs="Arial"/>
          <w:spacing w:val="-1"/>
          <w:w w:val="101"/>
        </w:rPr>
        <w:t>)</w:t>
      </w:r>
      <w:r w:rsidRPr="00EB1AAB">
        <w:rPr>
          <w:rFonts w:ascii="Arial" w:eastAsia="Arial" w:hAnsi="Arial" w:cs="Arial"/>
          <w:w w:val="101"/>
        </w:rPr>
        <w:t>.</w:t>
      </w:r>
    </w:p>
    <w:p w14:paraId="04AA5EBE" w14:textId="77777777" w:rsidR="00655E4C" w:rsidRPr="00EB1AAB" w:rsidRDefault="00655E4C" w:rsidP="006F1659">
      <w:pPr>
        <w:spacing w:before="9" w:line="360" w:lineRule="auto"/>
        <w:ind w:right="-88"/>
        <w:rPr>
          <w:rFonts w:ascii="Arial" w:hAnsi="Arial" w:cs="Arial"/>
        </w:rPr>
      </w:pPr>
    </w:p>
    <w:p w14:paraId="1701520D" w14:textId="77777777" w:rsidR="00655E4C" w:rsidRPr="00EB1AAB" w:rsidRDefault="00655E4C" w:rsidP="006F1659">
      <w:pPr>
        <w:spacing w:line="360" w:lineRule="auto"/>
        <w:ind w:right="-88"/>
        <w:rPr>
          <w:rFonts w:ascii="Arial" w:eastAsia="Arial" w:hAnsi="Arial" w:cs="Arial"/>
          <w:w w:val="101"/>
        </w:rPr>
      </w:pPr>
      <w:r w:rsidRPr="00EB1AAB">
        <w:rPr>
          <w:rFonts w:ascii="Arial" w:eastAsia="Arial" w:hAnsi="Arial" w:cs="Arial"/>
          <w:spacing w:val="-1"/>
        </w:rPr>
        <w:t>T</w:t>
      </w:r>
      <w:r w:rsidRPr="00EB1AAB">
        <w:rPr>
          <w:rFonts w:ascii="Arial" w:eastAsia="Arial" w:hAnsi="Arial" w:cs="Arial"/>
        </w:rPr>
        <w:t>he</w:t>
      </w:r>
      <w:r w:rsidRPr="00EB1AAB">
        <w:rPr>
          <w:rFonts w:ascii="Arial" w:eastAsia="Arial" w:hAnsi="Arial" w:cs="Arial"/>
          <w:spacing w:val="4"/>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t</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9"/>
        </w:rPr>
        <w:t xml:space="preserve"> </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1"/>
        </w:rPr>
        <w:t>c</w:t>
      </w:r>
      <w:r w:rsidRPr="00EB1AAB">
        <w:rPr>
          <w:rFonts w:ascii="Arial" w:eastAsia="Arial" w:hAnsi="Arial" w:cs="Arial"/>
          <w:spacing w:val="-3"/>
        </w:rPr>
        <w:t>e</w:t>
      </w:r>
      <w:r w:rsidRPr="00EB1AAB">
        <w:rPr>
          <w:rFonts w:ascii="Arial" w:eastAsia="Arial" w:hAnsi="Arial" w:cs="Arial"/>
          <w:spacing w:val="1"/>
        </w:rPr>
        <w:t>iv</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8"/>
        </w:rPr>
        <w:t xml:space="preserve"> </w:t>
      </w:r>
      <w:r w:rsidRPr="00EB1AAB">
        <w:rPr>
          <w:rFonts w:ascii="Arial" w:eastAsia="Arial" w:hAnsi="Arial" w:cs="Arial"/>
          <w:spacing w:val="2"/>
        </w:rPr>
        <w:t>o</w:t>
      </w:r>
      <w:r w:rsidRPr="00EB1AAB">
        <w:rPr>
          <w:rFonts w:ascii="Arial" w:eastAsia="Arial" w:hAnsi="Arial" w:cs="Arial"/>
        </w:rPr>
        <w:t>n</w:t>
      </w:r>
      <w:r w:rsidRPr="00EB1AAB">
        <w:rPr>
          <w:rFonts w:ascii="Arial" w:eastAsia="Arial" w:hAnsi="Arial" w:cs="Arial"/>
          <w:spacing w:val="4"/>
        </w:rPr>
        <w:t xml:space="preserve"> </w:t>
      </w:r>
      <w:r w:rsidRPr="00EB1AAB">
        <w:rPr>
          <w:rFonts w:ascii="Arial" w:eastAsia="Arial" w:hAnsi="Arial" w:cs="Arial"/>
        </w:rPr>
        <w:t>t</w:t>
      </w:r>
      <w:r w:rsidRPr="00EB1AAB">
        <w:rPr>
          <w:rFonts w:ascii="Arial" w:eastAsia="Arial" w:hAnsi="Arial" w:cs="Arial"/>
          <w:spacing w:val="-3"/>
        </w:rPr>
        <w:t>h</w:t>
      </w:r>
      <w:r w:rsidRPr="00EB1AAB">
        <w:rPr>
          <w:rFonts w:ascii="Arial" w:eastAsia="Arial" w:hAnsi="Arial" w:cs="Arial"/>
        </w:rPr>
        <w:t>e</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5"/>
        </w:rPr>
        <w:t xml:space="preserve"> </w:t>
      </w:r>
      <w:r w:rsidRPr="00EB1AAB">
        <w:rPr>
          <w:rFonts w:ascii="Arial" w:eastAsia="Arial" w:hAnsi="Arial" w:cs="Arial"/>
        </w:rPr>
        <w:t>a</w:t>
      </w:r>
      <w:r w:rsidRPr="00EB1AAB">
        <w:rPr>
          <w:rFonts w:ascii="Arial" w:eastAsia="Arial" w:hAnsi="Arial" w:cs="Arial"/>
          <w:spacing w:val="1"/>
        </w:rPr>
        <w:t>ss</w:t>
      </w:r>
      <w:r w:rsidRPr="00EB1AAB">
        <w:rPr>
          <w:rFonts w:ascii="Arial" w:eastAsia="Arial" w:hAnsi="Arial" w:cs="Arial"/>
        </w:rPr>
        <w:t>ets</w:t>
      </w:r>
      <w:r w:rsidRPr="00EB1AAB">
        <w:rPr>
          <w:rFonts w:ascii="Arial" w:eastAsia="Arial" w:hAnsi="Arial" w:cs="Arial"/>
          <w:spacing w:val="9"/>
        </w:rPr>
        <w:t xml:space="preserve"> </w:t>
      </w:r>
      <w:r w:rsidRPr="00EB1AAB">
        <w:rPr>
          <w:rFonts w:ascii="Arial" w:eastAsia="Arial" w:hAnsi="Arial" w:cs="Arial"/>
          <w:spacing w:val="1"/>
        </w:rPr>
        <w:t>i</w:t>
      </w:r>
      <w:r w:rsidRPr="00EB1AAB">
        <w:rPr>
          <w:rFonts w:ascii="Arial" w:eastAsia="Arial" w:hAnsi="Arial" w:cs="Arial"/>
        </w:rPr>
        <w:t>s measured using the Effective Interest Rate model</w:t>
      </w:r>
      <w:r w:rsidRPr="00EB1AAB">
        <w:rPr>
          <w:rFonts w:ascii="Arial" w:eastAsia="Arial" w:hAnsi="Arial" w:cs="Arial"/>
          <w:w w:val="101"/>
        </w:rPr>
        <w:t>.</w:t>
      </w:r>
    </w:p>
    <w:p w14:paraId="28B58AF3" w14:textId="77777777" w:rsidR="00655E4C" w:rsidRPr="00EB1AAB" w:rsidRDefault="00655E4C" w:rsidP="006F1659">
      <w:pPr>
        <w:spacing w:before="9" w:line="360" w:lineRule="auto"/>
        <w:rPr>
          <w:rFonts w:ascii="Arial" w:hAnsi="Arial" w:cs="Arial"/>
        </w:rPr>
      </w:pPr>
    </w:p>
    <w:p w14:paraId="57A05807" w14:textId="77777777" w:rsidR="00655E4C" w:rsidRPr="00EB1AAB" w:rsidRDefault="00655E4C" w:rsidP="006F1659">
      <w:pPr>
        <w:spacing w:line="360" w:lineRule="auto"/>
        <w:ind w:right="100"/>
        <w:rPr>
          <w:rFonts w:ascii="Arial" w:eastAsia="Arial" w:hAnsi="Arial" w:cs="Arial"/>
        </w:rPr>
      </w:pPr>
      <w:r w:rsidRPr="00EB1AAB">
        <w:rPr>
          <w:rFonts w:ascii="Arial" w:eastAsia="Arial" w:hAnsi="Arial" w:cs="Arial"/>
        </w:rPr>
        <w:t xml:space="preserve">All gains and losses due to changes in the fair value of these assets are accounted for through an unusable reserve (the Financial Instruments Revaluation Reserve) and charged to </w:t>
      </w:r>
      <w:r w:rsidRPr="00EB1AAB">
        <w:rPr>
          <w:rFonts w:ascii="Arial" w:eastAsia="Arial" w:hAnsi="Arial" w:cs="Arial"/>
          <w:spacing w:val="-2"/>
        </w:rPr>
        <w:t>O</w:t>
      </w:r>
      <w:r w:rsidRPr="00EB1AAB">
        <w:rPr>
          <w:rFonts w:ascii="Arial" w:eastAsia="Arial" w:hAnsi="Arial" w:cs="Arial"/>
          <w:spacing w:val="2"/>
        </w:rPr>
        <w:t>t</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rPr>
        <w:t>r</w:t>
      </w:r>
      <w:r w:rsidRPr="00EB1AAB">
        <w:rPr>
          <w:rFonts w:ascii="Arial" w:eastAsia="Arial" w:hAnsi="Arial" w:cs="Arial"/>
          <w:spacing w:val="11"/>
        </w:rPr>
        <w:t xml:space="preserve"> </w:t>
      </w:r>
      <w:r w:rsidRPr="00EB1AAB">
        <w:rPr>
          <w:rFonts w:ascii="Arial" w:eastAsia="Arial" w:hAnsi="Arial" w:cs="Arial"/>
        </w:rPr>
        <w:t>C</w:t>
      </w:r>
      <w:r w:rsidRPr="00EB1AAB">
        <w:rPr>
          <w:rFonts w:ascii="Arial" w:eastAsia="Arial" w:hAnsi="Arial" w:cs="Arial"/>
          <w:spacing w:val="-3"/>
        </w:rPr>
        <w:t>o</w:t>
      </w:r>
      <w:r w:rsidRPr="00EB1AAB">
        <w:rPr>
          <w:rFonts w:ascii="Arial" w:eastAsia="Arial" w:hAnsi="Arial" w:cs="Arial"/>
          <w:spacing w:val="2"/>
        </w:rPr>
        <w:t>m</w:t>
      </w:r>
      <w:r w:rsidRPr="00EB1AAB">
        <w:rPr>
          <w:rFonts w:ascii="Arial" w:eastAsia="Arial" w:hAnsi="Arial" w:cs="Arial"/>
        </w:rPr>
        <w:t>p</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2"/>
        </w:rPr>
        <w:t>h</w:t>
      </w:r>
      <w:r w:rsidRPr="00EB1AAB">
        <w:rPr>
          <w:rFonts w:ascii="Arial" w:eastAsia="Arial" w:hAnsi="Arial" w:cs="Arial"/>
          <w:spacing w:val="-2"/>
        </w:rPr>
        <w:t>e</w:t>
      </w:r>
      <w:r w:rsidRPr="00EB1AAB">
        <w:rPr>
          <w:rFonts w:ascii="Arial" w:eastAsia="Arial" w:hAnsi="Arial" w:cs="Arial"/>
        </w:rPr>
        <w:t>n</w:t>
      </w:r>
      <w:r w:rsidRPr="00EB1AAB">
        <w:rPr>
          <w:rFonts w:ascii="Arial" w:eastAsia="Arial" w:hAnsi="Arial" w:cs="Arial"/>
          <w:spacing w:val="1"/>
        </w:rPr>
        <w:t>siv</w:t>
      </w:r>
      <w:r w:rsidRPr="00EB1AAB">
        <w:rPr>
          <w:rFonts w:ascii="Arial" w:eastAsia="Arial" w:hAnsi="Arial" w:cs="Arial"/>
        </w:rPr>
        <w:t>e</w:t>
      </w:r>
      <w:r w:rsidRPr="00EB1AAB">
        <w:rPr>
          <w:rFonts w:ascii="Arial" w:eastAsia="Arial" w:hAnsi="Arial" w:cs="Arial"/>
          <w:spacing w:val="14"/>
        </w:rPr>
        <w:t xml:space="preserve"> </w:t>
      </w:r>
      <w:r w:rsidRPr="00EB1AAB">
        <w:rPr>
          <w:rFonts w:ascii="Arial" w:eastAsia="Arial" w:hAnsi="Arial" w:cs="Arial"/>
          <w:spacing w:val="3"/>
          <w:w w:val="101"/>
        </w:rPr>
        <w:t>I</w:t>
      </w:r>
      <w:r w:rsidRPr="00EB1AAB">
        <w:rPr>
          <w:rFonts w:ascii="Arial" w:eastAsia="Arial" w:hAnsi="Arial" w:cs="Arial"/>
          <w:spacing w:val="-3"/>
          <w:w w:val="101"/>
        </w:rPr>
        <w:t>n</w:t>
      </w:r>
      <w:r w:rsidRPr="00EB1AAB">
        <w:rPr>
          <w:rFonts w:ascii="Arial" w:eastAsia="Arial" w:hAnsi="Arial" w:cs="Arial"/>
          <w:spacing w:val="3"/>
          <w:w w:val="101"/>
        </w:rPr>
        <w:t>c</w:t>
      </w:r>
      <w:r w:rsidRPr="00EB1AAB">
        <w:rPr>
          <w:rFonts w:ascii="Arial" w:eastAsia="Arial" w:hAnsi="Arial" w:cs="Arial"/>
          <w:spacing w:val="-3"/>
          <w:w w:val="101"/>
        </w:rPr>
        <w:t>o</w:t>
      </w:r>
      <w:r w:rsidRPr="00EB1AAB">
        <w:rPr>
          <w:rFonts w:ascii="Arial" w:eastAsia="Arial" w:hAnsi="Arial" w:cs="Arial"/>
          <w:spacing w:val="2"/>
          <w:w w:val="101"/>
        </w:rPr>
        <w:t>m</w:t>
      </w:r>
      <w:r w:rsidRPr="00EB1AAB">
        <w:rPr>
          <w:rFonts w:ascii="Arial" w:eastAsia="Arial" w:hAnsi="Arial" w:cs="Arial"/>
          <w:w w:val="101"/>
        </w:rPr>
        <w:t xml:space="preserve">e </w:t>
      </w:r>
      <w:r w:rsidRPr="00EB1AAB">
        <w:rPr>
          <w:rFonts w:ascii="Arial" w:eastAsia="Arial" w:hAnsi="Arial" w:cs="Arial"/>
        </w:rPr>
        <w:t>and</w:t>
      </w:r>
      <w:r w:rsidRPr="00EB1AAB">
        <w:rPr>
          <w:rFonts w:ascii="Arial" w:eastAsia="Arial" w:hAnsi="Arial" w:cs="Arial"/>
          <w:spacing w:val="5"/>
        </w:rPr>
        <w:t xml:space="preserve"> </w:t>
      </w:r>
      <w:r w:rsidRPr="00EB1AAB">
        <w:rPr>
          <w:rFonts w:ascii="Arial" w:eastAsia="Arial" w:hAnsi="Arial" w:cs="Arial"/>
        </w:rPr>
        <w:t>E</w:t>
      </w:r>
      <w:r w:rsidRPr="00EB1AAB">
        <w:rPr>
          <w:rFonts w:ascii="Arial" w:eastAsia="Arial" w:hAnsi="Arial" w:cs="Arial"/>
          <w:spacing w:val="1"/>
        </w:rPr>
        <w:t>x</w:t>
      </w:r>
      <w:r w:rsidRPr="00EB1AAB">
        <w:rPr>
          <w:rFonts w:ascii="Arial" w:eastAsia="Arial" w:hAnsi="Arial" w:cs="Arial"/>
        </w:rPr>
        <w:t>p</w:t>
      </w:r>
      <w:r w:rsidRPr="00EB1AAB">
        <w:rPr>
          <w:rFonts w:ascii="Arial" w:eastAsia="Arial" w:hAnsi="Arial" w:cs="Arial"/>
          <w:spacing w:val="-1"/>
        </w:rPr>
        <w:t>e</w:t>
      </w:r>
      <w:r w:rsidRPr="00EB1AAB">
        <w:rPr>
          <w:rFonts w:ascii="Arial" w:eastAsia="Arial" w:hAnsi="Arial" w:cs="Arial"/>
        </w:rPr>
        <w:t>n</w:t>
      </w:r>
      <w:r w:rsidRPr="00EB1AAB">
        <w:rPr>
          <w:rFonts w:ascii="Arial" w:eastAsia="Arial" w:hAnsi="Arial" w:cs="Arial"/>
          <w:spacing w:val="-1"/>
        </w:rPr>
        <w:t>d</w:t>
      </w:r>
      <w:r w:rsidRPr="00EB1AAB">
        <w:rPr>
          <w:rFonts w:ascii="Arial" w:eastAsia="Arial" w:hAnsi="Arial" w:cs="Arial"/>
          <w:spacing w:val="1"/>
        </w:rPr>
        <w:t>i</w:t>
      </w:r>
      <w:r w:rsidRPr="00EB1AAB">
        <w:rPr>
          <w:rFonts w:ascii="Arial" w:eastAsia="Arial" w:hAnsi="Arial" w:cs="Arial"/>
        </w:rPr>
        <w:t>tu</w:t>
      </w:r>
      <w:r w:rsidRPr="00EB1AAB">
        <w:rPr>
          <w:rFonts w:ascii="Arial" w:eastAsia="Arial" w:hAnsi="Arial" w:cs="Arial"/>
          <w:spacing w:val="-1"/>
        </w:rPr>
        <w:t>r</w:t>
      </w:r>
      <w:r w:rsidRPr="00EB1AAB">
        <w:rPr>
          <w:rFonts w:ascii="Arial" w:eastAsia="Arial" w:hAnsi="Arial" w:cs="Arial"/>
        </w:rPr>
        <w:t>e.</w:t>
      </w:r>
    </w:p>
    <w:p w14:paraId="3D5DF6E2" w14:textId="77777777" w:rsidR="00655E4C" w:rsidRPr="00EB1AAB" w:rsidRDefault="00655E4C" w:rsidP="006F1659">
      <w:pPr>
        <w:spacing w:line="360" w:lineRule="auto"/>
        <w:ind w:right="100"/>
        <w:rPr>
          <w:rFonts w:ascii="Arial" w:eastAsia="Arial" w:hAnsi="Arial" w:cs="Arial"/>
        </w:rPr>
      </w:pPr>
    </w:p>
    <w:p w14:paraId="58D51CFC" w14:textId="77777777" w:rsidR="00655E4C" w:rsidRPr="00EB1AAB" w:rsidRDefault="00655E4C" w:rsidP="006F1659">
      <w:pPr>
        <w:spacing w:line="360" w:lineRule="auto"/>
        <w:ind w:right="-88"/>
        <w:rPr>
          <w:rFonts w:ascii="Arial" w:eastAsia="Arial" w:hAnsi="Arial" w:cs="Arial"/>
        </w:rPr>
      </w:pPr>
      <w:r w:rsidRPr="00EB1AAB">
        <w:rPr>
          <w:rFonts w:ascii="Arial" w:eastAsia="Arial" w:hAnsi="Arial" w:cs="Arial"/>
        </w:rPr>
        <w:t>The cumulative gain or loss is debited or credited to the su</w:t>
      </w:r>
      <w:r w:rsidRPr="00EB1AAB">
        <w:rPr>
          <w:rFonts w:ascii="Arial" w:eastAsia="Arial" w:hAnsi="Arial" w:cs="Arial"/>
          <w:spacing w:val="-1"/>
        </w:rPr>
        <w:t>r</w:t>
      </w:r>
      <w:r w:rsidRPr="00EB1AAB">
        <w:rPr>
          <w:rFonts w:ascii="Arial" w:eastAsia="Arial" w:hAnsi="Arial" w:cs="Arial"/>
        </w:rPr>
        <w:t>p</w:t>
      </w:r>
      <w:r w:rsidRPr="00EB1AAB">
        <w:rPr>
          <w:rFonts w:ascii="Arial" w:eastAsia="Arial" w:hAnsi="Arial" w:cs="Arial"/>
          <w:spacing w:val="1"/>
        </w:rPr>
        <w:t>l</w:t>
      </w:r>
      <w:r w:rsidRPr="00EB1AAB">
        <w:rPr>
          <w:rFonts w:ascii="Arial" w:eastAsia="Arial" w:hAnsi="Arial" w:cs="Arial"/>
        </w:rPr>
        <w:t>us</w:t>
      </w:r>
      <w:r w:rsidRPr="00EB1AAB">
        <w:rPr>
          <w:rFonts w:ascii="Arial" w:eastAsia="Arial" w:hAnsi="Arial" w:cs="Arial"/>
          <w:spacing w:val="9"/>
        </w:rPr>
        <w:t>/</w:t>
      </w:r>
      <w:r w:rsidRPr="00EB1AAB">
        <w:rPr>
          <w:rFonts w:ascii="Arial" w:eastAsia="Arial" w:hAnsi="Arial" w:cs="Arial"/>
        </w:rPr>
        <w:t>d</w:t>
      </w:r>
      <w:r w:rsidRPr="00EB1AAB">
        <w:rPr>
          <w:rFonts w:ascii="Arial" w:eastAsia="Arial" w:hAnsi="Arial" w:cs="Arial"/>
          <w:spacing w:val="-3"/>
        </w:rPr>
        <w:t>e</w:t>
      </w:r>
      <w:r w:rsidRPr="00EB1AAB">
        <w:rPr>
          <w:rFonts w:ascii="Arial" w:eastAsia="Arial" w:hAnsi="Arial" w:cs="Arial"/>
          <w:spacing w:val="2"/>
        </w:rPr>
        <w:t>f</w:t>
      </w:r>
      <w:r w:rsidRPr="00EB1AAB">
        <w:rPr>
          <w:rFonts w:ascii="Arial" w:eastAsia="Arial" w:hAnsi="Arial" w:cs="Arial"/>
          <w:spacing w:val="4"/>
        </w:rPr>
        <w:t>i</w:t>
      </w:r>
      <w:r w:rsidRPr="00EB1AAB">
        <w:rPr>
          <w:rFonts w:ascii="Arial" w:eastAsia="Arial" w:hAnsi="Arial" w:cs="Arial"/>
          <w:spacing w:val="1"/>
        </w:rPr>
        <w:t>c</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w w:val="101"/>
        </w:rPr>
        <w:t xml:space="preserve">on </w:t>
      </w:r>
      <w:r w:rsidRPr="00EB1AAB">
        <w:rPr>
          <w:rFonts w:ascii="Arial" w:eastAsia="Arial" w:hAnsi="Arial" w:cs="Arial"/>
        </w:rPr>
        <w:t>p</w:t>
      </w:r>
      <w:r w:rsidRPr="00EB1AAB">
        <w:rPr>
          <w:rFonts w:ascii="Arial" w:eastAsia="Arial" w:hAnsi="Arial" w:cs="Arial"/>
          <w:spacing w:val="1"/>
        </w:rPr>
        <w:t>r</w:t>
      </w:r>
      <w:r w:rsidRPr="00EB1AAB">
        <w:rPr>
          <w:rFonts w:ascii="Arial" w:eastAsia="Arial" w:hAnsi="Arial" w:cs="Arial"/>
          <w:spacing w:val="-3"/>
        </w:rPr>
        <w:t>o</w:t>
      </w:r>
      <w:r w:rsidRPr="00EB1AAB">
        <w:rPr>
          <w:rFonts w:ascii="Arial" w:eastAsia="Arial" w:hAnsi="Arial" w:cs="Arial"/>
          <w:spacing w:val="1"/>
        </w:rPr>
        <w:t>visi</w:t>
      </w:r>
      <w:r w:rsidRPr="00EB1AAB">
        <w:rPr>
          <w:rFonts w:ascii="Arial" w:eastAsia="Arial" w:hAnsi="Arial" w:cs="Arial"/>
        </w:rPr>
        <w:t>on</w:t>
      </w:r>
      <w:r w:rsidRPr="00EB1AAB">
        <w:rPr>
          <w:rFonts w:ascii="Arial" w:eastAsia="Arial" w:hAnsi="Arial" w:cs="Arial"/>
          <w:spacing w:val="10"/>
        </w:rPr>
        <w:t xml:space="preserve"> </w:t>
      </w:r>
      <w:r w:rsidRPr="00EB1AAB">
        <w:rPr>
          <w:rFonts w:ascii="Arial" w:eastAsia="Arial" w:hAnsi="Arial" w:cs="Arial"/>
          <w:spacing w:val="-3"/>
        </w:rPr>
        <w:t>o</w:t>
      </w:r>
      <w:r w:rsidRPr="00EB1AAB">
        <w:rPr>
          <w:rFonts w:ascii="Arial" w:eastAsia="Arial" w:hAnsi="Arial" w:cs="Arial"/>
        </w:rPr>
        <w:t>f</w:t>
      </w:r>
      <w:r w:rsidRPr="00EB1AAB">
        <w:rPr>
          <w:rFonts w:ascii="Arial" w:eastAsia="Arial" w:hAnsi="Arial" w:cs="Arial"/>
          <w:spacing w:val="8"/>
        </w:rPr>
        <w:t xml:space="preserve"> </w:t>
      </w:r>
      <w:r w:rsidRPr="00EB1AAB">
        <w:rPr>
          <w:rFonts w:ascii="Arial" w:eastAsia="Arial" w:hAnsi="Arial" w:cs="Arial"/>
          <w:spacing w:val="-1"/>
        </w:rPr>
        <w:t>s</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1"/>
        </w:rPr>
        <w:t>vic</w:t>
      </w:r>
      <w:r w:rsidRPr="00EB1AAB">
        <w:rPr>
          <w:rFonts w:ascii="Arial" w:eastAsia="Arial" w:hAnsi="Arial" w:cs="Arial"/>
          <w:spacing w:val="-3"/>
        </w:rPr>
        <w:t>e</w:t>
      </w:r>
      <w:r w:rsidRPr="00EB1AAB">
        <w:rPr>
          <w:rFonts w:ascii="Arial" w:eastAsia="Arial" w:hAnsi="Arial" w:cs="Arial"/>
        </w:rPr>
        <w:t>s</w:t>
      </w:r>
      <w:r w:rsidRPr="00EB1AAB">
        <w:rPr>
          <w:rFonts w:ascii="Arial" w:eastAsia="Arial" w:hAnsi="Arial" w:cs="Arial"/>
          <w:spacing w:val="10"/>
        </w:rPr>
        <w:t xml:space="preserve"> </w:t>
      </w:r>
      <w:r w:rsidRPr="00EB1AAB">
        <w:rPr>
          <w:rFonts w:ascii="Arial" w:eastAsia="Arial" w:hAnsi="Arial" w:cs="Arial"/>
          <w:spacing w:val="-1"/>
        </w:rPr>
        <w:t>w</w:t>
      </w:r>
      <w:r w:rsidRPr="00EB1AAB">
        <w:rPr>
          <w:rFonts w:ascii="Arial" w:eastAsia="Arial" w:hAnsi="Arial" w:cs="Arial"/>
        </w:rPr>
        <w:t>h</w:t>
      </w:r>
      <w:r w:rsidRPr="00EB1AAB">
        <w:rPr>
          <w:rFonts w:ascii="Arial" w:eastAsia="Arial" w:hAnsi="Arial" w:cs="Arial"/>
          <w:spacing w:val="-1"/>
        </w:rPr>
        <w:t>e</w:t>
      </w:r>
      <w:r w:rsidRPr="00EB1AAB">
        <w:rPr>
          <w:rFonts w:ascii="Arial" w:eastAsia="Arial" w:hAnsi="Arial" w:cs="Arial"/>
        </w:rPr>
        <w:t>n</w:t>
      </w:r>
      <w:r w:rsidRPr="00EB1AAB">
        <w:rPr>
          <w:rFonts w:ascii="Arial" w:eastAsia="Arial" w:hAnsi="Arial" w:cs="Arial"/>
          <w:spacing w:val="6"/>
        </w:rPr>
        <w:t xml:space="preserve"> </w:t>
      </w:r>
      <w:r w:rsidRPr="00EB1AAB">
        <w:rPr>
          <w:rFonts w:ascii="Arial" w:eastAsia="Arial" w:hAnsi="Arial" w:cs="Arial"/>
        </w:rPr>
        <w:t>an asset is</w:t>
      </w:r>
      <w:r w:rsidRPr="00EB1AAB">
        <w:rPr>
          <w:rFonts w:ascii="Arial" w:eastAsia="Arial" w:hAnsi="Arial" w:cs="Arial"/>
          <w:spacing w:val="4"/>
        </w:rPr>
        <w:t xml:space="preserve"> </w:t>
      </w:r>
      <w:r w:rsidRPr="00EB1AAB">
        <w:rPr>
          <w:rFonts w:ascii="Arial" w:eastAsia="Arial" w:hAnsi="Arial" w:cs="Arial"/>
          <w:spacing w:val="-3"/>
        </w:rPr>
        <w:t>d</w:t>
      </w:r>
      <w:r w:rsidRPr="00EB1AAB">
        <w:rPr>
          <w:rFonts w:ascii="Arial" w:eastAsia="Arial" w:hAnsi="Arial" w:cs="Arial"/>
          <w:spacing w:val="3"/>
        </w:rPr>
        <w:t>i</w:t>
      </w:r>
      <w:r w:rsidRPr="00EB1AAB">
        <w:rPr>
          <w:rFonts w:ascii="Arial" w:eastAsia="Arial" w:hAnsi="Arial" w:cs="Arial"/>
          <w:spacing w:val="-1"/>
        </w:rPr>
        <w:t>s</w:t>
      </w:r>
      <w:r w:rsidRPr="00EB1AAB">
        <w:rPr>
          <w:rFonts w:ascii="Arial" w:eastAsia="Arial" w:hAnsi="Arial" w:cs="Arial"/>
          <w:spacing w:val="2"/>
        </w:rPr>
        <w:t>p</w:t>
      </w:r>
      <w:r w:rsidRPr="00EB1AAB">
        <w:rPr>
          <w:rFonts w:ascii="Arial" w:eastAsia="Arial" w:hAnsi="Arial" w:cs="Arial"/>
          <w:spacing w:val="-3"/>
        </w:rPr>
        <w:t>o</w:t>
      </w:r>
      <w:r w:rsidRPr="00EB1AAB">
        <w:rPr>
          <w:rFonts w:ascii="Arial" w:eastAsia="Arial" w:hAnsi="Arial" w:cs="Arial"/>
          <w:spacing w:val="1"/>
        </w:rPr>
        <w:t>s</w:t>
      </w:r>
      <w:r w:rsidRPr="00EB1AAB">
        <w:rPr>
          <w:rFonts w:ascii="Arial" w:eastAsia="Arial" w:hAnsi="Arial" w:cs="Arial"/>
        </w:rPr>
        <w:t>ed</w:t>
      </w:r>
      <w:r w:rsidRPr="00EB1AAB">
        <w:rPr>
          <w:rFonts w:ascii="Arial" w:eastAsia="Arial" w:hAnsi="Arial" w:cs="Arial"/>
          <w:spacing w:val="12"/>
        </w:rPr>
        <w:t xml:space="preserve"> </w:t>
      </w:r>
      <w:r w:rsidRPr="00EB1AAB">
        <w:rPr>
          <w:rFonts w:ascii="Arial" w:eastAsia="Arial" w:hAnsi="Arial" w:cs="Arial"/>
          <w:w w:val="101"/>
        </w:rPr>
        <w:t>o</w:t>
      </w:r>
      <w:r w:rsidRPr="00EB1AAB">
        <w:rPr>
          <w:rFonts w:ascii="Arial" w:eastAsia="Arial" w:hAnsi="Arial" w:cs="Arial"/>
          <w:spacing w:val="2"/>
          <w:w w:val="101"/>
        </w:rPr>
        <w:t>f</w:t>
      </w:r>
      <w:r w:rsidRPr="00EB1AAB">
        <w:rPr>
          <w:rFonts w:ascii="Arial" w:eastAsia="Arial" w:hAnsi="Arial" w:cs="Arial"/>
          <w:w w:val="101"/>
        </w:rPr>
        <w:t>.</w:t>
      </w:r>
    </w:p>
    <w:p w14:paraId="02C5C412" w14:textId="77777777" w:rsidR="00655E4C" w:rsidRPr="00EB1AAB" w:rsidRDefault="00655E4C" w:rsidP="006F1659">
      <w:pPr>
        <w:spacing w:before="7" w:line="360" w:lineRule="auto"/>
        <w:rPr>
          <w:rFonts w:ascii="Arial" w:hAnsi="Arial" w:cs="Arial"/>
        </w:rPr>
      </w:pPr>
    </w:p>
    <w:p w14:paraId="77FF95D1" w14:textId="07BF5F6E" w:rsidR="00655E4C" w:rsidRPr="00EB1AAB" w:rsidRDefault="00655E4C" w:rsidP="00CF25A6">
      <w:pPr>
        <w:pStyle w:val="Heading5"/>
        <w:spacing w:line="360" w:lineRule="auto"/>
        <w:rPr>
          <w:lang w:eastAsia="en-GB"/>
        </w:rPr>
      </w:pPr>
      <w:r w:rsidRPr="00EB1AAB">
        <w:rPr>
          <w:lang w:eastAsia="en-GB"/>
        </w:rPr>
        <w:t>1.1</w:t>
      </w:r>
      <w:r w:rsidR="00E85440">
        <w:rPr>
          <w:lang w:eastAsia="en-GB"/>
        </w:rPr>
        <w:t>8</w:t>
      </w:r>
      <w:r w:rsidRPr="00EB1AAB">
        <w:rPr>
          <w:lang w:eastAsia="en-GB"/>
        </w:rPr>
        <w:t>.3. Fair</w:t>
      </w:r>
      <w:r w:rsidRPr="00CF25A6">
        <w:rPr>
          <w:lang w:eastAsia="en-GB"/>
        </w:rPr>
        <w:t xml:space="preserve"> Va</w:t>
      </w:r>
      <w:r w:rsidRPr="00EB1AAB">
        <w:rPr>
          <w:lang w:eastAsia="en-GB"/>
        </w:rPr>
        <w:t>l</w:t>
      </w:r>
      <w:r w:rsidRPr="00CF25A6">
        <w:rPr>
          <w:lang w:eastAsia="en-GB"/>
        </w:rPr>
        <w:t>u</w:t>
      </w:r>
      <w:r w:rsidRPr="00EB1AAB">
        <w:rPr>
          <w:lang w:eastAsia="en-GB"/>
        </w:rPr>
        <w:t>e</w:t>
      </w:r>
      <w:r w:rsidRPr="00CF25A6">
        <w:rPr>
          <w:lang w:eastAsia="en-GB"/>
        </w:rPr>
        <w:t xml:space="preserve"> </w:t>
      </w:r>
      <w:r w:rsidRPr="00EB1AAB">
        <w:rPr>
          <w:lang w:eastAsia="en-GB"/>
        </w:rPr>
        <w:t>th</w:t>
      </w:r>
      <w:r w:rsidRPr="00CF25A6">
        <w:rPr>
          <w:lang w:eastAsia="en-GB"/>
        </w:rPr>
        <w:t>r</w:t>
      </w:r>
      <w:r w:rsidRPr="00EB1AAB">
        <w:rPr>
          <w:lang w:eastAsia="en-GB"/>
        </w:rPr>
        <w:t>o</w:t>
      </w:r>
      <w:r w:rsidRPr="00CF25A6">
        <w:rPr>
          <w:lang w:eastAsia="en-GB"/>
        </w:rPr>
        <w:t>u</w:t>
      </w:r>
      <w:r w:rsidRPr="00EB1AAB">
        <w:rPr>
          <w:lang w:eastAsia="en-GB"/>
        </w:rPr>
        <w:t>gh</w:t>
      </w:r>
      <w:r w:rsidRPr="00CF25A6">
        <w:rPr>
          <w:lang w:eastAsia="en-GB"/>
        </w:rPr>
        <w:t xml:space="preserve"> </w:t>
      </w:r>
      <w:r w:rsidRPr="00EB1AAB">
        <w:rPr>
          <w:lang w:eastAsia="en-GB"/>
        </w:rPr>
        <w:t>P</w:t>
      </w:r>
      <w:r w:rsidRPr="00CF25A6">
        <w:rPr>
          <w:lang w:eastAsia="en-GB"/>
        </w:rPr>
        <w:t>r</w:t>
      </w:r>
      <w:r w:rsidRPr="00EB1AAB">
        <w:rPr>
          <w:lang w:eastAsia="en-GB"/>
        </w:rPr>
        <w:t>of</w:t>
      </w:r>
      <w:r w:rsidRPr="00CF25A6">
        <w:rPr>
          <w:lang w:eastAsia="en-GB"/>
        </w:rPr>
        <w:t>i</w:t>
      </w:r>
      <w:r w:rsidRPr="00EB1AAB">
        <w:rPr>
          <w:lang w:eastAsia="en-GB"/>
        </w:rPr>
        <w:t>t</w:t>
      </w:r>
      <w:r w:rsidRPr="00CF25A6">
        <w:rPr>
          <w:lang w:eastAsia="en-GB"/>
        </w:rPr>
        <w:t xml:space="preserve"> </w:t>
      </w:r>
      <w:r w:rsidRPr="00EB1AAB">
        <w:rPr>
          <w:lang w:eastAsia="en-GB"/>
        </w:rPr>
        <w:t>and</w:t>
      </w:r>
      <w:r w:rsidRPr="00CF25A6">
        <w:rPr>
          <w:lang w:eastAsia="en-GB"/>
        </w:rPr>
        <w:t xml:space="preserve"> </w:t>
      </w:r>
      <w:r w:rsidRPr="00EB1AAB">
        <w:rPr>
          <w:lang w:eastAsia="en-GB"/>
        </w:rPr>
        <w:t>L</w:t>
      </w:r>
      <w:r w:rsidRPr="00CF25A6">
        <w:rPr>
          <w:lang w:eastAsia="en-GB"/>
        </w:rPr>
        <w:t>o</w:t>
      </w:r>
      <w:r w:rsidRPr="00EB1AAB">
        <w:rPr>
          <w:lang w:eastAsia="en-GB"/>
        </w:rPr>
        <w:t>ss</w:t>
      </w:r>
      <w:r w:rsidRPr="00CF25A6">
        <w:rPr>
          <w:lang w:eastAsia="en-GB"/>
        </w:rPr>
        <w:t xml:space="preserve"> </w:t>
      </w:r>
      <w:r w:rsidRPr="00EB1AAB">
        <w:rPr>
          <w:lang w:eastAsia="en-GB"/>
        </w:rPr>
        <w:t>(FV</w:t>
      </w:r>
      <w:r w:rsidRPr="00CF25A6">
        <w:rPr>
          <w:lang w:eastAsia="en-GB"/>
        </w:rPr>
        <w:t>P</w:t>
      </w:r>
      <w:r w:rsidRPr="00EB1AAB">
        <w:rPr>
          <w:lang w:eastAsia="en-GB"/>
        </w:rPr>
        <w:t>L)</w:t>
      </w:r>
    </w:p>
    <w:p w14:paraId="2323645F" w14:textId="77777777" w:rsidR="00655E4C" w:rsidRPr="00EB1AAB" w:rsidRDefault="00655E4C" w:rsidP="006F1659">
      <w:pPr>
        <w:spacing w:line="360" w:lineRule="auto"/>
        <w:rPr>
          <w:rFonts w:ascii="Arial" w:eastAsia="Arial" w:hAnsi="Arial" w:cs="Arial"/>
          <w:u w:val="single"/>
        </w:rPr>
      </w:pPr>
    </w:p>
    <w:p w14:paraId="1FCE5B38" w14:textId="77777777" w:rsidR="00655E4C" w:rsidRPr="00EB1AAB" w:rsidRDefault="00655E4C" w:rsidP="006F1659">
      <w:pPr>
        <w:spacing w:before="6" w:line="360" w:lineRule="auto"/>
        <w:ind w:right="54"/>
        <w:rPr>
          <w:rFonts w:ascii="Arial" w:eastAsia="Arial" w:hAnsi="Arial" w:cs="Arial"/>
        </w:rPr>
      </w:pPr>
      <w:r w:rsidRPr="00EB1AAB">
        <w:rPr>
          <w:rFonts w:ascii="Arial" w:eastAsia="Arial" w:hAnsi="Arial" w:cs="Arial"/>
          <w:spacing w:val="-1"/>
        </w:rPr>
        <w:t>T</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3"/>
        </w:rPr>
        <w:t>a</w:t>
      </w:r>
      <w:r w:rsidRPr="00EB1AAB">
        <w:rPr>
          <w:rFonts w:ascii="Arial" w:eastAsia="Arial" w:hAnsi="Arial" w:cs="Arial"/>
          <w:spacing w:val="1"/>
        </w:rPr>
        <w:t>s</w:t>
      </w:r>
      <w:r w:rsidRPr="00EB1AAB">
        <w:rPr>
          <w:rFonts w:ascii="Arial" w:eastAsia="Arial" w:hAnsi="Arial" w:cs="Arial"/>
          <w:spacing w:val="3"/>
        </w:rPr>
        <w:t>s</w:t>
      </w:r>
      <w:r w:rsidRPr="00EB1AAB">
        <w:rPr>
          <w:rFonts w:ascii="Arial" w:eastAsia="Arial" w:hAnsi="Arial" w:cs="Arial"/>
          <w:spacing w:val="-3"/>
        </w:rPr>
        <w:t>e</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7"/>
        </w:rPr>
        <w:t xml:space="preserve"> </w:t>
      </w:r>
      <w:r w:rsidRPr="00EB1AAB">
        <w:rPr>
          <w:rFonts w:ascii="Arial" w:eastAsia="Arial" w:hAnsi="Arial" w:cs="Arial"/>
          <w:spacing w:val="2"/>
        </w:rPr>
        <w:t>r</w:t>
      </w:r>
      <w:r w:rsidRPr="00EB1AAB">
        <w:rPr>
          <w:rFonts w:ascii="Arial" w:eastAsia="Arial" w:hAnsi="Arial" w:cs="Arial"/>
          <w:spacing w:val="-3"/>
        </w:rPr>
        <w:t>e</w:t>
      </w:r>
      <w:r w:rsidRPr="00EB1AAB">
        <w:rPr>
          <w:rFonts w:ascii="Arial" w:eastAsia="Arial" w:hAnsi="Arial" w:cs="Arial"/>
          <w:spacing w:val="1"/>
        </w:rPr>
        <w:t>l</w:t>
      </w:r>
      <w:r w:rsidRPr="00EB1AAB">
        <w:rPr>
          <w:rFonts w:ascii="Arial" w:eastAsia="Arial" w:hAnsi="Arial" w:cs="Arial"/>
        </w:rPr>
        <w:t>a</w:t>
      </w:r>
      <w:r w:rsidRPr="00EB1AAB">
        <w:rPr>
          <w:rFonts w:ascii="Arial" w:eastAsia="Arial" w:hAnsi="Arial" w:cs="Arial"/>
          <w:spacing w:val="2"/>
        </w:rPr>
        <w:t>t</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to</w:t>
      </w:r>
      <w:r w:rsidRPr="00EB1AAB">
        <w:rPr>
          <w:rFonts w:ascii="Arial" w:eastAsia="Arial" w:hAnsi="Arial" w:cs="Arial"/>
          <w:spacing w:val="6"/>
        </w:rPr>
        <w:t xml:space="preserve"> </w:t>
      </w:r>
      <w:r w:rsidRPr="00EB1AAB">
        <w:rPr>
          <w:rFonts w:ascii="Arial" w:eastAsia="Arial" w:hAnsi="Arial" w:cs="Arial"/>
        </w:rPr>
        <w:t>f</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2"/>
        </w:rPr>
        <w:t xml:space="preserve"> </w:t>
      </w:r>
      <w:r w:rsidRPr="00EB1AAB">
        <w:rPr>
          <w:rFonts w:ascii="Arial" w:eastAsia="Arial" w:hAnsi="Arial" w:cs="Arial"/>
          <w:spacing w:val="1"/>
        </w:rPr>
        <w:t>i</w:t>
      </w:r>
      <w:r w:rsidRPr="00EB1AAB">
        <w:rPr>
          <w:rFonts w:ascii="Arial" w:eastAsia="Arial" w:hAnsi="Arial" w:cs="Arial"/>
          <w:spacing w:val="-3"/>
        </w:rPr>
        <w:t>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u</w:t>
      </w:r>
      <w:r w:rsidRPr="00EB1AAB">
        <w:rPr>
          <w:rFonts w:ascii="Arial" w:eastAsia="Arial" w:hAnsi="Arial" w:cs="Arial"/>
          <w:spacing w:val="2"/>
        </w:rPr>
        <w:t>m</w:t>
      </w:r>
      <w:r w:rsidRPr="00EB1AAB">
        <w:rPr>
          <w:rFonts w:ascii="Arial" w:eastAsia="Arial" w:hAnsi="Arial" w:cs="Arial"/>
          <w:spacing w:val="-3"/>
        </w:rPr>
        <w:t>e</w:t>
      </w:r>
      <w:r w:rsidRPr="00EB1AAB">
        <w:rPr>
          <w:rFonts w:ascii="Arial" w:eastAsia="Arial" w:hAnsi="Arial" w:cs="Arial"/>
        </w:rPr>
        <w:t>n</w:t>
      </w:r>
      <w:r w:rsidRPr="00EB1AAB">
        <w:rPr>
          <w:rFonts w:ascii="Arial" w:eastAsia="Arial" w:hAnsi="Arial" w:cs="Arial"/>
          <w:spacing w:val="-1"/>
        </w:rPr>
        <w:t>t</w:t>
      </w:r>
      <w:r w:rsidRPr="00EB1AAB">
        <w:rPr>
          <w:rFonts w:ascii="Arial" w:eastAsia="Arial" w:hAnsi="Arial" w:cs="Arial"/>
        </w:rPr>
        <w:t>s</w:t>
      </w:r>
      <w:r w:rsidRPr="00EB1AAB">
        <w:rPr>
          <w:rFonts w:ascii="Arial" w:eastAsia="Arial" w:hAnsi="Arial" w:cs="Arial"/>
          <w:spacing w:val="16"/>
        </w:rPr>
        <w:t xml:space="preserve"> </w:t>
      </w:r>
      <w:r w:rsidRPr="00EB1AAB">
        <w:rPr>
          <w:rFonts w:ascii="Arial" w:eastAsia="Arial" w:hAnsi="Arial" w:cs="Arial"/>
        </w:rPr>
        <w:t>wh</w:t>
      </w:r>
      <w:r w:rsidRPr="00EB1AAB">
        <w:rPr>
          <w:rFonts w:ascii="Arial" w:eastAsia="Arial" w:hAnsi="Arial" w:cs="Arial"/>
          <w:spacing w:val="-1"/>
        </w:rPr>
        <w:t>er</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2"/>
        </w:rPr>
        <w:t>a</w:t>
      </w:r>
      <w:r w:rsidRPr="00EB1AAB">
        <w:rPr>
          <w:rFonts w:ascii="Arial" w:eastAsia="Arial" w:hAnsi="Arial" w:cs="Arial"/>
          <w:spacing w:val="2"/>
        </w:rPr>
        <w:t>m</w:t>
      </w:r>
      <w:r w:rsidRPr="00EB1AAB">
        <w:rPr>
          <w:rFonts w:ascii="Arial" w:eastAsia="Arial" w:hAnsi="Arial" w:cs="Arial"/>
        </w:rPr>
        <w:t>o</w:t>
      </w:r>
      <w:r w:rsidRPr="00EB1AAB">
        <w:rPr>
          <w:rFonts w:ascii="Arial" w:eastAsia="Arial" w:hAnsi="Arial" w:cs="Arial"/>
          <w:spacing w:val="2"/>
        </w:rPr>
        <w:t>u</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11"/>
        </w:rPr>
        <w:t xml:space="preserve"> </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3"/>
        </w:rPr>
        <w:t>c</w:t>
      </w:r>
      <w:r w:rsidRPr="00EB1AAB">
        <w:rPr>
          <w:rFonts w:ascii="Arial" w:eastAsia="Arial" w:hAnsi="Arial" w:cs="Arial"/>
          <w:spacing w:val="-3"/>
        </w:rPr>
        <w:t>e</w:t>
      </w:r>
      <w:r w:rsidRPr="00EB1AAB">
        <w:rPr>
          <w:rFonts w:ascii="Arial" w:eastAsia="Arial" w:hAnsi="Arial" w:cs="Arial"/>
          <w:spacing w:val="4"/>
        </w:rPr>
        <w:t>i</w:t>
      </w:r>
      <w:r w:rsidRPr="00EB1AAB">
        <w:rPr>
          <w:rFonts w:ascii="Arial" w:eastAsia="Arial" w:hAnsi="Arial" w:cs="Arial"/>
          <w:spacing w:val="-1"/>
        </w:rPr>
        <w:t>v</w:t>
      </w:r>
      <w:r w:rsidRPr="00EB1AAB">
        <w:rPr>
          <w:rFonts w:ascii="Arial" w:eastAsia="Arial" w:hAnsi="Arial" w:cs="Arial"/>
        </w:rPr>
        <w:t>ed</w:t>
      </w:r>
      <w:r w:rsidRPr="00EB1AAB">
        <w:rPr>
          <w:rFonts w:ascii="Arial" w:eastAsia="Arial" w:hAnsi="Arial" w:cs="Arial"/>
          <w:spacing w:val="10"/>
        </w:rPr>
        <w:t xml:space="preserve"> </w:t>
      </w:r>
      <w:r w:rsidRPr="00EB1AAB">
        <w:rPr>
          <w:rFonts w:ascii="Arial" w:eastAsia="Arial" w:hAnsi="Arial" w:cs="Arial"/>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rPr>
        <w:t>not</w:t>
      </w:r>
      <w:r w:rsidRPr="00EB1AAB">
        <w:rPr>
          <w:rFonts w:ascii="Arial" w:eastAsia="Arial" w:hAnsi="Arial" w:cs="Arial"/>
          <w:spacing w:val="4"/>
        </w:rPr>
        <w:t xml:space="preserve"> </w:t>
      </w:r>
      <w:r w:rsidRPr="00EB1AAB">
        <w:rPr>
          <w:rFonts w:ascii="Arial" w:eastAsia="Arial" w:hAnsi="Arial" w:cs="Arial"/>
        </w:rPr>
        <w:t>p</w:t>
      </w:r>
      <w:r w:rsidRPr="00EB1AAB">
        <w:rPr>
          <w:rFonts w:ascii="Arial" w:eastAsia="Arial" w:hAnsi="Arial" w:cs="Arial"/>
          <w:spacing w:val="-1"/>
        </w:rPr>
        <w:t>r</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ci</w:t>
      </w:r>
      <w:r w:rsidRPr="00EB1AAB">
        <w:rPr>
          <w:rFonts w:ascii="Arial" w:eastAsia="Arial" w:hAnsi="Arial" w:cs="Arial"/>
        </w:rPr>
        <w:t>p</w:t>
      </w:r>
      <w:r w:rsidRPr="00EB1AAB">
        <w:rPr>
          <w:rFonts w:ascii="Arial" w:eastAsia="Arial" w:hAnsi="Arial" w:cs="Arial"/>
          <w:spacing w:val="-3"/>
        </w:rPr>
        <w:t>a</w:t>
      </w:r>
      <w:r w:rsidRPr="00EB1AAB">
        <w:rPr>
          <w:rFonts w:ascii="Arial" w:eastAsia="Arial" w:hAnsi="Arial" w:cs="Arial"/>
        </w:rPr>
        <w:t>l</w:t>
      </w:r>
      <w:r w:rsidRPr="00EB1AAB">
        <w:rPr>
          <w:rFonts w:ascii="Arial" w:eastAsia="Arial" w:hAnsi="Arial" w:cs="Arial"/>
          <w:spacing w:val="13"/>
        </w:rPr>
        <w:t xml:space="preserve"> </w:t>
      </w:r>
      <w:r w:rsidRPr="00EB1AAB">
        <w:rPr>
          <w:rFonts w:ascii="Arial" w:eastAsia="Arial" w:hAnsi="Arial" w:cs="Arial"/>
          <w:spacing w:val="-3"/>
        </w:rPr>
        <w:t>a</w:t>
      </w:r>
      <w:r w:rsidRPr="00EB1AAB">
        <w:rPr>
          <w:rFonts w:ascii="Arial" w:eastAsia="Arial" w:hAnsi="Arial" w:cs="Arial"/>
          <w:spacing w:val="2"/>
        </w:rPr>
        <w:t>n</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spacing w:val="1"/>
        </w:rPr>
        <w:t>i</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spacing w:val="-3"/>
        </w:rPr>
        <w:t>e</w:t>
      </w:r>
      <w:r w:rsidRPr="00EB1AAB">
        <w:rPr>
          <w:rFonts w:ascii="Arial" w:eastAsia="Arial" w:hAnsi="Arial" w:cs="Arial"/>
          <w:spacing w:val="2"/>
        </w:rPr>
        <w:t>r</w:t>
      </w:r>
      <w:r w:rsidRPr="00EB1AAB">
        <w:rPr>
          <w:rFonts w:ascii="Arial" w:eastAsia="Arial" w:hAnsi="Arial" w:cs="Arial"/>
        </w:rPr>
        <w:t>est</w:t>
      </w:r>
      <w:r w:rsidRPr="00EB1AAB">
        <w:rPr>
          <w:rFonts w:ascii="Arial" w:eastAsia="Arial" w:hAnsi="Arial" w:cs="Arial"/>
          <w:spacing w:val="9"/>
        </w:rPr>
        <w:t xml:space="preserve"> </w:t>
      </w:r>
      <w:r w:rsidRPr="00EB1AAB">
        <w:rPr>
          <w:rFonts w:ascii="Arial" w:eastAsia="Arial" w:hAnsi="Arial" w:cs="Arial"/>
          <w:spacing w:val="-1"/>
        </w:rPr>
        <w:t>(</w:t>
      </w:r>
      <w:r w:rsidRPr="00EB1AAB">
        <w:rPr>
          <w:rFonts w:ascii="Arial" w:eastAsia="Arial" w:hAnsi="Arial" w:cs="Arial"/>
        </w:rPr>
        <w:t>e</w:t>
      </w:r>
      <w:r w:rsidRPr="00EB1AAB">
        <w:rPr>
          <w:rFonts w:ascii="Arial" w:eastAsia="Arial" w:hAnsi="Arial" w:cs="Arial"/>
          <w:spacing w:val="2"/>
        </w:rPr>
        <w:t>.</w:t>
      </w:r>
      <w:r w:rsidRPr="00EB1AAB">
        <w:rPr>
          <w:rFonts w:ascii="Arial" w:eastAsia="Arial" w:hAnsi="Arial" w:cs="Arial"/>
          <w:spacing w:val="-3"/>
        </w:rPr>
        <w:t>g</w:t>
      </w:r>
      <w:r w:rsidRPr="00EB1AAB">
        <w:rPr>
          <w:rFonts w:ascii="Arial" w:eastAsia="Arial" w:hAnsi="Arial" w:cs="Arial"/>
        </w:rPr>
        <w:t>.</w:t>
      </w:r>
      <w:r w:rsidRPr="00EB1AAB">
        <w:rPr>
          <w:rFonts w:ascii="Arial" w:eastAsia="Arial" w:hAnsi="Arial" w:cs="Arial"/>
          <w:spacing w:val="9"/>
        </w:rPr>
        <w:t xml:space="preserve"> </w:t>
      </w:r>
      <w:r w:rsidRPr="00EB1AAB">
        <w:rPr>
          <w:rFonts w:ascii="Arial" w:eastAsia="Arial" w:hAnsi="Arial" w:cs="Arial"/>
        </w:rPr>
        <w:t>equity</w:t>
      </w:r>
      <w:r w:rsidRPr="00EB1AAB">
        <w:rPr>
          <w:rFonts w:ascii="Arial" w:eastAsia="Arial" w:hAnsi="Arial" w:cs="Arial"/>
          <w:spacing w:val="6"/>
        </w:rPr>
        <w:t xml:space="preserve"> </w:t>
      </w:r>
      <w:r w:rsidRPr="00EB1AAB">
        <w:rPr>
          <w:rFonts w:ascii="Arial" w:eastAsia="Arial" w:hAnsi="Arial" w:cs="Arial"/>
          <w:spacing w:val="1"/>
          <w:w w:val="101"/>
        </w:rPr>
        <w:t>i</w:t>
      </w:r>
      <w:r w:rsidRPr="00EB1AAB">
        <w:rPr>
          <w:rFonts w:ascii="Arial" w:eastAsia="Arial" w:hAnsi="Arial" w:cs="Arial"/>
          <w:w w:val="101"/>
        </w:rPr>
        <w:t>n</w:t>
      </w:r>
      <w:r w:rsidRPr="00EB1AAB">
        <w:rPr>
          <w:rFonts w:ascii="Arial" w:eastAsia="Arial" w:hAnsi="Arial" w:cs="Arial"/>
          <w:spacing w:val="1"/>
          <w:w w:val="101"/>
        </w:rPr>
        <w:t>v</w:t>
      </w:r>
      <w:r w:rsidRPr="00EB1AAB">
        <w:rPr>
          <w:rFonts w:ascii="Arial" w:eastAsia="Arial" w:hAnsi="Arial" w:cs="Arial"/>
          <w:spacing w:val="-3"/>
          <w:w w:val="101"/>
        </w:rPr>
        <w:t>e</w:t>
      </w:r>
      <w:r w:rsidRPr="00EB1AAB">
        <w:rPr>
          <w:rFonts w:ascii="Arial" w:eastAsia="Arial" w:hAnsi="Arial" w:cs="Arial"/>
          <w:spacing w:val="1"/>
          <w:w w:val="101"/>
        </w:rPr>
        <w:t>s</w:t>
      </w:r>
      <w:r w:rsidRPr="00EB1AAB">
        <w:rPr>
          <w:rFonts w:ascii="Arial" w:eastAsia="Arial" w:hAnsi="Arial" w:cs="Arial"/>
          <w:w w:val="101"/>
        </w:rPr>
        <w:t>t</w:t>
      </w:r>
      <w:r w:rsidRPr="00EB1AAB">
        <w:rPr>
          <w:rFonts w:ascii="Arial" w:eastAsia="Arial" w:hAnsi="Arial" w:cs="Arial"/>
          <w:spacing w:val="3"/>
          <w:w w:val="101"/>
        </w:rPr>
        <w:t>m</w:t>
      </w:r>
      <w:r w:rsidRPr="00EB1AAB">
        <w:rPr>
          <w:rFonts w:ascii="Arial" w:eastAsia="Arial" w:hAnsi="Arial" w:cs="Arial"/>
          <w:w w:val="101"/>
        </w:rPr>
        <w:t>e</w:t>
      </w:r>
      <w:r w:rsidRPr="00EB1AAB">
        <w:rPr>
          <w:rFonts w:ascii="Arial" w:eastAsia="Arial" w:hAnsi="Arial" w:cs="Arial"/>
          <w:spacing w:val="-1"/>
          <w:w w:val="101"/>
        </w:rPr>
        <w:t>n</w:t>
      </w:r>
      <w:r w:rsidRPr="00EB1AAB">
        <w:rPr>
          <w:rFonts w:ascii="Arial" w:eastAsia="Arial" w:hAnsi="Arial" w:cs="Arial"/>
          <w:w w:val="101"/>
        </w:rPr>
        <w:t>t</w:t>
      </w:r>
      <w:r w:rsidRPr="00EB1AAB">
        <w:rPr>
          <w:rFonts w:ascii="Arial" w:eastAsia="Arial" w:hAnsi="Arial" w:cs="Arial"/>
          <w:spacing w:val="1"/>
          <w:w w:val="101"/>
        </w:rPr>
        <w:t>s</w:t>
      </w:r>
      <w:r w:rsidRPr="00EB1AAB">
        <w:rPr>
          <w:rFonts w:ascii="Arial" w:eastAsia="Arial" w:hAnsi="Arial" w:cs="Arial"/>
          <w:spacing w:val="-1"/>
          <w:w w:val="101"/>
        </w:rPr>
        <w:t>)</w:t>
      </w:r>
      <w:r w:rsidRPr="00EB1AAB">
        <w:rPr>
          <w:rFonts w:ascii="Arial" w:eastAsia="Arial" w:hAnsi="Arial" w:cs="Arial"/>
          <w:w w:val="101"/>
        </w:rPr>
        <w:t>.</w:t>
      </w:r>
    </w:p>
    <w:p w14:paraId="4A8E2A7E" w14:textId="77777777" w:rsidR="00655E4C" w:rsidRPr="00EB1AAB" w:rsidRDefault="00655E4C" w:rsidP="006F1659">
      <w:pPr>
        <w:spacing w:before="9" w:line="360" w:lineRule="auto"/>
        <w:ind w:right="54"/>
        <w:rPr>
          <w:rFonts w:ascii="Arial" w:hAnsi="Arial" w:cs="Arial"/>
        </w:rPr>
      </w:pPr>
    </w:p>
    <w:p w14:paraId="4B00F1A0" w14:textId="77777777" w:rsidR="00655E4C" w:rsidRPr="00EB1AAB" w:rsidRDefault="00655E4C" w:rsidP="006F1659">
      <w:pPr>
        <w:spacing w:line="360" w:lineRule="auto"/>
        <w:ind w:right="-88"/>
        <w:rPr>
          <w:rFonts w:ascii="Arial" w:eastAsia="Arial" w:hAnsi="Arial" w:cs="Arial"/>
        </w:rPr>
      </w:pPr>
      <w:r w:rsidRPr="00EB1AAB">
        <w:rPr>
          <w:rFonts w:ascii="Arial" w:eastAsia="Arial" w:hAnsi="Arial" w:cs="Arial"/>
        </w:rPr>
        <w:t>Ch</w:t>
      </w:r>
      <w:r w:rsidRPr="00EB1AAB">
        <w:rPr>
          <w:rFonts w:ascii="Arial" w:eastAsia="Arial" w:hAnsi="Arial" w:cs="Arial"/>
          <w:spacing w:val="-1"/>
        </w:rPr>
        <w:t>an</w:t>
      </w:r>
      <w:r w:rsidRPr="00EB1AAB">
        <w:rPr>
          <w:rFonts w:ascii="Arial" w:eastAsia="Arial" w:hAnsi="Arial" w:cs="Arial"/>
          <w:spacing w:val="2"/>
        </w:rPr>
        <w:t>g</w:t>
      </w:r>
      <w:r w:rsidRPr="00EB1AAB">
        <w:rPr>
          <w:rFonts w:ascii="Arial" w:eastAsia="Arial" w:hAnsi="Arial" w:cs="Arial"/>
          <w:spacing w:val="-3"/>
        </w:rPr>
        <w:t>e</w:t>
      </w:r>
      <w:r w:rsidRPr="00EB1AAB">
        <w:rPr>
          <w:rFonts w:ascii="Arial" w:eastAsia="Arial" w:hAnsi="Arial" w:cs="Arial"/>
        </w:rPr>
        <w:t>s</w:t>
      </w:r>
      <w:r w:rsidRPr="00EB1AAB">
        <w:rPr>
          <w:rFonts w:ascii="Arial" w:eastAsia="Arial" w:hAnsi="Arial" w:cs="Arial"/>
          <w:spacing w:val="11"/>
        </w:rPr>
        <w:t xml:space="preserve"> </w:t>
      </w:r>
      <w:r w:rsidRPr="00EB1AAB">
        <w:rPr>
          <w:rFonts w:ascii="Arial" w:eastAsia="Arial" w:hAnsi="Arial" w:cs="Arial"/>
          <w:spacing w:val="4"/>
        </w:rPr>
        <w:t>i</w:t>
      </w:r>
      <w:r w:rsidRPr="00EB1AAB">
        <w:rPr>
          <w:rFonts w:ascii="Arial" w:eastAsia="Arial" w:hAnsi="Arial" w:cs="Arial"/>
        </w:rPr>
        <w:t xml:space="preserve">n </w:t>
      </w:r>
      <w:r w:rsidRPr="00EB1AAB">
        <w:rPr>
          <w:rFonts w:ascii="Arial" w:eastAsia="Arial" w:hAnsi="Arial" w:cs="Arial"/>
          <w:spacing w:val="5"/>
        </w:rPr>
        <w:t>f</w:t>
      </w:r>
      <w:r w:rsidRPr="00EB1AAB">
        <w:rPr>
          <w:rFonts w:ascii="Arial" w:eastAsia="Arial" w:hAnsi="Arial" w:cs="Arial"/>
          <w:spacing w:val="-3"/>
        </w:rPr>
        <w:t>a</w:t>
      </w:r>
      <w:r w:rsidRPr="00EB1AAB">
        <w:rPr>
          <w:rFonts w:ascii="Arial" w:eastAsia="Arial" w:hAnsi="Arial" w:cs="Arial"/>
          <w:spacing w:val="4"/>
        </w:rPr>
        <w:t>i</w:t>
      </w:r>
      <w:r w:rsidRPr="00EB1AAB">
        <w:rPr>
          <w:rFonts w:ascii="Arial" w:eastAsia="Arial" w:hAnsi="Arial" w:cs="Arial"/>
        </w:rPr>
        <w:t>r</w:t>
      </w:r>
      <w:r w:rsidRPr="00EB1AAB">
        <w:rPr>
          <w:rFonts w:ascii="Arial" w:eastAsia="Arial" w:hAnsi="Arial" w:cs="Arial"/>
          <w:spacing w:val="3"/>
        </w:rPr>
        <w:t xml:space="preserve"> </w:t>
      </w:r>
      <w:r w:rsidRPr="00EB1AAB">
        <w:rPr>
          <w:rFonts w:ascii="Arial" w:eastAsia="Arial" w:hAnsi="Arial" w:cs="Arial"/>
          <w:spacing w:val="1"/>
        </w:rPr>
        <w:t>v</w:t>
      </w:r>
      <w:r w:rsidRPr="00EB1AAB">
        <w:rPr>
          <w:rFonts w:ascii="Arial" w:eastAsia="Arial" w:hAnsi="Arial" w:cs="Arial"/>
          <w:spacing w:val="-3"/>
        </w:rPr>
        <w:t>a</w:t>
      </w:r>
      <w:r w:rsidRPr="00EB1AAB">
        <w:rPr>
          <w:rFonts w:ascii="Arial" w:eastAsia="Arial" w:hAnsi="Arial" w:cs="Arial"/>
          <w:spacing w:val="3"/>
        </w:rPr>
        <w:t>l</w:t>
      </w:r>
      <w:r w:rsidRPr="00EB1AAB">
        <w:rPr>
          <w:rFonts w:ascii="Arial" w:eastAsia="Arial" w:hAnsi="Arial" w:cs="Arial"/>
          <w:spacing w:val="-2"/>
        </w:rPr>
        <w:t>u</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rPr>
        <w:t>ha</w:t>
      </w:r>
      <w:r w:rsidRPr="00EB1AAB">
        <w:rPr>
          <w:rFonts w:ascii="Arial" w:eastAsia="Arial" w:hAnsi="Arial" w:cs="Arial"/>
          <w:spacing w:val="2"/>
        </w:rPr>
        <w:t>r</w:t>
      </w:r>
      <w:r w:rsidRPr="00EB1AAB">
        <w:rPr>
          <w:rFonts w:ascii="Arial" w:eastAsia="Arial" w:hAnsi="Arial" w:cs="Arial"/>
        </w:rPr>
        <w:t>ged</w:t>
      </w:r>
      <w:r w:rsidRPr="00EB1AAB">
        <w:rPr>
          <w:rFonts w:ascii="Arial" w:eastAsia="Arial" w:hAnsi="Arial" w:cs="Arial"/>
          <w:spacing w:val="9"/>
        </w:rPr>
        <w:t xml:space="preserve"> </w:t>
      </w:r>
      <w:r w:rsidRPr="00EB1AAB">
        <w:rPr>
          <w:rFonts w:ascii="Arial" w:eastAsia="Arial" w:hAnsi="Arial" w:cs="Arial"/>
        </w:rPr>
        <w:t>to</w:t>
      </w:r>
      <w:r w:rsidRPr="00EB1AAB">
        <w:rPr>
          <w:rFonts w:ascii="Arial" w:eastAsia="Arial" w:hAnsi="Arial" w:cs="Arial"/>
          <w:spacing w:val="3"/>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1"/>
        </w:rPr>
        <w:t xml:space="preserve"> </w:t>
      </w:r>
      <w:r w:rsidRPr="00EB1AAB">
        <w:rPr>
          <w:rFonts w:ascii="Arial" w:eastAsia="Arial" w:hAnsi="Arial" w:cs="Arial"/>
          <w:spacing w:val="3"/>
        </w:rPr>
        <w:t>s</w:t>
      </w:r>
      <w:r w:rsidRPr="00EB1AAB">
        <w:rPr>
          <w:rFonts w:ascii="Arial" w:eastAsia="Arial" w:hAnsi="Arial" w:cs="Arial"/>
        </w:rPr>
        <w:t>u</w:t>
      </w:r>
      <w:r w:rsidRPr="00EB1AAB">
        <w:rPr>
          <w:rFonts w:ascii="Arial" w:eastAsia="Arial" w:hAnsi="Arial" w:cs="Arial"/>
          <w:spacing w:val="-1"/>
        </w:rPr>
        <w:t>r</w:t>
      </w:r>
      <w:r w:rsidRPr="00EB1AAB">
        <w:rPr>
          <w:rFonts w:ascii="Arial" w:eastAsia="Arial" w:hAnsi="Arial" w:cs="Arial"/>
          <w:spacing w:val="-3"/>
        </w:rPr>
        <w:t>p</w:t>
      </w:r>
      <w:r w:rsidRPr="00EB1AAB">
        <w:rPr>
          <w:rFonts w:ascii="Arial" w:eastAsia="Arial" w:hAnsi="Arial" w:cs="Arial"/>
          <w:spacing w:val="6"/>
        </w:rPr>
        <w:t>l</w:t>
      </w:r>
      <w:r w:rsidRPr="00EB1AAB">
        <w:rPr>
          <w:rFonts w:ascii="Arial" w:eastAsia="Arial" w:hAnsi="Arial" w:cs="Arial"/>
          <w:spacing w:val="-3"/>
        </w:rPr>
        <w:t>u</w:t>
      </w:r>
      <w:r w:rsidRPr="00EB1AAB">
        <w:rPr>
          <w:rFonts w:ascii="Arial" w:eastAsia="Arial" w:hAnsi="Arial" w:cs="Arial"/>
        </w:rPr>
        <w:t>s</w:t>
      </w:r>
      <w:r w:rsidRPr="00EB1AAB">
        <w:rPr>
          <w:rFonts w:ascii="Arial" w:eastAsia="Arial" w:hAnsi="Arial" w:cs="Arial"/>
          <w:spacing w:val="9"/>
        </w:rPr>
        <w:t xml:space="preserve"> </w:t>
      </w:r>
      <w:r w:rsidRPr="00EB1AAB">
        <w:rPr>
          <w:rFonts w:ascii="Arial" w:eastAsia="Arial" w:hAnsi="Arial" w:cs="Arial"/>
        </w:rPr>
        <w:t>/</w:t>
      </w:r>
      <w:r w:rsidRPr="00EB1AAB">
        <w:rPr>
          <w:rFonts w:ascii="Arial" w:eastAsia="Arial" w:hAnsi="Arial" w:cs="Arial"/>
          <w:spacing w:val="4"/>
        </w:rPr>
        <w:t xml:space="preserve"> </w:t>
      </w:r>
      <w:r w:rsidRPr="00EB1AAB">
        <w:rPr>
          <w:rFonts w:ascii="Arial" w:eastAsia="Arial" w:hAnsi="Arial" w:cs="Arial"/>
          <w:spacing w:val="-3"/>
        </w:rPr>
        <w:t>d</w:t>
      </w:r>
      <w:r w:rsidRPr="00EB1AAB">
        <w:rPr>
          <w:rFonts w:ascii="Arial" w:eastAsia="Arial" w:hAnsi="Arial" w:cs="Arial"/>
        </w:rPr>
        <w:t>e</w:t>
      </w:r>
      <w:r w:rsidRPr="00EB1AAB">
        <w:rPr>
          <w:rFonts w:ascii="Arial" w:eastAsia="Arial" w:hAnsi="Arial" w:cs="Arial"/>
          <w:spacing w:val="2"/>
        </w:rPr>
        <w:t>f</w:t>
      </w:r>
      <w:r w:rsidRPr="00EB1AAB">
        <w:rPr>
          <w:rFonts w:ascii="Arial" w:eastAsia="Arial" w:hAnsi="Arial" w:cs="Arial"/>
          <w:spacing w:val="1"/>
        </w:rPr>
        <w:t>i</w:t>
      </w:r>
      <w:r w:rsidRPr="00EB1AAB">
        <w:rPr>
          <w:rFonts w:ascii="Arial" w:eastAsia="Arial" w:hAnsi="Arial" w:cs="Arial"/>
          <w:spacing w:val="-1"/>
        </w:rPr>
        <w:t>c</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9"/>
        </w:rPr>
        <w:t xml:space="preserve"> </w:t>
      </w:r>
      <w:r w:rsidRPr="00EB1AAB">
        <w:rPr>
          <w:rFonts w:ascii="Arial" w:eastAsia="Arial" w:hAnsi="Arial" w:cs="Arial"/>
          <w:spacing w:val="-3"/>
        </w:rPr>
        <w:t>o</w:t>
      </w:r>
      <w:r w:rsidRPr="00EB1AAB">
        <w:rPr>
          <w:rFonts w:ascii="Arial" w:eastAsia="Arial" w:hAnsi="Arial" w:cs="Arial"/>
        </w:rPr>
        <w:t>n</w:t>
      </w:r>
      <w:r w:rsidRPr="00EB1AAB">
        <w:rPr>
          <w:rFonts w:ascii="Arial" w:eastAsia="Arial" w:hAnsi="Arial" w:cs="Arial"/>
          <w:spacing w:val="4"/>
        </w:rPr>
        <w:t xml:space="preserve"> </w:t>
      </w:r>
      <w:r w:rsidRPr="00EB1AAB">
        <w:rPr>
          <w:rFonts w:ascii="Arial" w:eastAsia="Arial" w:hAnsi="Arial" w:cs="Arial"/>
        </w:rPr>
        <w:t>the</w:t>
      </w:r>
      <w:r w:rsidRPr="00EB1AAB">
        <w:rPr>
          <w:rFonts w:ascii="Arial" w:eastAsia="Arial" w:hAnsi="Arial" w:cs="Arial"/>
          <w:spacing w:val="3"/>
        </w:rPr>
        <w:t xml:space="preserve"> </w:t>
      </w:r>
      <w:r w:rsidRPr="00EB1AAB">
        <w:rPr>
          <w:rFonts w:ascii="Arial" w:eastAsia="Arial" w:hAnsi="Arial" w:cs="Arial"/>
        </w:rPr>
        <w:t>net</w:t>
      </w:r>
      <w:r w:rsidRPr="00EB1AAB">
        <w:rPr>
          <w:rFonts w:ascii="Arial" w:eastAsia="Arial" w:hAnsi="Arial" w:cs="Arial"/>
          <w:spacing w:val="4"/>
        </w:rPr>
        <w:t xml:space="preserve"> </w:t>
      </w:r>
      <w:r w:rsidRPr="00EB1AAB">
        <w:rPr>
          <w:rFonts w:ascii="Arial" w:eastAsia="Arial" w:hAnsi="Arial" w:cs="Arial"/>
          <w:spacing w:val="2"/>
        </w:rPr>
        <w:t>p</w:t>
      </w:r>
      <w:r w:rsidRPr="00EB1AAB">
        <w:rPr>
          <w:rFonts w:ascii="Arial" w:eastAsia="Arial" w:hAnsi="Arial" w:cs="Arial"/>
          <w:spacing w:val="-1"/>
        </w:rPr>
        <w:t>r</w:t>
      </w:r>
      <w:r w:rsidRPr="00EB1AAB">
        <w:rPr>
          <w:rFonts w:ascii="Arial" w:eastAsia="Arial" w:hAnsi="Arial" w:cs="Arial"/>
          <w:spacing w:val="-3"/>
        </w:rPr>
        <w:t>o</w:t>
      </w:r>
      <w:r w:rsidRPr="00EB1AAB">
        <w:rPr>
          <w:rFonts w:ascii="Arial" w:eastAsia="Arial" w:hAnsi="Arial" w:cs="Arial"/>
          <w:spacing w:val="1"/>
        </w:rPr>
        <w:t>v</w:t>
      </w:r>
      <w:r w:rsidRPr="00EB1AAB">
        <w:rPr>
          <w:rFonts w:ascii="Arial" w:eastAsia="Arial" w:hAnsi="Arial" w:cs="Arial"/>
          <w:spacing w:val="4"/>
        </w:rPr>
        <w:t>i</w:t>
      </w:r>
      <w:r w:rsidRPr="00EB1AAB">
        <w:rPr>
          <w:rFonts w:ascii="Arial" w:eastAsia="Arial" w:hAnsi="Arial" w:cs="Arial"/>
          <w:spacing w:val="-2"/>
        </w:rPr>
        <w:t>s</w:t>
      </w:r>
      <w:r w:rsidRPr="00EB1AAB">
        <w:rPr>
          <w:rFonts w:ascii="Arial" w:eastAsia="Arial" w:hAnsi="Arial" w:cs="Arial"/>
          <w:spacing w:val="4"/>
        </w:rPr>
        <w:t>i</w:t>
      </w:r>
      <w:r w:rsidRPr="00EB1AAB">
        <w:rPr>
          <w:rFonts w:ascii="Arial" w:eastAsia="Arial" w:hAnsi="Arial" w:cs="Arial"/>
          <w:spacing w:val="-3"/>
        </w:rPr>
        <w:t>o</w:t>
      </w:r>
      <w:r w:rsidRPr="00EB1AAB">
        <w:rPr>
          <w:rFonts w:ascii="Arial" w:eastAsia="Arial" w:hAnsi="Arial" w:cs="Arial"/>
        </w:rPr>
        <w:t>n</w:t>
      </w:r>
      <w:r w:rsidRPr="00EB1AAB">
        <w:rPr>
          <w:rFonts w:ascii="Arial" w:eastAsia="Arial" w:hAnsi="Arial" w:cs="Arial"/>
          <w:spacing w:val="10"/>
        </w:rPr>
        <w:t xml:space="preserve"> </w:t>
      </w:r>
      <w:r w:rsidRPr="00EB1AAB">
        <w:rPr>
          <w:rFonts w:ascii="Arial" w:eastAsia="Arial" w:hAnsi="Arial" w:cs="Arial"/>
          <w:spacing w:val="-3"/>
        </w:rPr>
        <w:t>o</w:t>
      </w:r>
      <w:r w:rsidRPr="00EB1AAB">
        <w:rPr>
          <w:rFonts w:ascii="Arial" w:eastAsia="Arial" w:hAnsi="Arial" w:cs="Arial"/>
        </w:rPr>
        <w:t>f</w:t>
      </w:r>
      <w:r w:rsidRPr="00EB1AAB">
        <w:rPr>
          <w:rFonts w:ascii="Arial" w:eastAsia="Arial" w:hAnsi="Arial" w:cs="Arial"/>
          <w:spacing w:val="8"/>
        </w:rPr>
        <w:t xml:space="preserve"> </w:t>
      </w:r>
      <w:r w:rsidRPr="00EB1AAB">
        <w:rPr>
          <w:rFonts w:ascii="Arial" w:eastAsia="Arial" w:hAnsi="Arial" w:cs="Arial"/>
          <w:spacing w:val="1"/>
          <w:w w:val="101"/>
        </w:rPr>
        <w:t>s</w:t>
      </w:r>
      <w:r w:rsidRPr="00EB1AAB">
        <w:rPr>
          <w:rFonts w:ascii="Arial" w:eastAsia="Arial" w:hAnsi="Arial" w:cs="Arial"/>
          <w:spacing w:val="-3"/>
          <w:w w:val="101"/>
        </w:rPr>
        <w:t>e</w:t>
      </w:r>
      <w:r w:rsidRPr="00EB1AAB">
        <w:rPr>
          <w:rFonts w:ascii="Arial" w:eastAsia="Arial" w:hAnsi="Arial" w:cs="Arial"/>
          <w:spacing w:val="-1"/>
          <w:w w:val="101"/>
        </w:rPr>
        <w:t>r</w:t>
      </w:r>
      <w:r w:rsidRPr="00EB1AAB">
        <w:rPr>
          <w:rFonts w:ascii="Arial" w:eastAsia="Arial" w:hAnsi="Arial" w:cs="Arial"/>
          <w:spacing w:val="1"/>
          <w:w w:val="101"/>
        </w:rPr>
        <w:t>vic</w:t>
      </w:r>
      <w:r w:rsidRPr="00EB1AAB">
        <w:rPr>
          <w:rFonts w:ascii="Arial" w:eastAsia="Arial" w:hAnsi="Arial" w:cs="Arial"/>
          <w:spacing w:val="-3"/>
          <w:w w:val="101"/>
        </w:rPr>
        <w:t>e</w:t>
      </w:r>
      <w:r w:rsidRPr="00EB1AAB">
        <w:rPr>
          <w:rFonts w:ascii="Arial" w:eastAsia="Arial" w:hAnsi="Arial" w:cs="Arial"/>
          <w:w w:val="101"/>
        </w:rPr>
        <w:t xml:space="preserve">s </w:t>
      </w:r>
      <w:r w:rsidRPr="00EB1AAB">
        <w:rPr>
          <w:rFonts w:ascii="Arial" w:eastAsia="Arial" w:hAnsi="Arial" w:cs="Arial"/>
        </w:rPr>
        <w:t>as</w:t>
      </w:r>
      <w:r w:rsidRPr="00EB1AAB">
        <w:rPr>
          <w:rFonts w:ascii="Arial" w:eastAsia="Arial" w:hAnsi="Arial" w:cs="Arial"/>
          <w:spacing w:val="1"/>
        </w:rPr>
        <w:t xml:space="preserve"> </w:t>
      </w:r>
      <w:r w:rsidRPr="00EB1AAB">
        <w:rPr>
          <w:rFonts w:ascii="Arial" w:eastAsia="Arial" w:hAnsi="Arial" w:cs="Arial"/>
          <w:spacing w:val="3"/>
        </w:rPr>
        <w:t>t</w:t>
      </w:r>
      <w:r w:rsidRPr="00EB1AAB">
        <w:rPr>
          <w:rFonts w:ascii="Arial" w:eastAsia="Arial" w:hAnsi="Arial" w:cs="Arial"/>
          <w:spacing w:val="-3"/>
        </w:rPr>
        <w:t>h</w:t>
      </w:r>
      <w:r w:rsidRPr="00EB1AAB">
        <w:rPr>
          <w:rFonts w:ascii="Arial" w:eastAsia="Arial" w:hAnsi="Arial" w:cs="Arial"/>
          <w:spacing w:val="2"/>
        </w:rPr>
        <w:t>e</w:t>
      </w:r>
      <w:r w:rsidRPr="00EB1AAB">
        <w:rPr>
          <w:rFonts w:ascii="Arial" w:eastAsia="Arial" w:hAnsi="Arial" w:cs="Arial"/>
        </w:rPr>
        <w:t>y</w:t>
      </w:r>
      <w:r w:rsidRPr="00EB1AAB">
        <w:rPr>
          <w:rFonts w:ascii="Arial" w:eastAsia="Arial" w:hAnsi="Arial" w:cs="Arial"/>
          <w:spacing w:val="6"/>
        </w:rPr>
        <w:t xml:space="preserve"> </w:t>
      </w:r>
      <w:r w:rsidRPr="00EB1AAB">
        <w:rPr>
          <w:rFonts w:ascii="Arial" w:eastAsia="Arial" w:hAnsi="Arial" w:cs="Arial"/>
          <w:spacing w:val="-3"/>
          <w:w w:val="101"/>
        </w:rPr>
        <w:t>o</w:t>
      </w:r>
      <w:r w:rsidRPr="00EB1AAB">
        <w:rPr>
          <w:rFonts w:ascii="Arial" w:eastAsia="Arial" w:hAnsi="Arial" w:cs="Arial"/>
          <w:spacing w:val="1"/>
          <w:w w:val="101"/>
        </w:rPr>
        <w:t>cc</w:t>
      </w:r>
      <w:r w:rsidRPr="00EB1AAB">
        <w:rPr>
          <w:rFonts w:ascii="Arial" w:eastAsia="Arial" w:hAnsi="Arial" w:cs="Arial"/>
          <w:w w:val="101"/>
        </w:rPr>
        <w:t>u</w:t>
      </w:r>
      <w:r w:rsidRPr="00EB1AAB">
        <w:rPr>
          <w:rFonts w:ascii="Arial" w:eastAsia="Arial" w:hAnsi="Arial" w:cs="Arial"/>
          <w:spacing w:val="-1"/>
          <w:w w:val="101"/>
        </w:rPr>
        <w:t>r</w:t>
      </w:r>
      <w:r w:rsidRPr="00EB1AAB">
        <w:rPr>
          <w:rFonts w:ascii="Arial" w:eastAsia="Arial" w:hAnsi="Arial" w:cs="Arial"/>
          <w:w w:val="101"/>
        </w:rPr>
        <w:t>.</w:t>
      </w:r>
    </w:p>
    <w:p w14:paraId="7E425665" w14:textId="77777777" w:rsidR="00655E4C" w:rsidRPr="00EB1AAB" w:rsidRDefault="00655E4C" w:rsidP="006F1659">
      <w:pPr>
        <w:spacing w:before="12" w:line="360" w:lineRule="auto"/>
        <w:rPr>
          <w:rFonts w:ascii="Arial" w:hAnsi="Arial" w:cs="Arial"/>
        </w:rPr>
      </w:pPr>
    </w:p>
    <w:p w14:paraId="51F967A3" w14:textId="77777777" w:rsidR="00655E4C" w:rsidRPr="00EB1AAB" w:rsidRDefault="00655E4C" w:rsidP="006F1659">
      <w:pPr>
        <w:spacing w:line="360" w:lineRule="auto"/>
        <w:ind w:right="-88"/>
        <w:rPr>
          <w:rFonts w:ascii="Arial" w:eastAsia="Arial" w:hAnsi="Arial" w:cs="Arial"/>
        </w:rPr>
      </w:pPr>
      <w:r w:rsidRPr="00EB1AAB">
        <w:rPr>
          <w:rFonts w:ascii="Arial" w:eastAsia="Arial" w:hAnsi="Arial" w:cs="Arial"/>
        </w:rPr>
        <w:t>Un</w:t>
      </w:r>
      <w:r w:rsidRPr="00EB1AAB">
        <w:rPr>
          <w:rFonts w:ascii="Arial" w:eastAsia="Arial" w:hAnsi="Arial" w:cs="Arial"/>
          <w:spacing w:val="-1"/>
        </w:rPr>
        <w:t>d</w:t>
      </w:r>
      <w:r w:rsidRPr="00EB1AAB">
        <w:rPr>
          <w:rFonts w:ascii="Arial" w:eastAsia="Arial" w:hAnsi="Arial" w:cs="Arial"/>
        </w:rPr>
        <w:t>er</w:t>
      </w:r>
      <w:r w:rsidRPr="00EB1AAB">
        <w:rPr>
          <w:rFonts w:ascii="Arial" w:eastAsia="Arial" w:hAnsi="Arial" w:cs="Arial"/>
          <w:spacing w:val="6"/>
        </w:rPr>
        <w:t xml:space="preserve"> </w:t>
      </w:r>
      <w:r w:rsidRPr="00EB1AAB">
        <w:rPr>
          <w:rFonts w:ascii="Arial" w:eastAsia="Arial" w:hAnsi="Arial" w:cs="Arial"/>
          <w:spacing w:val="3"/>
        </w:rPr>
        <w:t>c</w:t>
      </w:r>
      <w:r w:rsidRPr="00EB1AAB">
        <w:rPr>
          <w:rFonts w:ascii="Arial" w:eastAsia="Arial" w:hAnsi="Arial" w:cs="Arial"/>
          <w:spacing w:val="-3"/>
        </w:rPr>
        <w:t>a</w:t>
      </w:r>
      <w:r w:rsidRPr="00EB1AAB">
        <w:rPr>
          <w:rFonts w:ascii="Arial" w:eastAsia="Arial" w:hAnsi="Arial" w:cs="Arial"/>
        </w:rPr>
        <w:t>p</w:t>
      </w:r>
      <w:r w:rsidRPr="00EB1AAB">
        <w:rPr>
          <w:rFonts w:ascii="Arial" w:eastAsia="Arial" w:hAnsi="Arial" w:cs="Arial"/>
          <w:spacing w:val="1"/>
        </w:rPr>
        <w:t>i</w:t>
      </w:r>
      <w:r w:rsidRPr="00EB1AAB">
        <w:rPr>
          <w:rFonts w:ascii="Arial" w:eastAsia="Arial" w:hAnsi="Arial" w:cs="Arial"/>
        </w:rPr>
        <w:t>tal</w:t>
      </w:r>
      <w:r w:rsidRPr="00EB1AAB">
        <w:rPr>
          <w:rFonts w:ascii="Arial" w:eastAsia="Arial" w:hAnsi="Arial" w:cs="Arial"/>
          <w:spacing w:val="11"/>
        </w:rPr>
        <w:t xml:space="preserve"> </w:t>
      </w:r>
      <w:r w:rsidRPr="00EB1AAB">
        <w:rPr>
          <w:rFonts w:ascii="Arial" w:eastAsia="Arial" w:hAnsi="Arial" w:cs="Arial"/>
          <w:spacing w:val="-3"/>
        </w:rPr>
        <w:t>a</w:t>
      </w:r>
      <w:r w:rsidRPr="00EB1AAB">
        <w:rPr>
          <w:rFonts w:ascii="Arial" w:eastAsia="Arial" w:hAnsi="Arial" w:cs="Arial"/>
          <w:spacing w:val="1"/>
        </w:rPr>
        <w:t>c</w:t>
      </w:r>
      <w:r w:rsidRPr="00EB1AAB">
        <w:rPr>
          <w:rFonts w:ascii="Arial" w:eastAsia="Arial" w:hAnsi="Arial" w:cs="Arial"/>
          <w:spacing w:val="-2"/>
        </w:rPr>
        <w:t>c</w:t>
      </w:r>
      <w:r w:rsidRPr="00EB1AAB">
        <w:rPr>
          <w:rFonts w:ascii="Arial" w:eastAsia="Arial" w:hAnsi="Arial" w:cs="Arial"/>
          <w:spacing w:val="2"/>
        </w:rPr>
        <w:t>o</w:t>
      </w:r>
      <w:r w:rsidRPr="00EB1AAB">
        <w:rPr>
          <w:rFonts w:ascii="Arial" w:eastAsia="Arial" w:hAnsi="Arial" w:cs="Arial"/>
        </w:rPr>
        <w:t>unt</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g</w:t>
      </w:r>
      <w:r w:rsidRPr="00EB1AAB">
        <w:rPr>
          <w:rFonts w:ascii="Arial" w:eastAsia="Arial" w:hAnsi="Arial" w:cs="Arial"/>
          <w:spacing w:val="12"/>
        </w:rPr>
        <w:t xml:space="preserve"> </w:t>
      </w:r>
      <w:r w:rsidRPr="00EB1AAB">
        <w:rPr>
          <w:rFonts w:ascii="Arial" w:eastAsia="Arial" w:hAnsi="Arial" w:cs="Arial"/>
          <w:spacing w:val="2"/>
        </w:rPr>
        <w:t>re</w:t>
      </w:r>
      <w:r w:rsidRPr="00EB1AAB">
        <w:rPr>
          <w:rFonts w:ascii="Arial" w:eastAsia="Arial" w:hAnsi="Arial" w:cs="Arial"/>
          <w:spacing w:val="-2"/>
        </w:rPr>
        <w:t>g</w:t>
      </w:r>
      <w:r w:rsidRPr="00EB1AAB">
        <w:rPr>
          <w:rFonts w:ascii="Arial" w:eastAsia="Arial" w:hAnsi="Arial" w:cs="Arial"/>
        </w:rPr>
        <w:t>u</w:t>
      </w:r>
      <w:r w:rsidRPr="00EB1AAB">
        <w:rPr>
          <w:rFonts w:ascii="Arial" w:eastAsia="Arial" w:hAnsi="Arial" w:cs="Arial"/>
          <w:spacing w:val="1"/>
        </w:rPr>
        <w:t>l</w:t>
      </w:r>
      <w:r w:rsidRPr="00EB1AAB">
        <w:rPr>
          <w:rFonts w:ascii="Arial" w:eastAsia="Arial" w:hAnsi="Arial" w:cs="Arial"/>
        </w:rPr>
        <w:t>at</w:t>
      </w:r>
      <w:r w:rsidRPr="00EB1AAB">
        <w:rPr>
          <w:rFonts w:ascii="Arial" w:eastAsia="Arial" w:hAnsi="Arial" w:cs="Arial"/>
          <w:spacing w:val="1"/>
        </w:rPr>
        <w:t>i</w:t>
      </w:r>
      <w:r w:rsidRPr="00EB1AAB">
        <w:rPr>
          <w:rFonts w:ascii="Arial" w:eastAsia="Arial" w:hAnsi="Arial" w:cs="Arial"/>
        </w:rPr>
        <w:t>o</w:t>
      </w:r>
      <w:r w:rsidRPr="00EB1AAB">
        <w:rPr>
          <w:rFonts w:ascii="Arial" w:eastAsia="Arial" w:hAnsi="Arial" w:cs="Arial"/>
          <w:spacing w:val="-3"/>
        </w:rPr>
        <w:t>n</w:t>
      </w:r>
      <w:r w:rsidRPr="00EB1AAB">
        <w:rPr>
          <w:rFonts w:ascii="Arial" w:eastAsia="Arial" w:hAnsi="Arial" w:cs="Arial"/>
        </w:rPr>
        <w:t>s</w:t>
      </w:r>
      <w:r w:rsidRPr="00EB1AAB">
        <w:rPr>
          <w:rFonts w:ascii="Arial" w:eastAsia="Arial" w:hAnsi="Arial" w:cs="Arial"/>
          <w:spacing w:val="16"/>
        </w:rPr>
        <w:t xml:space="preserve"> </w:t>
      </w:r>
      <w:r w:rsidRPr="00EB1AAB">
        <w:rPr>
          <w:rFonts w:ascii="Arial" w:eastAsia="Arial" w:hAnsi="Arial" w:cs="Arial"/>
          <w:spacing w:val="-1"/>
        </w:rPr>
        <w:t>w</w:t>
      </w:r>
      <w:r w:rsidRPr="00EB1AAB">
        <w:rPr>
          <w:rFonts w:ascii="Arial" w:eastAsia="Arial" w:hAnsi="Arial" w:cs="Arial"/>
          <w:spacing w:val="2"/>
        </w:rPr>
        <w:t>h</w:t>
      </w:r>
      <w:r w:rsidRPr="00EB1AAB">
        <w:rPr>
          <w:rFonts w:ascii="Arial" w:eastAsia="Arial" w:hAnsi="Arial" w:cs="Arial"/>
          <w:spacing w:val="-3"/>
        </w:rPr>
        <w:t>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3"/>
        </w:rPr>
        <w:t>t</w:t>
      </w:r>
      <w:r w:rsidRPr="00EB1AAB">
        <w:rPr>
          <w:rFonts w:ascii="Arial" w:eastAsia="Arial" w:hAnsi="Arial" w:cs="Arial"/>
        </w:rPr>
        <w:t>h</w:t>
      </w:r>
      <w:r w:rsidRPr="00EB1AAB">
        <w:rPr>
          <w:rFonts w:ascii="Arial" w:eastAsia="Arial" w:hAnsi="Arial" w:cs="Arial"/>
          <w:spacing w:val="-2"/>
        </w:rPr>
        <w:t>e</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3"/>
        </w:rPr>
        <w:t>a</w:t>
      </w:r>
      <w:r w:rsidRPr="00EB1AAB">
        <w:rPr>
          <w:rFonts w:ascii="Arial" w:eastAsia="Arial" w:hAnsi="Arial" w:cs="Arial"/>
          <w:spacing w:val="1"/>
        </w:rPr>
        <w:t>s</w:t>
      </w:r>
      <w:r w:rsidRPr="00EB1AAB">
        <w:rPr>
          <w:rFonts w:ascii="Arial" w:eastAsia="Arial" w:hAnsi="Arial" w:cs="Arial"/>
          <w:spacing w:val="3"/>
        </w:rPr>
        <w:t>s</w:t>
      </w:r>
      <w:r w:rsidRPr="00EB1AAB">
        <w:rPr>
          <w:rFonts w:ascii="Arial" w:eastAsia="Arial" w:hAnsi="Arial" w:cs="Arial"/>
          <w:spacing w:val="-2"/>
        </w:rPr>
        <w:t>e</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9"/>
        </w:rPr>
        <w:t xml:space="preserve"> </w:t>
      </w:r>
      <w:r w:rsidRPr="00EB1AAB">
        <w:rPr>
          <w:rFonts w:ascii="Arial" w:eastAsia="Arial" w:hAnsi="Arial" w:cs="Arial"/>
        </w:rPr>
        <w:t>we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3"/>
        </w:rPr>
        <w:t>a</w:t>
      </w:r>
      <w:r w:rsidRPr="00EB1AAB">
        <w:rPr>
          <w:rFonts w:ascii="Arial" w:eastAsia="Arial" w:hAnsi="Arial" w:cs="Arial"/>
          <w:spacing w:val="5"/>
        </w:rPr>
        <w:t>t</w:t>
      </w:r>
      <w:r w:rsidRPr="00EB1AAB">
        <w:rPr>
          <w:rFonts w:ascii="Arial" w:eastAsia="Arial" w:hAnsi="Arial" w:cs="Arial"/>
          <w:spacing w:val="-3"/>
        </w:rPr>
        <w:t>e</w:t>
      </w:r>
      <w:r w:rsidRPr="00EB1AAB">
        <w:rPr>
          <w:rFonts w:ascii="Arial" w:eastAsia="Arial" w:hAnsi="Arial" w:cs="Arial"/>
        </w:rPr>
        <w:t>d</w:t>
      </w:r>
      <w:r w:rsidRPr="00EB1AAB">
        <w:rPr>
          <w:rFonts w:ascii="Arial" w:eastAsia="Arial" w:hAnsi="Arial" w:cs="Arial"/>
          <w:spacing w:val="10"/>
        </w:rPr>
        <w:t xml:space="preserve"> </w:t>
      </w:r>
      <w:r w:rsidRPr="00EB1AAB">
        <w:rPr>
          <w:rFonts w:ascii="Arial" w:eastAsia="Arial" w:hAnsi="Arial" w:cs="Arial"/>
          <w:spacing w:val="-2"/>
        </w:rPr>
        <w:t>a</w:t>
      </w:r>
      <w:r w:rsidRPr="00EB1AAB">
        <w:rPr>
          <w:rFonts w:ascii="Arial" w:eastAsia="Arial" w:hAnsi="Arial" w:cs="Arial"/>
        </w:rPr>
        <w:t>s</w:t>
      </w:r>
      <w:r w:rsidRPr="00EB1AAB">
        <w:rPr>
          <w:rFonts w:ascii="Arial" w:eastAsia="Arial" w:hAnsi="Arial" w:cs="Arial"/>
          <w:spacing w:val="4"/>
        </w:rPr>
        <w:t xml:space="preserve"> </w:t>
      </w:r>
      <w:r w:rsidRPr="00EB1AAB">
        <w:rPr>
          <w:rFonts w:ascii="Arial" w:eastAsia="Arial" w:hAnsi="Arial" w:cs="Arial"/>
          <w:spacing w:val="1"/>
          <w:w w:val="101"/>
        </w:rPr>
        <w:t>c</w:t>
      </w:r>
      <w:r w:rsidRPr="00EB1AAB">
        <w:rPr>
          <w:rFonts w:ascii="Arial" w:eastAsia="Arial" w:hAnsi="Arial" w:cs="Arial"/>
          <w:w w:val="101"/>
        </w:rPr>
        <w:t>ap</w:t>
      </w:r>
      <w:r w:rsidRPr="00EB1AAB">
        <w:rPr>
          <w:rFonts w:ascii="Arial" w:eastAsia="Arial" w:hAnsi="Arial" w:cs="Arial"/>
          <w:spacing w:val="1"/>
          <w:w w:val="101"/>
        </w:rPr>
        <w:t>i</w:t>
      </w:r>
      <w:r w:rsidRPr="00EB1AAB">
        <w:rPr>
          <w:rFonts w:ascii="Arial" w:eastAsia="Arial" w:hAnsi="Arial" w:cs="Arial"/>
          <w:spacing w:val="2"/>
          <w:w w:val="101"/>
        </w:rPr>
        <w:t>t</w:t>
      </w:r>
      <w:r w:rsidRPr="00EB1AAB">
        <w:rPr>
          <w:rFonts w:ascii="Arial" w:eastAsia="Arial" w:hAnsi="Arial" w:cs="Arial"/>
          <w:spacing w:val="-3"/>
          <w:w w:val="101"/>
        </w:rPr>
        <w:t>a</w:t>
      </w:r>
      <w:r w:rsidRPr="00EB1AAB">
        <w:rPr>
          <w:rFonts w:ascii="Arial" w:eastAsia="Arial" w:hAnsi="Arial" w:cs="Arial"/>
          <w:w w:val="101"/>
        </w:rPr>
        <w:t xml:space="preserve">l </w:t>
      </w:r>
      <w:r w:rsidRPr="00EB1AAB">
        <w:rPr>
          <w:rFonts w:ascii="Arial" w:eastAsia="Arial" w:hAnsi="Arial" w:cs="Arial"/>
        </w:rPr>
        <w:t>e</w:t>
      </w:r>
      <w:r w:rsidRPr="00EB1AAB">
        <w:rPr>
          <w:rFonts w:ascii="Arial" w:eastAsia="Arial" w:hAnsi="Arial" w:cs="Arial"/>
          <w:spacing w:val="-2"/>
        </w:rPr>
        <w:t>x</w:t>
      </w:r>
      <w:r w:rsidRPr="00EB1AAB">
        <w:rPr>
          <w:rFonts w:ascii="Arial" w:eastAsia="Arial" w:hAnsi="Arial" w:cs="Arial"/>
          <w:spacing w:val="2"/>
        </w:rPr>
        <w:t>p</w:t>
      </w:r>
      <w:r w:rsidRPr="00EB1AAB">
        <w:rPr>
          <w:rFonts w:ascii="Arial" w:eastAsia="Arial" w:hAnsi="Arial" w:cs="Arial"/>
          <w:spacing w:val="-3"/>
        </w:rPr>
        <w:t>e</w:t>
      </w:r>
      <w:r w:rsidRPr="00EB1AAB">
        <w:rPr>
          <w:rFonts w:ascii="Arial" w:eastAsia="Arial" w:hAnsi="Arial" w:cs="Arial"/>
          <w:spacing w:val="2"/>
        </w:rPr>
        <w:t>n</w:t>
      </w:r>
      <w:r w:rsidRPr="00EB1AAB">
        <w:rPr>
          <w:rFonts w:ascii="Arial" w:eastAsia="Arial" w:hAnsi="Arial" w:cs="Arial"/>
          <w:spacing w:val="-3"/>
        </w:rPr>
        <w:t>d</w:t>
      </w:r>
      <w:r w:rsidRPr="00EB1AAB">
        <w:rPr>
          <w:rFonts w:ascii="Arial" w:eastAsia="Arial" w:hAnsi="Arial" w:cs="Arial"/>
          <w:spacing w:val="4"/>
        </w:rPr>
        <w:t>i</w:t>
      </w:r>
      <w:r w:rsidRPr="00EB1AAB">
        <w:rPr>
          <w:rFonts w:ascii="Arial" w:eastAsia="Arial" w:hAnsi="Arial" w:cs="Arial"/>
        </w:rPr>
        <w:t>t</w:t>
      </w:r>
      <w:r w:rsidRPr="00EB1AAB">
        <w:rPr>
          <w:rFonts w:ascii="Arial" w:eastAsia="Arial" w:hAnsi="Arial" w:cs="Arial"/>
          <w:spacing w:val="-2"/>
        </w:rPr>
        <w:t>u</w:t>
      </w:r>
      <w:r w:rsidRPr="00EB1AAB">
        <w:rPr>
          <w:rFonts w:ascii="Arial" w:eastAsia="Arial" w:hAnsi="Arial" w:cs="Arial"/>
          <w:spacing w:val="4"/>
        </w:rPr>
        <w:t>r</w:t>
      </w:r>
      <w:r w:rsidRPr="00EB1AAB">
        <w:rPr>
          <w:rFonts w:ascii="Arial" w:eastAsia="Arial" w:hAnsi="Arial" w:cs="Arial"/>
        </w:rPr>
        <w:t>e</w:t>
      </w:r>
      <w:r w:rsidRPr="00EB1AAB">
        <w:rPr>
          <w:rFonts w:ascii="Arial" w:eastAsia="Arial" w:hAnsi="Arial" w:cs="Arial"/>
          <w:spacing w:val="11"/>
        </w:rPr>
        <w:t xml:space="preserve"> </w:t>
      </w:r>
      <w:r w:rsidRPr="00EB1AAB">
        <w:rPr>
          <w:rFonts w:ascii="Arial" w:eastAsia="Arial" w:hAnsi="Arial" w:cs="Arial"/>
          <w:spacing w:val="2"/>
        </w:rPr>
        <w:t>t</w:t>
      </w:r>
      <w:r w:rsidRPr="00EB1AAB">
        <w:rPr>
          <w:rFonts w:ascii="Arial" w:eastAsia="Arial" w:hAnsi="Arial" w:cs="Arial"/>
          <w:spacing w:val="-3"/>
        </w:rPr>
        <w:t>h</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spacing w:val="-3"/>
        </w:rPr>
        <w:t>g</w:t>
      </w:r>
      <w:r w:rsidRPr="00EB1AAB">
        <w:rPr>
          <w:rFonts w:ascii="Arial" w:eastAsia="Arial" w:hAnsi="Arial" w:cs="Arial"/>
        </w:rPr>
        <w:t>a</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7"/>
        </w:rPr>
        <w:t xml:space="preserve"> </w:t>
      </w:r>
      <w:r w:rsidRPr="00EB1AAB">
        <w:rPr>
          <w:rFonts w:ascii="Arial" w:eastAsia="Arial" w:hAnsi="Arial" w:cs="Arial"/>
        </w:rPr>
        <w:t>or</w:t>
      </w:r>
      <w:r w:rsidRPr="00EB1AAB">
        <w:rPr>
          <w:rFonts w:ascii="Arial" w:eastAsia="Arial" w:hAnsi="Arial" w:cs="Arial"/>
          <w:spacing w:val="4"/>
        </w:rPr>
        <w:t xml:space="preserve"> </w:t>
      </w:r>
      <w:r w:rsidRPr="00EB1AAB">
        <w:rPr>
          <w:rFonts w:ascii="Arial" w:eastAsia="Arial" w:hAnsi="Arial" w:cs="Arial"/>
          <w:spacing w:val="1"/>
        </w:rPr>
        <w:t>l</w:t>
      </w:r>
      <w:r w:rsidRPr="00EB1AAB">
        <w:rPr>
          <w:rFonts w:ascii="Arial" w:eastAsia="Arial" w:hAnsi="Arial" w:cs="Arial"/>
        </w:rPr>
        <w:t>oss</w:t>
      </w:r>
      <w:r w:rsidRPr="00EB1AAB">
        <w:rPr>
          <w:rFonts w:ascii="Arial" w:eastAsia="Arial" w:hAnsi="Arial" w:cs="Arial"/>
          <w:spacing w:val="4"/>
        </w:rPr>
        <w:t xml:space="preserve"> i</w:t>
      </w:r>
      <w:r w:rsidRPr="00EB1AAB">
        <w:rPr>
          <w:rFonts w:ascii="Arial" w:eastAsia="Arial" w:hAnsi="Arial" w:cs="Arial"/>
        </w:rPr>
        <w:t>s</w:t>
      </w:r>
      <w:r w:rsidRPr="00EB1AAB">
        <w:rPr>
          <w:rFonts w:ascii="Arial" w:eastAsia="Arial" w:hAnsi="Arial" w:cs="Arial"/>
          <w:spacing w:val="2"/>
        </w:rPr>
        <w:t xml:space="preserve"> </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1"/>
        </w:rPr>
        <w:t>v</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1"/>
        </w:rPr>
        <w:t>s</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10"/>
        </w:rPr>
        <w:t xml:space="preserve"> </w:t>
      </w:r>
      <w:r w:rsidRPr="00EB1AAB">
        <w:rPr>
          <w:rFonts w:ascii="Arial" w:eastAsia="Arial" w:hAnsi="Arial" w:cs="Arial"/>
        </w:rPr>
        <w:t>th</w:t>
      </w:r>
      <w:r w:rsidRPr="00EB1AAB">
        <w:rPr>
          <w:rFonts w:ascii="Arial" w:eastAsia="Arial" w:hAnsi="Arial" w:cs="Arial"/>
          <w:spacing w:val="1"/>
        </w:rPr>
        <w:t>r</w:t>
      </w:r>
      <w:r w:rsidRPr="00EB1AAB">
        <w:rPr>
          <w:rFonts w:ascii="Arial" w:eastAsia="Arial" w:hAnsi="Arial" w:cs="Arial"/>
          <w:spacing w:val="-3"/>
        </w:rPr>
        <w:t>o</w:t>
      </w:r>
      <w:r w:rsidRPr="00EB1AAB">
        <w:rPr>
          <w:rFonts w:ascii="Arial" w:eastAsia="Arial" w:hAnsi="Arial" w:cs="Arial"/>
          <w:spacing w:val="2"/>
        </w:rPr>
        <w:t>u</w:t>
      </w:r>
      <w:r w:rsidRPr="00EB1AAB">
        <w:rPr>
          <w:rFonts w:ascii="Arial" w:eastAsia="Arial" w:hAnsi="Arial" w:cs="Arial"/>
          <w:spacing w:val="-3"/>
        </w:rPr>
        <w:t>g</w:t>
      </w:r>
      <w:r w:rsidRPr="00EB1AAB">
        <w:rPr>
          <w:rFonts w:ascii="Arial" w:eastAsia="Arial" w:hAnsi="Arial" w:cs="Arial"/>
        </w:rPr>
        <w:t>h</w:t>
      </w:r>
      <w:r w:rsidRPr="00EB1AAB">
        <w:rPr>
          <w:rFonts w:ascii="Arial" w:eastAsia="Arial" w:hAnsi="Arial" w:cs="Arial"/>
          <w:spacing w:val="9"/>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rPr>
        <w:t>M</w:t>
      </w:r>
      <w:r w:rsidRPr="00EB1AAB">
        <w:rPr>
          <w:rFonts w:ascii="Arial" w:eastAsia="Arial" w:hAnsi="Arial" w:cs="Arial"/>
          <w:spacing w:val="-1"/>
        </w:rPr>
        <w:t>ov</w:t>
      </w:r>
      <w:r w:rsidRPr="00EB1AAB">
        <w:rPr>
          <w:rFonts w:ascii="Arial" w:eastAsia="Arial" w:hAnsi="Arial" w:cs="Arial"/>
        </w:rPr>
        <w:t>e</w:t>
      </w:r>
      <w:r w:rsidRPr="00EB1AAB">
        <w:rPr>
          <w:rFonts w:ascii="Arial" w:eastAsia="Arial" w:hAnsi="Arial" w:cs="Arial"/>
          <w:spacing w:val="2"/>
        </w:rPr>
        <w:t>m</w:t>
      </w:r>
      <w:r w:rsidRPr="00EB1AAB">
        <w:rPr>
          <w:rFonts w:ascii="Arial" w:eastAsia="Arial" w:hAnsi="Arial" w:cs="Arial"/>
        </w:rPr>
        <w:t>ent</w:t>
      </w:r>
      <w:r w:rsidRPr="00EB1AAB">
        <w:rPr>
          <w:rFonts w:ascii="Arial" w:eastAsia="Arial" w:hAnsi="Arial" w:cs="Arial"/>
          <w:spacing w:val="11"/>
        </w:rPr>
        <w:t xml:space="preserve"> </w:t>
      </w:r>
      <w:r w:rsidRPr="00EB1AAB">
        <w:rPr>
          <w:rFonts w:ascii="Arial" w:eastAsia="Arial" w:hAnsi="Arial" w:cs="Arial"/>
          <w:spacing w:val="4"/>
        </w:rPr>
        <w:t>i</w:t>
      </w:r>
      <w:r w:rsidRPr="00EB1AAB">
        <w:rPr>
          <w:rFonts w:ascii="Arial" w:eastAsia="Arial" w:hAnsi="Arial" w:cs="Arial"/>
        </w:rPr>
        <w:t>n</w:t>
      </w:r>
      <w:r w:rsidRPr="00EB1AAB">
        <w:rPr>
          <w:rFonts w:ascii="Arial" w:eastAsia="Arial" w:hAnsi="Arial" w:cs="Arial"/>
          <w:spacing w:val="3"/>
        </w:rPr>
        <w:t xml:space="preserve"> </w:t>
      </w:r>
      <w:r w:rsidRPr="00EB1AAB">
        <w:rPr>
          <w:rFonts w:ascii="Arial" w:eastAsia="Arial" w:hAnsi="Arial" w:cs="Arial"/>
        </w:rPr>
        <w:t>R</w:t>
      </w:r>
      <w:r w:rsidRPr="00EB1AAB">
        <w:rPr>
          <w:rFonts w:ascii="Arial" w:eastAsia="Arial" w:hAnsi="Arial" w:cs="Arial"/>
          <w:spacing w:val="-2"/>
        </w:rPr>
        <w:t>e</w:t>
      </w:r>
      <w:r w:rsidRPr="00EB1AAB">
        <w:rPr>
          <w:rFonts w:ascii="Arial" w:eastAsia="Arial" w:hAnsi="Arial" w:cs="Arial"/>
          <w:spacing w:val="1"/>
        </w:rPr>
        <w:t>s</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1"/>
        </w:rPr>
        <w:t>v</w:t>
      </w:r>
      <w:r w:rsidRPr="00EB1AAB">
        <w:rPr>
          <w:rFonts w:ascii="Arial" w:eastAsia="Arial" w:hAnsi="Arial" w:cs="Arial"/>
        </w:rPr>
        <w:t>es</w:t>
      </w:r>
      <w:r w:rsidRPr="00EB1AAB">
        <w:rPr>
          <w:rFonts w:ascii="Arial" w:eastAsia="Arial" w:hAnsi="Arial" w:cs="Arial"/>
          <w:spacing w:val="12"/>
        </w:rPr>
        <w:t xml:space="preserve"> </w:t>
      </w:r>
      <w:r w:rsidRPr="00EB1AAB">
        <w:rPr>
          <w:rFonts w:ascii="Arial" w:eastAsia="Arial" w:hAnsi="Arial" w:cs="Arial"/>
          <w:w w:val="101"/>
        </w:rPr>
        <w:t>Sta</w:t>
      </w:r>
      <w:r w:rsidRPr="00EB1AAB">
        <w:rPr>
          <w:rFonts w:ascii="Arial" w:eastAsia="Arial" w:hAnsi="Arial" w:cs="Arial"/>
          <w:spacing w:val="-1"/>
          <w:w w:val="101"/>
        </w:rPr>
        <w:t>t</w:t>
      </w:r>
      <w:r w:rsidRPr="00EB1AAB">
        <w:rPr>
          <w:rFonts w:ascii="Arial" w:eastAsia="Arial" w:hAnsi="Arial" w:cs="Arial"/>
          <w:spacing w:val="-3"/>
          <w:w w:val="101"/>
        </w:rPr>
        <w:t>e</w:t>
      </w:r>
      <w:r w:rsidRPr="00EB1AAB">
        <w:rPr>
          <w:rFonts w:ascii="Arial" w:eastAsia="Arial" w:hAnsi="Arial" w:cs="Arial"/>
          <w:spacing w:val="2"/>
          <w:w w:val="101"/>
        </w:rPr>
        <w:t>me</w:t>
      </w:r>
      <w:r w:rsidRPr="00EB1AAB">
        <w:rPr>
          <w:rFonts w:ascii="Arial" w:eastAsia="Arial" w:hAnsi="Arial" w:cs="Arial"/>
          <w:spacing w:val="-3"/>
          <w:w w:val="101"/>
        </w:rPr>
        <w:t>n</w:t>
      </w:r>
      <w:r w:rsidRPr="00EB1AAB">
        <w:rPr>
          <w:rFonts w:ascii="Arial" w:eastAsia="Arial" w:hAnsi="Arial" w:cs="Arial"/>
          <w:w w:val="101"/>
        </w:rPr>
        <w:t xml:space="preserve">t </w:t>
      </w:r>
      <w:r w:rsidRPr="00EB1AAB">
        <w:rPr>
          <w:rFonts w:ascii="Arial" w:eastAsia="Arial" w:hAnsi="Arial" w:cs="Arial"/>
        </w:rPr>
        <w:t>and</w:t>
      </w:r>
      <w:r w:rsidRPr="00EB1AAB">
        <w:rPr>
          <w:rFonts w:ascii="Arial" w:eastAsia="Arial" w:hAnsi="Arial" w:cs="Arial"/>
          <w:spacing w:val="5"/>
        </w:rPr>
        <w:t xml:space="preserve"> </w:t>
      </w:r>
      <w:r w:rsidRPr="00EB1AAB">
        <w:rPr>
          <w:rFonts w:ascii="Arial" w:eastAsia="Arial" w:hAnsi="Arial" w:cs="Arial"/>
          <w:spacing w:val="1"/>
        </w:rPr>
        <w:t>c</w:t>
      </w:r>
      <w:r w:rsidRPr="00EB1AAB">
        <w:rPr>
          <w:rFonts w:ascii="Arial" w:eastAsia="Arial" w:hAnsi="Arial" w:cs="Arial"/>
        </w:rPr>
        <w:t>ha</w:t>
      </w:r>
      <w:r w:rsidRPr="00EB1AAB">
        <w:rPr>
          <w:rFonts w:ascii="Arial" w:eastAsia="Arial" w:hAnsi="Arial" w:cs="Arial"/>
          <w:spacing w:val="1"/>
        </w:rPr>
        <w:t>r</w:t>
      </w:r>
      <w:r w:rsidRPr="00EB1AAB">
        <w:rPr>
          <w:rFonts w:ascii="Arial" w:eastAsia="Arial" w:hAnsi="Arial" w:cs="Arial"/>
          <w:spacing w:val="-2"/>
        </w:rPr>
        <w:t>g</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7"/>
        </w:rPr>
        <w:t xml:space="preserve"> </w:t>
      </w:r>
      <w:r w:rsidRPr="00EB1AAB">
        <w:rPr>
          <w:rFonts w:ascii="Arial" w:eastAsia="Arial" w:hAnsi="Arial" w:cs="Arial"/>
          <w:spacing w:val="2"/>
        </w:rPr>
        <w:t>t</w:t>
      </w:r>
      <w:r w:rsidRPr="00EB1AAB">
        <w:rPr>
          <w:rFonts w:ascii="Arial" w:eastAsia="Arial" w:hAnsi="Arial" w:cs="Arial"/>
        </w:rPr>
        <w:t>o</w:t>
      </w:r>
      <w:r w:rsidRPr="00EB1AAB">
        <w:rPr>
          <w:rFonts w:ascii="Arial" w:eastAsia="Arial" w:hAnsi="Arial" w:cs="Arial"/>
          <w:spacing w:val="3"/>
        </w:rPr>
        <w:t xml:space="preserve"> the </w:t>
      </w:r>
      <w:r w:rsidRPr="00EB1AAB">
        <w:rPr>
          <w:rFonts w:ascii="Arial" w:eastAsia="Arial" w:hAnsi="Arial" w:cs="Arial"/>
          <w:spacing w:val="2"/>
        </w:rPr>
        <w:t>C</w:t>
      </w:r>
      <w:r w:rsidRPr="00EB1AAB">
        <w:rPr>
          <w:rFonts w:ascii="Arial" w:eastAsia="Arial" w:hAnsi="Arial" w:cs="Arial"/>
        </w:rPr>
        <w:t>a</w:t>
      </w:r>
      <w:r w:rsidRPr="00EB1AAB">
        <w:rPr>
          <w:rFonts w:ascii="Arial" w:eastAsia="Arial" w:hAnsi="Arial" w:cs="Arial"/>
          <w:spacing w:val="-1"/>
        </w:rPr>
        <w:t>p</w:t>
      </w:r>
      <w:r w:rsidRPr="00EB1AAB">
        <w:rPr>
          <w:rFonts w:ascii="Arial" w:eastAsia="Arial" w:hAnsi="Arial" w:cs="Arial"/>
          <w:spacing w:val="1"/>
        </w:rPr>
        <w:t>i</w:t>
      </w:r>
      <w:r w:rsidRPr="00EB1AAB">
        <w:rPr>
          <w:rFonts w:ascii="Arial" w:eastAsia="Arial" w:hAnsi="Arial" w:cs="Arial"/>
        </w:rPr>
        <w:t>tal</w:t>
      </w:r>
      <w:r w:rsidRPr="00EB1AAB">
        <w:rPr>
          <w:rFonts w:ascii="Arial" w:eastAsia="Arial" w:hAnsi="Arial" w:cs="Arial"/>
          <w:spacing w:val="9"/>
        </w:rPr>
        <w:t xml:space="preserve"> </w:t>
      </w:r>
      <w:r w:rsidRPr="00EB1AAB">
        <w:rPr>
          <w:rFonts w:ascii="Arial" w:eastAsia="Arial" w:hAnsi="Arial" w:cs="Arial"/>
          <w:spacing w:val="3"/>
        </w:rPr>
        <w:t>A</w:t>
      </w:r>
      <w:r w:rsidRPr="00EB1AAB">
        <w:rPr>
          <w:rFonts w:ascii="Arial" w:eastAsia="Arial" w:hAnsi="Arial" w:cs="Arial"/>
          <w:spacing w:val="-2"/>
        </w:rPr>
        <w:t>d</w:t>
      </w:r>
      <w:r w:rsidRPr="00EB1AAB">
        <w:rPr>
          <w:rFonts w:ascii="Arial" w:eastAsia="Arial" w:hAnsi="Arial" w:cs="Arial"/>
          <w:spacing w:val="3"/>
        </w:rPr>
        <w:t>j</w:t>
      </w:r>
      <w:r w:rsidRPr="00EB1AAB">
        <w:rPr>
          <w:rFonts w:ascii="Arial" w:eastAsia="Arial" w:hAnsi="Arial" w:cs="Arial"/>
          <w:spacing w:val="-3"/>
        </w:rPr>
        <w:t>u</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2"/>
        </w:rPr>
        <w:t>m</w:t>
      </w:r>
      <w:r w:rsidRPr="00EB1AAB">
        <w:rPr>
          <w:rFonts w:ascii="Arial" w:eastAsia="Arial" w:hAnsi="Arial" w:cs="Arial"/>
          <w:spacing w:val="-3"/>
        </w:rPr>
        <w:t>e</w:t>
      </w:r>
      <w:r w:rsidRPr="00EB1AAB">
        <w:rPr>
          <w:rFonts w:ascii="Arial" w:eastAsia="Arial" w:hAnsi="Arial" w:cs="Arial"/>
        </w:rPr>
        <w:t>nt</w:t>
      </w:r>
      <w:r w:rsidRPr="00EB1AAB">
        <w:rPr>
          <w:rFonts w:ascii="Arial" w:eastAsia="Arial" w:hAnsi="Arial" w:cs="Arial"/>
          <w:spacing w:val="12"/>
        </w:rPr>
        <w:t xml:space="preserve"> </w:t>
      </w:r>
      <w:r w:rsidRPr="00EB1AAB">
        <w:rPr>
          <w:rFonts w:ascii="Arial" w:eastAsia="Arial" w:hAnsi="Arial" w:cs="Arial"/>
          <w:spacing w:val="3"/>
          <w:w w:val="101"/>
        </w:rPr>
        <w:t>A</w:t>
      </w:r>
      <w:r w:rsidRPr="00EB1AAB">
        <w:rPr>
          <w:rFonts w:ascii="Arial" w:eastAsia="Arial" w:hAnsi="Arial" w:cs="Arial"/>
          <w:spacing w:val="-1"/>
          <w:w w:val="101"/>
        </w:rPr>
        <w:t>c</w:t>
      </w:r>
      <w:r w:rsidRPr="00EB1AAB">
        <w:rPr>
          <w:rFonts w:ascii="Arial" w:eastAsia="Arial" w:hAnsi="Arial" w:cs="Arial"/>
          <w:spacing w:val="1"/>
          <w:w w:val="101"/>
        </w:rPr>
        <w:t>c</w:t>
      </w:r>
      <w:r w:rsidRPr="00EB1AAB">
        <w:rPr>
          <w:rFonts w:ascii="Arial" w:eastAsia="Arial" w:hAnsi="Arial" w:cs="Arial"/>
          <w:spacing w:val="-3"/>
          <w:w w:val="101"/>
        </w:rPr>
        <w:t>o</w:t>
      </w:r>
      <w:r w:rsidRPr="00EB1AAB">
        <w:rPr>
          <w:rFonts w:ascii="Arial" w:eastAsia="Arial" w:hAnsi="Arial" w:cs="Arial"/>
          <w:w w:val="101"/>
        </w:rPr>
        <w:t>u</w:t>
      </w:r>
      <w:r w:rsidRPr="00EB1AAB">
        <w:rPr>
          <w:rFonts w:ascii="Arial" w:eastAsia="Arial" w:hAnsi="Arial" w:cs="Arial"/>
          <w:spacing w:val="-1"/>
          <w:w w:val="101"/>
        </w:rPr>
        <w:t>n</w:t>
      </w:r>
      <w:r w:rsidRPr="00EB1AAB">
        <w:rPr>
          <w:rFonts w:ascii="Arial" w:eastAsia="Arial" w:hAnsi="Arial" w:cs="Arial"/>
          <w:w w:val="101"/>
        </w:rPr>
        <w:t>t</w:t>
      </w:r>
      <w:r w:rsidRPr="00EB1AAB">
        <w:rPr>
          <w:rFonts w:ascii="Arial" w:eastAsia="Arial" w:hAnsi="Arial" w:cs="Arial"/>
        </w:rPr>
        <w:t>, which is an</w:t>
      </w:r>
      <w:r w:rsidRPr="00EB1AAB">
        <w:rPr>
          <w:rFonts w:ascii="Arial" w:eastAsia="Arial" w:hAnsi="Arial" w:cs="Arial"/>
          <w:spacing w:val="6"/>
        </w:rPr>
        <w:t xml:space="preserve"> </w:t>
      </w:r>
      <w:r w:rsidRPr="00EB1AAB">
        <w:rPr>
          <w:rFonts w:ascii="Arial" w:eastAsia="Arial" w:hAnsi="Arial" w:cs="Arial"/>
          <w:spacing w:val="-3"/>
        </w:rPr>
        <w:t>u</w:t>
      </w:r>
      <w:r w:rsidRPr="00EB1AAB">
        <w:rPr>
          <w:rFonts w:ascii="Arial" w:eastAsia="Arial" w:hAnsi="Arial" w:cs="Arial"/>
          <w:spacing w:val="2"/>
        </w:rPr>
        <w:t>n</w:t>
      </w:r>
      <w:r w:rsidRPr="00EB1AAB">
        <w:rPr>
          <w:rFonts w:ascii="Arial" w:eastAsia="Arial" w:hAnsi="Arial" w:cs="Arial"/>
        </w:rPr>
        <w:t>usa</w:t>
      </w:r>
      <w:r w:rsidRPr="00EB1AAB">
        <w:rPr>
          <w:rFonts w:ascii="Arial" w:eastAsia="Arial" w:hAnsi="Arial" w:cs="Arial"/>
          <w:spacing w:val="-3"/>
        </w:rPr>
        <w:t>b</w:t>
      </w:r>
      <w:r w:rsidRPr="00EB1AAB">
        <w:rPr>
          <w:rFonts w:ascii="Arial" w:eastAsia="Arial" w:hAnsi="Arial" w:cs="Arial"/>
          <w:spacing w:val="1"/>
        </w:rPr>
        <w:t>l</w:t>
      </w:r>
      <w:r w:rsidRPr="00EB1AAB">
        <w:rPr>
          <w:rFonts w:ascii="Arial" w:eastAsia="Arial" w:hAnsi="Arial" w:cs="Arial"/>
        </w:rPr>
        <w:t>e</w:t>
      </w:r>
      <w:r w:rsidRPr="00EB1AAB">
        <w:rPr>
          <w:rFonts w:ascii="Arial" w:eastAsia="Arial" w:hAnsi="Arial" w:cs="Arial"/>
          <w:spacing w:val="10"/>
        </w:rPr>
        <w:t xml:space="preserve"> </w:t>
      </w:r>
      <w:r w:rsidRPr="00EB1AAB">
        <w:rPr>
          <w:rFonts w:ascii="Arial" w:eastAsia="Arial" w:hAnsi="Arial" w:cs="Arial"/>
          <w:spacing w:val="2"/>
        </w:rPr>
        <w:t>r</w:t>
      </w:r>
      <w:r w:rsidRPr="00EB1AAB">
        <w:rPr>
          <w:rFonts w:ascii="Arial" w:eastAsia="Arial" w:hAnsi="Arial" w:cs="Arial"/>
        </w:rPr>
        <w:t>ese</w:t>
      </w:r>
      <w:r w:rsidRPr="00EB1AAB">
        <w:rPr>
          <w:rFonts w:ascii="Arial" w:eastAsia="Arial" w:hAnsi="Arial" w:cs="Arial"/>
          <w:spacing w:val="-1"/>
        </w:rPr>
        <w:t>r</w:t>
      </w:r>
      <w:r w:rsidRPr="00EB1AAB">
        <w:rPr>
          <w:rFonts w:ascii="Arial" w:eastAsia="Arial" w:hAnsi="Arial" w:cs="Arial"/>
          <w:spacing w:val="1"/>
        </w:rPr>
        <w:t>v</w:t>
      </w:r>
      <w:r w:rsidRPr="00EB1AAB">
        <w:rPr>
          <w:rFonts w:ascii="Arial" w:eastAsia="Arial" w:hAnsi="Arial" w:cs="Arial"/>
        </w:rPr>
        <w:t>e.</w:t>
      </w:r>
      <w:r w:rsidRPr="00EB1AAB">
        <w:rPr>
          <w:rFonts w:ascii="Arial" w:eastAsia="Arial" w:hAnsi="Arial" w:cs="Arial"/>
          <w:spacing w:val="9"/>
        </w:rPr>
        <w:t xml:space="preserve"> </w:t>
      </w:r>
    </w:p>
    <w:p w14:paraId="6809B74C" w14:textId="77777777" w:rsidR="00655E4C" w:rsidRPr="00EB1AAB" w:rsidRDefault="00655E4C" w:rsidP="006F1659">
      <w:pPr>
        <w:spacing w:line="360" w:lineRule="auto"/>
        <w:rPr>
          <w:rFonts w:ascii="Arial" w:eastAsia="Arial" w:hAnsi="Arial" w:cs="Arial"/>
        </w:rPr>
      </w:pPr>
    </w:p>
    <w:p w14:paraId="40DBC847" w14:textId="2700CC65" w:rsidR="00A506A6" w:rsidRDefault="00655E4C" w:rsidP="006F1659">
      <w:pPr>
        <w:spacing w:before="4" w:line="360" w:lineRule="auto"/>
        <w:ind w:right="-88"/>
        <w:rPr>
          <w:rFonts w:ascii="Arial" w:eastAsia="Arial" w:hAnsi="Arial" w:cs="Arial"/>
          <w:w w:val="101"/>
        </w:rPr>
      </w:pPr>
      <w:r w:rsidRPr="00EB1AAB">
        <w:rPr>
          <w:rFonts w:ascii="Arial" w:eastAsia="Arial" w:hAnsi="Arial" w:cs="Arial"/>
        </w:rPr>
        <w:lastRenderedPageBreak/>
        <w:t>An</w:t>
      </w:r>
      <w:r w:rsidRPr="00EB1AAB">
        <w:rPr>
          <w:rFonts w:ascii="Arial" w:eastAsia="Arial" w:hAnsi="Arial" w:cs="Arial"/>
          <w:spacing w:val="4"/>
        </w:rPr>
        <w:t xml:space="preserve"> </w:t>
      </w:r>
      <w:r w:rsidRPr="00EB1AAB">
        <w:rPr>
          <w:rFonts w:ascii="Arial" w:eastAsia="Arial" w:hAnsi="Arial" w:cs="Arial"/>
        </w:rPr>
        <w:t>eq</w:t>
      </w:r>
      <w:r w:rsidRPr="00EB1AAB">
        <w:rPr>
          <w:rFonts w:ascii="Arial" w:eastAsia="Arial" w:hAnsi="Arial" w:cs="Arial"/>
          <w:spacing w:val="-1"/>
        </w:rPr>
        <w:t>u</w:t>
      </w:r>
      <w:r w:rsidRPr="00EB1AAB">
        <w:rPr>
          <w:rFonts w:ascii="Arial" w:eastAsia="Arial" w:hAnsi="Arial" w:cs="Arial"/>
          <w:spacing w:val="1"/>
        </w:rPr>
        <w:t>i</w:t>
      </w:r>
      <w:r w:rsidRPr="00EB1AAB">
        <w:rPr>
          <w:rFonts w:ascii="Arial" w:eastAsia="Arial" w:hAnsi="Arial" w:cs="Arial"/>
          <w:spacing w:val="2"/>
        </w:rPr>
        <w:t>t</w:t>
      </w:r>
      <w:r w:rsidRPr="00EB1AAB">
        <w:rPr>
          <w:rFonts w:ascii="Arial" w:eastAsia="Arial" w:hAnsi="Arial" w:cs="Arial"/>
        </w:rPr>
        <w:t>y</w:t>
      </w:r>
      <w:r w:rsidRPr="00EB1AAB">
        <w:rPr>
          <w:rFonts w:ascii="Arial" w:eastAsia="Arial" w:hAnsi="Arial" w:cs="Arial"/>
          <w:spacing w:val="3"/>
        </w:rPr>
        <w:t xml:space="preserve"> i</w:t>
      </w:r>
      <w:r w:rsidRPr="00EB1AAB">
        <w:rPr>
          <w:rFonts w:ascii="Arial" w:eastAsia="Arial" w:hAnsi="Arial" w:cs="Arial"/>
          <w:spacing w:val="-3"/>
        </w:rPr>
        <w:t>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u</w:t>
      </w:r>
      <w:r w:rsidRPr="00EB1AAB">
        <w:rPr>
          <w:rFonts w:ascii="Arial" w:eastAsia="Arial" w:hAnsi="Arial" w:cs="Arial"/>
          <w:spacing w:val="-1"/>
        </w:rPr>
        <w:t>m</w:t>
      </w:r>
      <w:r w:rsidRPr="00EB1AAB">
        <w:rPr>
          <w:rFonts w:ascii="Arial" w:eastAsia="Arial" w:hAnsi="Arial" w:cs="Arial"/>
          <w:spacing w:val="2"/>
        </w:rPr>
        <w:t>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14"/>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spacing w:val="-3"/>
        </w:rPr>
        <w:t>a</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spacing w:val="-2"/>
        </w:rPr>
        <w:t>h</w:t>
      </w:r>
      <w:r w:rsidRPr="00EB1AAB">
        <w:rPr>
          <w:rFonts w:ascii="Arial" w:eastAsia="Arial" w:hAnsi="Arial" w:cs="Arial"/>
        </w:rPr>
        <w:t>as</w:t>
      </w:r>
      <w:r w:rsidRPr="00EB1AAB">
        <w:rPr>
          <w:rFonts w:ascii="Arial" w:eastAsia="Arial" w:hAnsi="Arial" w:cs="Arial"/>
          <w:spacing w:val="9"/>
        </w:rPr>
        <w:t xml:space="preserve"> </w:t>
      </w:r>
      <w:r w:rsidRPr="00EB1AAB">
        <w:rPr>
          <w:rFonts w:ascii="Arial" w:eastAsia="Arial" w:hAnsi="Arial" w:cs="Arial"/>
          <w:spacing w:val="-3"/>
        </w:rPr>
        <w:t>b</w:t>
      </w:r>
      <w:r w:rsidRPr="00EB1AAB">
        <w:rPr>
          <w:rFonts w:ascii="Arial" w:eastAsia="Arial" w:hAnsi="Arial" w:cs="Arial"/>
          <w:spacing w:val="2"/>
        </w:rPr>
        <w:t>e</w:t>
      </w:r>
      <w:r w:rsidRPr="00EB1AAB">
        <w:rPr>
          <w:rFonts w:ascii="Arial" w:eastAsia="Arial" w:hAnsi="Arial" w:cs="Arial"/>
        </w:rPr>
        <w:t>en</w:t>
      </w:r>
      <w:r w:rsidRPr="00EB1AAB">
        <w:rPr>
          <w:rFonts w:ascii="Arial" w:eastAsia="Arial" w:hAnsi="Arial" w:cs="Arial"/>
          <w:spacing w:val="6"/>
        </w:rPr>
        <w:t xml:space="preserve"> </w:t>
      </w:r>
      <w:r w:rsidRPr="00EB1AAB">
        <w:rPr>
          <w:rFonts w:ascii="Arial" w:eastAsia="Arial" w:hAnsi="Arial" w:cs="Arial"/>
          <w:spacing w:val="1"/>
        </w:rPr>
        <w:t>cl</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7"/>
        </w:rPr>
        <w:t xml:space="preserve"> </w:t>
      </w:r>
      <w:r w:rsidRPr="00EB1AAB">
        <w:rPr>
          <w:rFonts w:ascii="Arial" w:eastAsia="Arial" w:hAnsi="Arial" w:cs="Arial"/>
        </w:rPr>
        <w:t>as</w:t>
      </w:r>
      <w:r w:rsidRPr="00EB1AAB">
        <w:rPr>
          <w:rFonts w:ascii="Arial" w:eastAsia="Arial" w:hAnsi="Arial" w:cs="Arial"/>
          <w:spacing w:val="6"/>
        </w:rPr>
        <w:t xml:space="preserve"> </w:t>
      </w:r>
      <w:r w:rsidRPr="00EB1AAB">
        <w:rPr>
          <w:rFonts w:ascii="Arial" w:eastAsia="Arial" w:hAnsi="Arial" w:cs="Arial"/>
          <w:spacing w:val="-1"/>
        </w:rPr>
        <w:t>F</w:t>
      </w:r>
      <w:r w:rsidRPr="00EB1AAB">
        <w:rPr>
          <w:rFonts w:ascii="Arial" w:eastAsia="Arial" w:hAnsi="Arial" w:cs="Arial"/>
        </w:rPr>
        <w:t>V</w:t>
      </w:r>
      <w:r w:rsidRPr="00EB1AAB">
        <w:rPr>
          <w:rFonts w:ascii="Arial" w:eastAsia="Arial" w:hAnsi="Arial" w:cs="Arial"/>
          <w:spacing w:val="3"/>
        </w:rPr>
        <w:t>P</w:t>
      </w:r>
      <w:r w:rsidRPr="00EB1AAB">
        <w:rPr>
          <w:rFonts w:ascii="Arial" w:eastAsia="Arial" w:hAnsi="Arial" w:cs="Arial"/>
        </w:rPr>
        <w:t>L</w:t>
      </w:r>
      <w:r w:rsidRPr="00EB1AAB">
        <w:rPr>
          <w:rFonts w:ascii="Arial" w:eastAsia="Arial" w:hAnsi="Arial" w:cs="Arial"/>
          <w:spacing w:val="5"/>
        </w:rPr>
        <w:t xml:space="preserve"> </w:t>
      </w:r>
      <w:r w:rsidRPr="00EB1AAB">
        <w:rPr>
          <w:rFonts w:ascii="Arial" w:eastAsia="Arial" w:hAnsi="Arial" w:cs="Arial"/>
          <w:spacing w:val="1"/>
        </w:rPr>
        <w:t>c</w:t>
      </w:r>
      <w:r w:rsidRPr="00EB1AAB">
        <w:rPr>
          <w:rFonts w:ascii="Arial" w:eastAsia="Arial" w:hAnsi="Arial" w:cs="Arial"/>
        </w:rPr>
        <w:t>an</w:t>
      </w:r>
      <w:r w:rsidRPr="00EB1AAB">
        <w:rPr>
          <w:rFonts w:ascii="Arial" w:eastAsia="Arial" w:hAnsi="Arial" w:cs="Arial"/>
          <w:spacing w:val="2"/>
        </w:rPr>
        <w:t xml:space="preserve"> b</w:t>
      </w:r>
      <w:r w:rsidRPr="00EB1AAB">
        <w:rPr>
          <w:rFonts w:ascii="Arial" w:eastAsia="Arial" w:hAnsi="Arial" w:cs="Arial"/>
        </w:rPr>
        <w:t>e</w:t>
      </w:r>
      <w:r w:rsidRPr="00EB1AAB">
        <w:rPr>
          <w:rFonts w:ascii="Arial" w:eastAsia="Arial" w:hAnsi="Arial" w:cs="Arial"/>
          <w:spacing w:val="4"/>
        </w:rPr>
        <w:t xml:space="preserve"> d</w:t>
      </w:r>
      <w:r w:rsidRPr="00EB1AAB">
        <w:rPr>
          <w:rFonts w:ascii="Arial" w:eastAsia="Arial" w:hAnsi="Arial" w:cs="Arial"/>
        </w:rPr>
        <w:t>e</w:t>
      </w:r>
      <w:r w:rsidRPr="00EB1AAB">
        <w:rPr>
          <w:rFonts w:ascii="Arial" w:eastAsia="Arial" w:hAnsi="Arial" w:cs="Arial"/>
          <w:spacing w:val="-2"/>
        </w:rPr>
        <w:t>s</w:t>
      </w:r>
      <w:r w:rsidRPr="00EB1AAB">
        <w:rPr>
          <w:rFonts w:ascii="Arial" w:eastAsia="Arial" w:hAnsi="Arial" w:cs="Arial"/>
          <w:spacing w:val="3"/>
        </w:rPr>
        <w:t>i</w:t>
      </w:r>
      <w:r w:rsidRPr="00EB1AAB">
        <w:rPr>
          <w:rFonts w:ascii="Arial" w:eastAsia="Arial" w:hAnsi="Arial" w:cs="Arial"/>
          <w:spacing w:val="-3"/>
        </w:rPr>
        <w:t>g</w:t>
      </w:r>
      <w:r w:rsidRPr="00EB1AAB">
        <w:rPr>
          <w:rFonts w:ascii="Arial" w:eastAsia="Arial" w:hAnsi="Arial" w:cs="Arial"/>
          <w:spacing w:val="2"/>
        </w:rPr>
        <w:t>n</w:t>
      </w:r>
      <w:r w:rsidRPr="00EB1AAB">
        <w:rPr>
          <w:rFonts w:ascii="Arial" w:eastAsia="Arial" w:hAnsi="Arial" w:cs="Arial"/>
          <w:spacing w:val="-3"/>
        </w:rPr>
        <w:t>a</w:t>
      </w:r>
      <w:r w:rsidRPr="00EB1AAB">
        <w:rPr>
          <w:rFonts w:ascii="Arial" w:eastAsia="Arial" w:hAnsi="Arial" w:cs="Arial"/>
          <w:spacing w:val="2"/>
        </w:rPr>
        <w:t>t</w:t>
      </w:r>
      <w:r w:rsidRPr="00EB1AAB">
        <w:rPr>
          <w:rFonts w:ascii="Arial" w:eastAsia="Arial" w:hAnsi="Arial" w:cs="Arial"/>
        </w:rPr>
        <w:t>ed</w:t>
      </w:r>
      <w:r w:rsidRPr="00EB1AAB">
        <w:rPr>
          <w:rFonts w:ascii="Arial" w:eastAsia="Arial" w:hAnsi="Arial" w:cs="Arial"/>
          <w:spacing w:val="14"/>
        </w:rPr>
        <w:t xml:space="preserve"> </w:t>
      </w:r>
      <w:r w:rsidRPr="00EB1AAB">
        <w:rPr>
          <w:rFonts w:ascii="Arial" w:eastAsia="Arial" w:hAnsi="Arial" w:cs="Arial"/>
          <w:spacing w:val="-3"/>
        </w:rPr>
        <w:t>a</w:t>
      </w:r>
      <w:r w:rsidRPr="00EB1AAB">
        <w:rPr>
          <w:rFonts w:ascii="Arial" w:eastAsia="Arial" w:hAnsi="Arial" w:cs="Arial"/>
        </w:rPr>
        <w:t>s</w:t>
      </w:r>
      <w:r w:rsidRPr="00EB1AAB">
        <w:rPr>
          <w:rFonts w:ascii="Arial" w:eastAsia="Arial" w:hAnsi="Arial" w:cs="Arial"/>
          <w:spacing w:val="4"/>
        </w:rPr>
        <w:t xml:space="preserve"> </w:t>
      </w:r>
      <w:r w:rsidRPr="00EB1AAB">
        <w:rPr>
          <w:rFonts w:ascii="Arial" w:eastAsia="Arial" w:hAnsi="Arial" w:cs="Arial"/>
          <w:spacing w:val="1"/>
        </w:rPr>
        <w:t>FV</w:t>
      </w:r>
      <w:r w:rsidRPr="00EB1AAB">
        <w:rPr>
          <w:rFonts w:ascii="Arial" w:eastAsia="Arial" w:hAnsi="Arial" w:cs="Arial"/>
          <w:spacing w:val="-2"/>
        </w:rPr>
        <w:t>O</w:t>
      </w:r>
      <w:r w:rsidRPr="00EB1AAB">
        <w:rPr>
          <w:rFonts w:ascii="Arial" w:eastAsia="Arial" w:hAnsi="Arial" w:cs="Arial"/>
          <w:spacing w:val="-1"/>
        </w:rPr>
        <w:t>C</w:t>
      </w:r>
      <w:r w:rsidRPr="00EB1AAB">
        <w:rPr>
          <w:rFonts w:ascii="Arial" w:eastAsia="Arial" w:hAnsi="Arial" w:cs="Arial"/>
        </w:rPr>
        <w:t>I</w:t>
      </w:r>
      <w:r w:rsidRPr="00EB1AAB">
        <w:rPr>
          <w:rFonts w:ascii="Arial" w:eastAsia="Arial" w:hAnsi="Arial" w:cs="Arial"/>
          <w:spacing w:val="8"/>
        </w:rPr>
        <w:t xml:space="preserve"> </w:t>
      </w:r>
      <w:r w:rsidRPr="00EB1AAB">
        <w:rPr>
          <w:rFonts w:ascii="Arial" w:eastAsia="Arial" w:hAnsi="Arial" w:cs="Arial"/>
          <w:spacing w:val="4"/>
        </w:rPr>
        <w:t>i</w:t>
      </w:r>
      <w:r w:rsidRPr="00EB1AAB">
        <w:rPr>
          <w:rFonts w:ascii="Arial" w:eastAsia="Arial" w:hAnsi="Arial" w:cs="Arial"/>
        </w:rPr>
        <w:t>f</w:t>
      </w:r>
      <w:r w:rsidRPr="00EB1AAB">
        <w:rPr>
          <w:rFonts w:ascii="Arial" w:eastAsia="Arial" w:hAnsi="Arial" w:cs="Arial"/>
          <w:spacing w:val="2"/>
        </w:rPr>
        <w:t xml:space="preserve"> </w:t>
      </w:r>
      <w:r w:rsidRPr="00EB1AAB">
        <w:rPr>
          <w:rFonts w:ascii="Arial" w:eastAsia="Arial" w:hAnsi="Arial" w:cs="Arial"/>
          <w:spacing w:val="3"/>
        </w:rPr>
        <w:t>i</w:t>
      </w:r>
      <w:r w:rsidRPr="00EB1AAB">
        <w:rPr>
          <w:rFonts w:ascii="Arial" w:eastAsia="Arial" w:hAnsi="Arial" w:cs="Arial"/>
        </w:rPr>
        <w:t xml:space="preserve">t </w:t>
      </w:r>
      <w:r w:rsidRPr="00EB1AAB">
        <w:rPr>
          <w:rFonts w:ascii="Arial" w:eastAsia="Arial" w:hAnsi="Arial" w:cs="Arial"/>
          <w:spacing w:val="4"/>
          <w:w w:val="101"/>
        </w:rPr>
        <w:t>i</w:t>
      </w:r>
      <w:r w:rsidRPr="00EB1AAB">
        <w:rPr>
          <w:rFonts w:ascii="Arial" w:eastAsia="Arial" w:hAnsi="Arial" w:cs="Arial"/>
          <w:w w:val="101"/>
        </w:rPr>
        <w:t xml:space="preserve">s </w:t>
      </w:r>
      <w:r w:rsidRPr="00EB1AAB">
        <w:rPr>
          <w:rFonts w:ascii="Arial" w:eastAsia="Arial" w:hAnsi="Arial" w:cs="Arial"/>
        </w:rPr>
        <w:t>n</w:t>
      </w:r>
      <w:r w:rsidRPr="00EB1AAB">
        <w:rPr>
          <w:rFonts w:ascii="Arial" w:eastAsia="Arial" w:hAnsi="Arial" w:cs="Arial"/>
          <w:spacing w:val="-3"/>
        </w:rPr>
        <w:t>o</w:t>
      </w:r>
      <w:r w:rsidRPr="00EB1AAB">
        <w:rPr>
          <w:rFonts w:ascii="Arial" w:eastAsia="Arial" w:hAnsi="Arial" w:cs="Arial"/>
        </w:rPr>
        <w:t>t</w:t>
      </w:r>
      <w:r w:rsidRPr="00EB1AAB">
        <w:rPr>
          <w:rFonts w:ascii="Arial" w:eastAsia="Arial" w:hAnsi="Arial" w:cs="Arial"/>
          <w:spacing w:val="6"/>
        </w:rPr>
        <w:t xml:space="preserve"> </w:t>
      </w:r>
      <w:r w:rsidRPr="00EB1AAB">
        <w:rPr>
          <w:rFonts w:ascii="Arial" w:eastAsia="Arial" w:hAnsi="Arial" w:cs="Arial"/>
        </w:rPr>
        <w:t>he</w:t>
      </w:r>
      <w:r w:rsidRPr="00EB1AAB">
        <w:rPr>
          <w:rFonts w:ascii="Arial" w:eastAsia="Arial" w:hAnsi="Arial" w:cs="Arial"/>
          <w:spacing w:val="1"/>
        </w:rPr>
        <w:t>l</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spacing w:val="2"/>
        </w:rPr>
        <w:t>f</w:t>
      </w:r>
      <w:r w:rsidRPr="00EB1AAB">
        <w:rPr>
          <w:rFonts w:ascii="Arial" w:eastAsia="Arial" w:hAnsi="Arial" w:cs="Arial"/>
        </w:rPr>
        <w:t>or</w:t>
      </w:r>
      <w:r w:rsidRPr="00EB1AAB">
        <w:rPr>
          <w:rFonts w:ascii="Arial" w:eastAsia="Arial" w:hAnsi="Arial" w:cs="Arial"/>
          <w:spacing w:val="3"/>
        </w:rPr>
        <w:t xml:space="preserve"> </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a</w:t>
      </w:r>
      <w:r w:rsidRPr="00EB1AAB">
        <w:rPr>
          <w:rFonts w:ascii="Arial" w:eastAsia="Arial" w:hAnsi="Arial" w:cs="Arial"/>
          <w:spacing w:val="-3"/>
        </w:rPr>
        <w:t>d</w:t>
      </w:r>
      <w:r w:rsidRPr="00EB1AAB">
        <w:rPr>
          <w:rFonts w:ascii="Arial" w:eastAsia="Arial" w:hAnsi="Arial" w:cs="Arial"/>
          <w:spacing w:val="4"/>
        </w:rPr>
        <w:t>i</w:t>
      </w:r>
      <w:r w:rsidRPr="00EB1AAB">
        <w:rPr>
          <w:rFonts w:ascii="Arial" w:eastAsia="Arial" w:hAnsi="Arial" w:cs="Arial"/>
        </w:rPr>
        <w:t>ng</w:t>
      </w:r>
      <w:r w:rsidRPr="00EB1AAB">
        <w:rPr>
          <w:rFonts w:ascii="Arial" w:eastAsia="Arial" w:hAnsi="Arial" w:cs="Arial"/>
          <w:spacing w:val="7"/>
        </w:rPr>
        <w:t xml:space="preserve"> </w:t>
      </w:r>
      <w:r w:rsidRPr="00EB1AAB">
        <w:rPr>
          <w:rFonts w:ascii="Arial" w:eastAsia="Arial" w:hAnsi="Arial" w:cs="Arial"/>
          <w:spacing w:val="1"/>
        </w:rPr>
        <w:t>(</w:t>
      </w:r>
      <w:r w:rsidRPr="00EB1AAB">
        <w:rPr>
          <w:rFonts w:ascii="Arial" w:eastAsia="Arial" w:hAnsi="Arial" w:cs="Arial"/>
        </w:rPr>
        <w:t>e.</w:t>
      </w:r>
      <w:r w:rsidRPr="00EB1AAB">
        <w:rPr>
          <w:rFonts w:ascii="Arial" w:eastAsia="Arial" w:hAnsi="Arial" w:cs="Arial"/>
          <w:spacing w:val="-3"/>
        </w:rPr>
        <w:t>g</w:t>
      </w:r>
      <w:r w:rsidRPr="00EB1AAB">
        <w:rPr>
          <w:rFonts w:ascii="Arial" w:eastAsia="Arial" w:hAnsi="Arial" w:cs="Arial"/>
        </w:rPr>
        <w:t>.</w:t>
      </w:r>
      <w:r w:rsidRPr="00EB1AAB">
        <w:rPr>
          <w:rFonts w:ascii="Arial" w:eastAsia="Arial" w:hAnsi="Arial" w:cs="Arial"/>
          <w:spacing w:val="9"/>
        </w:rPr>
        <w:t xml:space="preserve"> </w:t>
      </w:r>
      <w:r w:rsidRPr="00EB1AAB">
        <w:rPr>
          <w:rFonts w:ascii="Arial" w:eastAsia="Arial" w:hAnsi="Arial" w:cs="Arial"/>
        </w:rPr>
        <w:t>a</w:t>
      </w:r>
      <w:r w:rsidRPr="00EB1AAB">
        <w:rPr>
          <w:rFonts w:ascii="Arial" w:eastAsia="Arial" w:hAnsi="Arial" w:cs="Arial"/>
          <w:spacing w:val="2"/>
        </w:rPr>
        <w:t xml:space="preserve"> </w:t>
      </w:r>
      <w:r w:rsidRPr="00EB1AAB">
        <w:rPr>
          <w:rFonts w:ascii="Arial" w:eastAsia="Arial" w:hAnsi="Arial" w:cs="Arial"/>
          <w:spacing w:val="-1"/>
        </w:rPr>
        <w:t>s</w:t>
      </w:r>
      <w:r w:rsidRPr="00EB1AAB">
        <w:rPr>
          <w:rFonts w:ascii="Arial" w:eastAsia="Arial" w:hAnsi="Arial" w:cs="Arial"/>
          <w:spacing w:val="2"/>
        </w:rPr>
        <w:t>t</w:t>
      </w:r>
      <w:r w:rsidRPr="00EB1AAB">
        <w:rPr>
          <w:rFonts w:ascii="Arial" w:eastAsia="Arial" w:hAnsi="Arial" w:cs="Arial"/>
          <w:spacing w:val="-1"/>
        </w:rPr>
        <w:t>r</w:t>
      </w:r>
      <w:r w:rsidRPr="00EB1AAB">
        <w:rPr>
          <w:rFonts w:ascii="Arial" w:eastAsia="Arial" w:hAnsi="Arial" w:cs="Arial"/>
          <w:spacing w:val="-3"/>
        </w:rPr>
        <w:t>a</w:t>
      </w:r>
      <w:r w:rsidRPr="00EB1AAB">
        <w:rPr>
          <w:rFonts w:ascii="Arial" w:eastAsia="Arial" w:hAnsi="Arial" w:cs="Arial"/>
          <w:spacing w:val="5"/>
        </w:rPr>
        <w:t>t</w:t>
      </w:r>
      <w:r w:rsidRPr="00EB1AAB">
        <w:rPr>
          <w:rFonts w:ascii="Arial" w:eastAsia="Arial" w:hAnsi="Arial" w:cs="Arial"/>
          <w:spacing w:val="-3"/>
        </w:rPr>
        <w:t>e</w:t>
      </w:r>
      <w:r w:rsidRPr="00EB1AAB">
        <w:rPr>
          <w:rFonts w:ascii="Arial" w:eastAsia="Arial" w:hAnsi="Arial" w:cs="Arial"/>
        </w:rPr>
        <w:t>g</w:t>
      </w:r>
      <w:r w:rsidRPr="00EB1AAB">
        <w:rPr>
          <w:rFonts w:ascii="Arial" w:eastAsia="Arial" w:hAnsi="Arial" w:cs="Arial"/>
          <w:spacing w:val="1"/>
        </w:rPr>
        <w:t>i</w:t>
      </w:r>
      <w:r w:rsidRPr="00EB1AAB">
        <w:rPr>
          <w:rFonts w:ascii="Arial" w:eastAsia="Arial" w:hAnsi="Arial" w:cs="Arial"/>
        </w:rPr>
        <w:t>c</w:t>
      </w:r>
      <w:r w:rsidRPr="00EB1AAB">
        <w:rPr>
          <w:rFonts w:ascii="Arial" w:eastAsia="Arial" w:hAnsi="Arial" w:cs="Arial"/>
          <w:spacing w:val="11"/>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v</w:t>
      </w:r>
      <w:r w:rsidRPr="00EB1AAB">
        <w:rPr>
          <w:rFonts w:ascii="Arial" w:eastAsia="Arial" w:hAnsi="Arial" w:cs="Arial"/>
          <w:spacing w:val="-2"/>
        </w:rPr>
        <w:t>e</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2"/>
        </w:rPr>
        <w:t>m</w:t>
      </w:r>
      <w:r w:rsidRPr="00EB1AAB">
        <w:rPr>
          <w:rFonts w:ascii="Arial" w:eastAsia="Arial" w:hAnsi="Arial" w:cs="Arial"/>
        </w:rPr>
        <w:t>ent</w:t>
      </w:r>
      <w:r w:rsidRPr="00EB1AAB">
        <w:rPr>
          <w:rFonts w:ascii="Arial" w:eastAsia="Arial" w:hAnsi="Arial" w:cs="Arial"/>
          <w:spacing w:val="-1"/>
        </w:rPr>
        <w:t>)</w:t>
      </w:r>
      <w:r w:rsidRPr="00EB1AAB">
        <w:rPr>
          <w:rFonts w:ascii="Arial" w:eastAsia="Arial" w:hAnsi="Arial" w:cs="Arial"/>
        </w:rPr>
        <w:t>.</w:t>
      </w:r>
      <w:r w:rsidRPr="00EB1AAB">
        <w:rPr>
          <w:rFonts w:ascii="Arial" w:eastAsia="Arial" w:hAnsi="Arial" w:cs="Arial"/>
          <w:spacing w:val="15"/>
        </w:rPr>
        <w:t xml:space="preserve"> </w:t>
      </w:r>
      <w:r w:rsidRPr="00EB1AAB">
        <w:rPr>
          <w:rFonts w:ascii="Arial" w:eastAsia="Arial" w:hAnsi="Arial" w:cs="Arial"/>
          <w:spacing w:val="1"/>
        </w:rPr>
        <w:t>O</w:t>
      </w:r>
      <w:r w:rsidRPr="00EB1AAB">
        <w:rPr>
          <w:rFonts w:ascii="Arial" w:eastAsia="Arial" w:hAnsi="Arial" w:cs="Arial"/>
          <w:spacing w:val="-3"/>
        </w:rPr>
        <w:t>n</w:t>
      </w:r>
      <w:r w:rsidRPr="00EB1AAB">
        <w:rPr>
          <w:rFonts w:ascii="Arial" w:eastAsia="Arial" w:hAnsi="Arial" w:cs="Arial"/>
          <w:spacing w:val="1"/>
        </w:rPr>
        <w:t>c</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spacing w:val="2"/>
        </w:rPr>
        <w:t>t</w:t>
      </w:r>
      <w:r w:rsidRPr="00EB1AAB">
        <w:rPr>
          <w:rFonts w:ascii="Arial" w:eastAsia="Arial" w:hAnsi="Arial" w:cs="Arial"/>
          <w:spacing w:val="-3"/>
        </w:rPr>
        <w:t>h</w:t>
      </w:r>
      <w:r w:rsidRPr="00EB1AAB">
        <w:rPr>
          <w:rFonts w:ascii="Arial" w:eastAsia="Arial" w:hAnsi="Arial" w:cs="Arial"/>
          <w:spacing w:val="3"/>
        </w:rPr>
        <w:t>i</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spacing w:val="-3"/>
        </w:rPr>
        <w:t>d</w:t>
      </w:r>
      <w:r w:rsidRPr="00EB1AAB">
        <w:rPr>
          <w:rFonts w:ascii="Arial" w:eastAsia="Arial" w:hAnsi="Arial" w:cs="Arial"/>
        </w:rPr>
        <w:t>e</w:t>
      </w:r>
      <w:r w:rsidRPr="00EB1AAB">
        <w:rPr>
          <w:rFonts w:ascii="Arial" w:eastAsia="Arial" w:hAnsi="Arial" w:cs="Arial"/>
          <w:spacing w:val="-2"/>
        </w:rPr>
        <w:t>s</w:t>
      </w:r>
      <w:r w:rsidRPr="00EB1AAB">
        <w:rPr>
          <w:rFonts w:ascii="Arial" w:eastAsia="Arial" w:hAnsi="Arial" w:cs="Arial"/>
          <w:spacing w:val="3"/>
        </w:rPr>
        <w:t>i</w:t>
      </w:r>
      <w:r w:rsidRPr="00EB1AAB">
        <w:rPr>
          <w:rFonts w:ascii="Arial" w:eastAsia="Arial" w:hAnsi="Arial" w:cs="Arial"/>
          <w:spacing w:val="-2"/>
        </w:rPr>
        <w:t>g</w:t>
      </w:r>
      <w:r w:rsidRPr="00EB1AAB">
        <w:rPr>
          <w:rFonts w:ascii="Arial" w:eastAsia="Arial" w:hAnsi="Arial" w:cs="Arial"/>
          <w:spacing w:val="2"/>
        </w:rPr>
        <w:t>n</w:t>
      </w:r>
      <w:r w:rsidRPr="00EB1AAB">
        <w:rPr>
          <w:rFonts w:ascii="Arial" w:eastAsia="Arial" w:hAnsi="Arial" w:cs="Arial"/>
          <w:spacing w:val="-3"/>
        </w:rPr>
        <w:t>a</w:t>
      </w:r>
      <w:r w:rsidRPr="00EB1AAB">
        <w:rPr>
          <w:rFonts w:ascii="Arial" w:eastAsia="Arial" w:hAnsi="Arial" w:cs="Arial"/>
          <w:spacing w:val="2"/>
        </w:rPr>
        <w:t>t</w:t>
      </w:r>
      <w:r w:rsidRPr="00EB1AAB">
        <w:rPr>
          <w:rFonts w:ascii="Arial" w:eastAsia="Arial" w:hAnsi="Arial" w:cs="Arial"/>
          <w:spacing w:val="1"/>
        </w:rPr>
        <w:t>i</w:t>
      </w:r>
      <w:r w:rsidRPr="00EB1AAB">
        <w:rPr>
          <w:rFonts w:ascii="Arial" w:eastAsia="Arial" w:hAnsi="Arial" w:cs="Arial"/>
        </w:rPr>
        <w:t>on</w:t>
      </w:r>
      <w:r w:rsidRPr="00EB1AAB">
        <w:rPr>
          <w:rFonts w:ascii="Arial" w:eastAsia="Arial" w:hAnsi="Arial" w:cs="Arial"/>
          <w:spacing w:val="13"/>
        </w:rPr>
        <w:t xml:space="preserve"> </w:t>
      </w:r>
      <w:r w:rsidRPr="00EB1AAB">
        <w:rPr>
          <w:rFonts w:ascii="Arial" w:eastAsia="Arial" w:hAnsi="Arial" w:cs="Arial"/>
        </w:rPr>
        <w:t>h</w:t>
      </w:r>
      <w:r w:rsidRPr="00EB1AAB">
        <w:rPr>
          <w:rFonts w:ascii="Arial" w:eastAsia="Arial" w:hAnsi="Arial" w:cs="Arial"/>
          <w:spacing w:val="-2"/>
        </w:rPr>
        <w:t>a</w:t>
      </w:r>
      <w:r w:rsidRPr="00EB1AAB">
        <w:rPr>
          <w:rFonts w:ascii="Arial" w:eastAsia="Arial" w:hAnsi="Arial" w:cs="Arial"/>
        </w:rPr>
        <w:t>s</w:t>
      </w:r>
      <w:r w:rsidRPr="00EB1AAB">
        <w:rPr>
          <w:rFonts w:ascii="Arial" w:eastAsia="Arial" w:hAnsi="Arial" w:cs="Arial"/>
          <w:spacing w:val="8"/>
        </w:rPr>
        <w:t xml:space="preserve"> </w:t>
      </w:r>
      <w:r w:rsidRPr="00EB1AAB">
        <w:rPr>
          <w:rFonts w:ascii="Arial" w:eastAsia="Arial" w:hAnsi="Arial" w:cs="Arial"/>
        </w:rPr>
        <w:t>be</w:t>
      </w:r>
      <w:r w:rsidRPr="00EB1AAB">
        <w:rPr>
          <w:rFonts w:ascii="Arial" w:eastAsia="Arial" w:hAnsi="Arial" w:cs="Arial"/>
          <w:spacing w:val="2"/>
        </w:rPr>
        <w:t>e</w:t>
      </w:r>
      <w:r w:rsidRPr="00EB1AAB">
        <w:rPr>
          <w:rFonts w:ascii="Arial" w:eastAsia="Arial" w:hAnsi="Arial" w:cs="Arial"/>
        </w:rPr>
        <w:t>n</w:t>
      </w:r>
      <w:r w:rsidRPr="00EB1AAB">
        <w:rPr>
          <w:rFonts w:ascii="Arial" w:eastAsia="Arial" w:hAnsi="Arial" w:cs="Arial"/>
          <w:spacing w:val="6"/>
        </w:rPr>
        <w:t xml:space="preserve"> </w:t>
      </w:r>
      <w:r w:rsidRPr="00EB1AAB">
        <w:rPr>
          <w:rFonts w:ascii="Arial" w:eastAsia="Arial" w:hAnsi="Arial" w:cs="Arial"/>
          <w:w w:val="101"/>
        </w:rPr>
        <w:t>ma</w:t>
      </w:r>
      <w:r w:rsidRPr="00EB1AAB">
        <w:rPr>
          <w:rFonts w:ascii="Arial" w:eastAsia="Arial" w:hAnsi="Arial" w:cs="Arial"/>
          <w:spacing w:val="-3"/>
          <w:w w:val="101"/>
        </w:rPr>
        <w:t>d</w:t>
      </w:r>
      <w:r w:rsidRPr="00EB1AAB">
        <w:rPr>
          <w:rFonts w:ascii="Arial" w:eastAsia="Arial" w:hAnsi="Arial" w:cs="Arial"/>
          <w:w w:val="101"/>
        </w:rPr>
        <w:t>e</w:t>
      </w:r>
      <w:r w:rsidRPr="00EB1AAB">
        <w:rPr>
          <w:rFonts w:ascii="Arial" w:eastAsia="Arial" w:hAnsi="Arial" w:cs="Arial"/>
        </w:rPr>
        <w:t xml:space="preserve"> </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5"/>
        </w:rPr>
        <w:t xml:space="preserve"> </w:t>
      </w:r>
      <w:r w:rsidRPr="00EB1AAB">
        <w:rPr>
          <w:rFonts w:ascii="Arial" w:eastAsia="Arial" w:hAnsi="Arial" w:cs="Arial"/>
          <w:spacing w:val="1"/>
        </w:rPr>
        <w:t>c</w:t>
      </w:r>
      <w:r w:rsidRPr="00EB1AAB">
        <w:rPr>
          <w:rFonts w:ascii="Arial" w:eastAsia="Arial" w:hAnsi="Arial" w:cs="Arial"/>
          <w:spacing w:val="-3"/>
        </w:rPr>
        <w:t>a</w:t>
      </w:r>
      <w:r w:rsidRPr="00EB1AAB">
        <w:rPr>
          <w:rFonts w:ascii="Arial" w:eastAsia="Arial" w:hAnsi="Arial" w:cs="Arial"/>
        </w:rPr>
        <w:t>n</w:t>
      </w:r>
      <w:r w:rsidRPr="00EB1AAB">
        <w:rPr>
          <w:rFonts w:ascii="Arial" w:eastAsia="Arial" w:hAnsi="Arial" w:cs="Arial"/>
          <w:spacing w:val="-3"/>
        </w:rPr>
        <w:t>n</w:t>
      </w:r>
      <w:r w:rsidRPr="00EB1AAB">
        <w:rPr>
          <w:rFonts w:ascii="Arial" w:eastAsia="Arial" w:hAnsi="Arial" w:cs="Arial"/>
        </w:rPr>
        <w:t>ot</w:t>
      </w:r>
      <w:r w:rsidRPr="00EB1AAB">
        <w:rPr>
          <w:rFonts w:ascii="Arial" w:eastAsia="Arial" w:hAnsi="Arial" w:cs="Arial"/>
          <w:spacing w:val="8"/>
        </w:rPr>
        <w:t xml:space="preserve"> </w:t>
      </w:r>
      <w:r w:rsidRPr="00EB1AAB">
        <w:rPr>
          <w:rFonts w:ascii="Arial" w:eastAsia="Arial" w:hAnsi="Arial" w:cs="Arial"/>
          <w:spacing w:val="2"/>
        </w:rPr>
        <w:t>b</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2"/>
        </w:rPr>
        <w:t>r</w:t>
      </w:r>
      <w:r w:rsidRPr="00EB1AAB">
        <w:rPr>
          <w:rFonts w:ascii="Arial" w:eastAsia="Arial" w:hAnsi="Arial" w:cs="Arial"/>
          <w:spacing w:val="-3"/>
        </w:rPr>
        <w:t>e</w:t>
      </w:r>
      <w:r w:rsidRPr="00EB1AAB">
        <w:rPr>
          <w:rFonts w:ascii="Arial" w:eastAsia="Arial" w:hAnsi="Arial" w:cs="Arial"/>
          <w:spacing w:val="1"/>
        </w:rPr>
        <w:t>v</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1"/>
        </w:rPr>
        <w:t>s</w:t>
      </w:r>
      <w:r w:rsidRPr="00EB1AAB">
        <w:rPr>
          <w:rFonts w:ascii="Arial" w:eastAsia="Arial" w:hAnsi="Arial" w:cs="Arial"/>
          <w:spacing w:val="2"/>
        </w:rPr>
        <w:t>e</w:t>
      </w:r>
      <w:r w:rsidRPr="00EB1AAB">
        <w:rPr>
          <w:rFonts w:ascii="Arial" w:eastAsia="Arial" w:hAnsi="Arial" w:cs="Arial"/>
          <w:spacing w:val="-3"/>
        </w:rPr>
        <w:t>d</w:t>
      </w:r>
      <w:r w:rsidRPr="00EB1AAB">
        <w:rPr>
          <w:rFonts w:ascii="Arial" w:eastAsia="Arial" w:hAnsi="Arial" w:cs="Arial"/>
        </w:rPr>
        <w:t>.</w:t>
      </w:r>
      <w:r w:rsidRPr="00EB1AAB">
        <w:rPr>
          <w:rFonts w:ascii="Arial" w:eastAsia="Arial" w:hAnsi="Arial" w:cs="Arial"/>
          <w:spacing w:val="16"/>
        </w:rPr>
        <w:t xml:space="preserve"> </w:t>
      </w:r>
      <w:r w:rsidRPr="00EB1AAB">
        <w:rPr>
          <w:rFonts w:ascii="Arial" w:eastAsia="Arial" w:hAnsi="Arial" w:cs="Arial"/>
          <w:spacing w:val="-1"/>
        </w:rPr>
        <w:t>T</w:t>
      </w:r>
      <w:r w:rsidRPr="00EB1AAB">
        <w:rPr>
          <w:rFonts w:ascii="Arial" w:eastAsia="Arial" w:hAnsi="Arial" w:cs="Arial"/>
        </w:rPr>
        <w:t>h</w:t>
      </w:r>
      <w:r w:rsidRPr="00EB1AAB">
        <w:rPr>
          <w:rFonts w:ascii="Arial" w:eastAsia="Arial" w:hAnsi="Arial" w:cs="Arial"/>
          <w:spacing w:val="1"/>
        </w:rPr>
        <w:t>i</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spacing w:val="-2"/>
        </w:rPr>
        <w:t>d</w:t>
      </w:r>
      <w:r w:rsidRPr="00EB1AAB">
        <w:rPr>
          <w:rFonts w:ascii="Arial" w:eastAsia="Arial" w:hAnsi="Arial" w:cs="Arial"/>
        </w:rPr>
        <w:t>e</w:t>
      </w:r>
      <w:r w:rsidRPr="00EB1AAB">
        <w:rPr>
          <w:rFonts w:ascii="Arial" w:eastAsia="Arial" w:hAnsi="Arial" w:cs="Arial"/>
          <w:spacing w:val="1"/>
        </w:rPr>
        <w:t>si</w:t>
      </w:r>
      <w:r w:rsidRPr="00EB1AAB">
        <w:rPr>
          <w:rFonts w:ascii="Arial" w:eastAsia="Arial" w:hAnsi="Arial" w:cs="Arial"/>
          <w:spacing w:val="-3"/>
        </w:rPr>
        <w:t>g</w:t>
      </w:r>
      <w:r w:rsidRPr="00EB1AAB">
        <w:rPr>
          <w:rFonts w:ascii="Arial" w:eastAsia="Arial" w:hAnsi="Arial" w:cs="Arial"/>
          <w:spacing w:val="2"/>
        </w:rPr>
        <w:t>n</w:t>
      </w:r>
      <w:r w:rsidRPr="00EB1AAB">
        <w:rPr>
          <w:rFonts w:ascii="Arial" w:eastAsia="Arial" w:hAnsi="Arial" w:cs="Arial"/>
        </w:rPr>
        <w:t>at</w:t>
      </w:r>
      <w:r w:rsidRPr="00EB1AAB">
        <w:rPr>
          <w:rFonts w:ascii="Arial" w:eastAsia="Arial" w:hAnsi="Arial" w:cs="Arial"/>
          <w:spacing w:val="1"/>
        </w:rPr>
        <w:t>i</w:t>
      </w:r>
      <w:r w:rsidRPr="00EB1AAB">
        <w:rPr>
          <w:rFonts w:ascii="Arial" w:eastAsia="Arial" w:hAnsi="Arial" w:cs="Arial"/>
        </w:rPr>
        <w:t>on</w:t>
      </w:r>
      <w:r w:rsidRPr="00EB1AAB">
        <w:rPr>
          <w:rFonts w:ascii="Arial" w:eastAsia="Arial" w:hAnsi="Arial" w:cs="Arial"/>
          <w:spacing w:val="13"/>
        </w:rPr>
        <w:t xml:space="preserve"> </w:t>
      </w:r>
      <w:r w:rsidRPr="00EB1AAB">
        <w:rPr>
          <w:rFonts w:ascii="Arial" w:eastAsia="Arial" w:hAnsi="Arial" w:cs="Arial"/>
          <w:spacing w:val="2"/>
        </w:rPr>
        <w:t>w</w:t>
      </w:r>
      <w:r w:rsidRPr="00EB1AAB">
        <w:rPr>
          <w:rFonts w:ascii="Arial" w:eastAsia="Arial" w:hAnsi="Arial" w:cs="Arial"/>
        </w:rPr>
        <w:t>ou</w:t>
      </w:r>
      <w:r w:rsidRPr="00EB1AAB">
        <w:rPr>
          <w:rFonts w:ascii="Arial" w:eastAsia="Arial" w:hAnsi="Arial" w:cs="Arial"/>
          <w:spacing w:val="1"/>
        </w:rPr>
        <w:t>l</w:t>
      </w:r>
      <w:r w:rsidRPr="00EB1AAB">
        <w:rPr>
          <w:rFonts w:ascii="Arial" w:eastAsia="Arial" w:hAnsi="Arial" w:cs="Arial"/>
        </w:rPr>
        <w:t>d</w:t>
      </w:r>
      <w:r w:rsidRPr="00EB1AAB">
        <w:rPr>
          <w:rFonts w:ascii="Arial" w:eastAsia="Arial" w:hAnsi="Arial" w:cs="Arial"/>
          <w:spacing w:val="7"/>
        </w:rPr>
        <w:t xml:space="preserve"> </w:t>
      </w:r>
      <w:r w:rsidRPr="00EB1AAB">
        <w:rPr>
          <w:rFonts w:ascii="Arial" w:eastAsia="Arial" w:hAnsi="Arial" w:cs="Arial"/>
          <w:spacing w:val="2"/>
        </w:rPr>
        <w:t>m</w:t>
      </w:r>
      <w:r w:rsidRPr="00EB1AAB">
        <w:rPr>
          <w:rFonts w:ascii="Arial" w:eastAsia="Arial" w:hAnsi="Arial" w:cs="Arial"/>
          <w:spacing w:val="-3"/>
        </w:rPr>
        <w:t>e</w:t>
      </w:r>
      <w:r w:rsidRPr="00EB1AAB">
        <w:rPr>
          <w:rFonts w:ascii="Arial" w:eastAsia="Arial" w:hAnsi="Arial" w:cs="Arial"/>
        </w:rPr>
        <w:t>an</w:t>
      </w:r>
      <w:r w:rsidRPr="00EB1AAB">
        <w:rPr>
          <w:rFonts w:ascii="Arial" w:eastAsia="Arial" w:hAnsi="Arial" w:cs="Arial"/>
          <w:spacing w:val="4"/>
        </w:rPr>
        <w:t xml:space="preserve"> </w:t>
      </w:r>
      <w:r w:rsidRPr="00EB1AAB">
        <w:rPr>
          <w:rFonts w:ascii="Arial" w:eastAsia="Arial" w:hAnsi="Arial" w:cs="Arial"/>
          <w:spacing w:val="3"/>
        </w:rPr>
        <w:t>t</w:t>
      </w:r>
      <w:r w:rsidRPr="00EB1AAB">
        <w:rPr>
          <w:rFonts w:ascii="Arial" w:eastAsia="Arial" w:hAnsi="Arial" w:cs="Arial"/>
        </w:rPr>
        <w:t>h</w:t>
      </w:r>
      <w:r w:rsidRPr="00EB1AAB">
        <w:rPr>
          <w:rFonts w:ascii="Arial" w:eastAsia="Arial" w:hAnsi="Arial" w:cs="Arial"/>
          <w:spacing w:val="-1"/>
        </w:rPr>
        <w:t>a</w:t>
      </w:r>
      <w:r w:rsidRPr="00EB1AAB">
        <w:rPr>
          <w:rFonts w:ascii="Arial" w:eastAsia="Arial" w:hAnsi="Arial" w:cs="Arial"/>
        </w:rPr>
        <w:t>t</w:t>
      </w:r>
      <w:r w:rsidRPr="00EB1AAB">
        <w:rPr>
          <w:rFonts w:ascii="Arial" w:eastAsia="Arial" w:hAnsi="Arial" w:cs="Arial"/>
          <w:spacing w:val="5"/>
        </w:rPr>
        <w:t xml:space="preserve"> </w:t>
      </w:r>
      <w:r w:rsidRPr="00EB1AAB">
        <w:rPr>
          <w:rFonts w:ascii="Arial" w:eastAsia="Arial" w:hAnsi="Arial" w:cs="Arial"/>
          <w:spacing w:val="2"/>
        </w:rPr>
        <w:t>a</w:t>
      </w:r>
      <w:r w:rsidRPr="00EB1AAB">
        <w:rPr>
          <w:rFonts w:ascii="Arial" w:eastAsia="Arial" w:hAnsi="Arial" w:cs="Arial"/>
        </w:rPr>
        <w:t>ny</w:t>
      </w:r>
      <w:r w:rsidRPr="00EB1AAB">
        <w:rPr>
          <w:rFonts w:ascii="Arial" w:eastAsia="Arial" w:hAnsi="Arial" w:cs="Arial"/>
          <w:spacing w:val="3"/>
        </w:rPr>
        <w:t xml:space="preserve"> </w:t>
      </w:r>
      <w:r w:rsidRPr="00EB1AAB">
        <w:rPr>
          <w:rFonts w:ascii="Arial" w:eastAsia="Arial" w:hAnsi="Arial" w:cs="Arial"/>
          <w:spacing w:val="2"/>
        </w:rPr>
        <w:t>g</w:t>
      </w:r>
      <w:r w:rsidRPr="00EB1AAB">
        <w:rPr>
          <w:rFonts w:ascii="Arial" w:eastAsia="Arial" w:hAnsi="Arial" w:cs="Arial"/>
          <w:spacing w:val="-2"/>
        </w:rPr>
        <w:t>a</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s</w:t>
      </w:r>
      <w:r w:rsidRPr="00EB1AAB">
        <w:rPr>
          <w:rFonts w:ascii="Arial" w:eastAsia="Arial" w:hAnsi="Arial" w:cs="Arial"/>
          <w:spacing w:val="7"/>
        </w:rPr>
        <w:t xml:space="preserve"> </w:t>
      </w:r>
      <w:r w:rsidRPr="00EB1AAB">
        <w:rPr>
          <w:rFonts w:ascii="Arial" w:eastAsia="Arial" w:hAnsi="Arial" w:cs="Arial"/>
          <w:spacing w:val="2"/>
        </w:rPr>
        <w:t>a</w:t>
      </w:r>
      <w:r w:rsidRPr="00EB1AAB">
        <w:rPr>
          <w:rFonts w:ascii="Arial" w:eastAsia="Arial" w:hAnsi="Arial" w:cs="Arial"/>
          <w:spacing w:val="-3"/>
        </w:rPr>
        <w:t>n</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rPr>
        <w:t>es</w:t>
      </w:r>
      <w:r w:rsidRPr="00EB1AAB">
        <w:rPr>
          <w:rFonts w:ascii="Arial" w:eastAsia="Arial" w:hAnsi="Arial" w:cs="Arial"/>
          <w:spacing w:val="12"/>
        </w:rPr>
        <w:t xml:space="preserve"> </w:t>
      </w:r>
      <w:r w:rsidRPr="00EB1AAB">
        <w:rPr>
          <w:rFonts w:ascii="Arial" w:eastAsia="Arial" w:hAnsi="Arial" w:cs="Arial"/>
          <w:spacing w:val="-1"/>
        </w:rPr>
        <w:t>w</w:t>
      </w:r>
      <w:r w:rsidRPr="00EB1AAB">
        <w:rPr>
          <w:rFonts w:ascii="Arial" w:eastAsia="Arial" w:hAnsi="Arial" w:cs="Arial"/>
        </w:rPr>
        <w:t>o</w:t>
      </w:r>
      <w:r w:rsidRPr="00EB1AAB">
        <w:rPr>
          <w:rFonts w:ascii="Arial" w:eastAsia="Arial" w:hAnsi="Arial" w:cs="Arial"/>
          <w:spacing w:val="-1"/>
        </w:rPr>
        <w:t>u</w:t>
      </w:r>
      <w:r w:rsidRPr="00EB1AAB">
        <w:rPr>
          <w:rFonts w:ascii="Arial" w:eastAsia="Arial" w:hAnsi="Arial" w:cs="Arial"/>
          <w:spacing w:val="1"/>
        </w:rPr>
        <w:t>l</w:t>
      </w:r>
      <w:r w:rsidRPr="00EB1AAB">
        <w:rPr>
          <w:rFonts w:ascii="Arial" w:eastAsia="Arial" w:hAnsi="Arial" w:cs="Arial"/>
        </w:rPr>
        <w:t>d</w:t>
      </w:r>
      <w:r w:rsidRPr="00EB1AAB">
        <w:rPr>
          <w:rFonts w:ascii="Arial" w:eastAsia="Arial" w:hAnsi="Arial" w:cs="Arial"/>
          <w:spacing w:val="7"/>
        </w:rPr>
        <w:t xml:space="preserve"> </w:t>
      </w:r>
      <w:r w:rsidRPr="00EB1AAB">
        <w:rPr>
          <w:rFonts w:ascii="Arial" w:eastAsia="Arial" w:hAnsi="Arial" w:cs="Arial"/>
          <w:w w:val="101"/>
        </w:rPr>
        <w:t xml:space="preserve">be </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spacing w:val="1"/>
        </w:rPr>
        <w:t>l</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spacing w:val="3"/>
        </w:rPr>
        <w:t>i</w:t>
      </w:r>
      <w:r w:rsidRPr="00EB1AAB">
        <w:rPr>
          <w:rFonts w:ascii="Arial" w:eastAsia="Arial" w:hAnsi="Arial" w:cs="Arial"/>
        </w:rPr>
        <w:t>n</w:t>
      </w:r>
      <w:r w:rsidRPr="00EB1AAB">
        <w:rPr>
          <w:rFonts w:ascii="Arial" w:eastAsia="Arial" w:hAnsi="Arial" w:cs="Arial"/>
          <w:spacing w:val="1"/>
        </w:rPr>
        <w:t xml:space="preserve"> </w:t>
      </w:r>
      <w:r w:rsidRPr="00EB1AAB">
        <w:rPr>
          <w:rFonts w:ascii="Arial" w:eastAsia="Arial" w:hAnsi="Arial" w:cs="Arial"/>
          <w:spacing w:val="2"/>
        </w:rPr>
        <w:t>t</w:t>
      </w:r>
      <w:r w:rsidRPr="00EB1AAB">
        <w:rPr>
          <w:rFonts w:ascii="Arial" w:eastAsia="Arial" w:hAnsi="Arial" w:cs="Arial"/>
        </w:rPr>
        <w:t>he</w:t>
      </w:r>
      <w:r w:rsidRPr="00EB1AAB">
        <w:rPr>
          <w:rFonts w:ascii="Arial" w:eastAsia="Arial" w:hAnsi="Arial" w:cs="Arial"/>
          <w:spacing w:val="3"/>
        </w:rPr>
        <w:t xml:space="preserve"> </w:t>
      </w:r>
      <w:r w:rsidRPr="00EB1AAB">
        <w:rPr>
          <w:rFonts w:ascii="Arial" w:eastAsia="Arial" w:hAnsi="Arial" w:cs="Arial"/>
          <w:spacing w:val="-1"/>
        </w:rPr>
        <w:t>F</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3"/>
        </w:rPr>
        <w:t xml:space="preserve"> </w:t>
      </w:r>
      <w:r w:rsidRPr="00EB1AAB">
        <w:rPr>
          <w:rFonts w:ascii="Arial" w:eastAsia="Arial" w:hAnsi="Arial" w:cs="Arial"/>
        </w:rPr>
        <w:t>In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u</w:t>
      </w:r>
      <w:r w:rsidRPr="00EB1AAB">
        <w:rPr>
          <w:rFonts w:ascii="Arial" w:eastAsia="Arial" w:hAnsi="Arial" w:cs="Arial"/>
          <w:spacing w:val="2"/>
        </w:rPr>
        <w:t>m</w:t>
      </w:r>
      <w:r w:rsidRPr="00EB1AAB">
        <w:rPr>
          <w:rFonts w:ascii="Arial" w:eastAsia="Arial" w:hAnsi="Arial" w:cs="Arial"/>
          <w:spacing w:val="-2"/>
        </w:rPr>
        <w:t>e</w:t>
      </w:r>
      <w:r w:rsidRPr="00EB1AAB">
        <w:rPr>
          <w:rFonts w:ascii="Arial" w:eastAsia="Arial" w:hAnsi="Arial" w:cs="Arial"/>
        </w:rPr>
        <w:t>nts</w:t>
      </w:r>
      <w:r w:rsidRPr="00EB1AAB">
        <w:rPr>
          <w:rFonts w:ascii="Arial" w:eastAsia="Arial" w:hAnsi="Arial" w:cs="Arial"/>
          <w:spacing w:val="14"/>
        </w:rPr>
        <w:t xml:space="preserve"> </w:t>
      </w:r>
      <w:r w:rsidRPr="00EB1AAB">
        <w:rPr>
          <w:rFonts w:ascii="Arial" w:eastAsia="Arial" w:hAnsi="Arial" w:cs="Arial"/>
          <w:spacing w:val="2"/>
        </w:rPr>
        <w:t>R</w:t>
      </w:r>
      <w:r w:rsidRPr="00EB1AAB">
        <w:rPr>
          <w:rFonts w:ascii="Arial" w:eastAsia="Arial" w:hAnsi="Arial" w:cs="Arial"/>
          <w:spacing w:val="-3"/>
        </w:rPr>
        <w:t>e</w:t>
      </w:r>
      <w:r w:rsidRPr="00EB1AAB">
        <w:rPr>
          <w:rFonts w:ascii="Arial" w:eastAsia="Arial" w:hAnsi="Arial" w:cs="Arial"/>
          <w:spacing w:val="1"/>
        </w:rPr>
        <w:t>v</w:t>
      </w:r>
      <w:r w:rsidRPr="00EB1AAB">
        <w:rPr>
          <w:rFonts w:ascii="Arial" w:eastAsia="Arial" w:hAnsi="Arial" w:cs="Arial"/>
        </w:rPr>
        <w:t>a</w:t>
      </w:r>
      <w:r w:rsidRPr="00EB1AAB">
        <w:rPr>
          <w:rFonts w:ascii="Arial" w:eastAsia="Arial" w:hAnsi="Arial" w:cs="Arial"/>
          <w:spacing w:val="1"/>
        </w:rPr>
        <w:t>l</w:t>
      </w:r>
      <w:r w:rsidRPr="00EB1AAB">
        <w:rPr>
          <w:rFonts w:ascii="Arial" w:eastAsia="Arial" w:hAnsi="Arial" w:cs="Arial"/>
          <w:spacing w:val="2"/>
        </w:rPr>
        <w:t>u</w:t>
      </w:r>
      <w:r w:rsidRPr="00EB1AAB">
        <w:rPr>
          <w:rFonts w:ascii="Arial" w:eastAsia="Arial" w:hAnsi="Arial" w:cs="Arial"/>
          <w:spacing w:val="-3"/>
        </w:rPr>
        <w:t>a</w:t>
      </w:r>
      <w:r w:rsidRPr="00EB1AAB">
        <w:rPr>
          <w:rFonts w:ascii="Arial" w:eastAsia="Arial" w:hAnsi="Arial" w:cs="Arial"/>
        </w:rPr>
        <w:t>t</w:t>
      </w:r>
      <w:r w:rsidRPr="00EB1AAB">
        <w:rPr>
          <w:rFonts w:ascii="Arial" w:eastAsia="Arial" w:hAnsi="Arial" w:cs="Arial"/>
          <w:spacing w:val="4"/>
        </w:rPr>
        <w:t>i</w:t>
      </w:r>
      <w:r w:rsidRPr="00EB1AAB">
        <w:rPr>
          <w:rFonts w:ascii="Arial" w:eastAsia="Arial" w:hAnsi="Arial" w:cs="Arial"/>
          <w:spacing w:val="-3"/>
        </w:rPr>
        <w:t>o</w:t>
      </w:r>
      <w:r w:rsidRPr="00EB1AAB">
        <w:rPr>
          <w:rFonts w:ascii="Arial" w:eastAsia="Arial" w:hAnsi="Arial" w:cs="Arial"/>
        </w:rPr>
        <w:t>n</w:t>
      </w:r>
      <w:r w:rsidRPr="00EB1AAB">
        <w:rPr>
          <w:rFonts w:ascii="Arial" w:eastAsia="Arial" w:hAnsi="Arial" w:cs="Arial"/>
          <w:spacing w:val="15"/>
        </w:rPr>
        <w:t xml:space="preserve"> </w:t>
      </w:r>
      <w:r w:rsidRPr="00EB1AAB">
        <w:rPr>
          <w:rFonts w:ascii="Arial" w:eastAsia="Arial" w:hAnsi="Arial" w:cs="Arial"/>
          <w:spacing w:val="-1"/>
          <w:w w:val="101"/>
        </w:rPr>
        <w:t>R</w:t>
      </w:r>
      <w:r w:rsidRPr="00EB1AAB">
        <w:rPr>
          <w:rFonts w:ascii="Arial" w:eastAsia="Arial" w:hAnsi="Arial" w:cs="Arial"/>
          <w:w w:val="101"/>
        </w:rPr>
        <w:t>e</w:t>
      </w:r>
      <w:r w:rsidRPr="00EB1AAB">
        <w:rPr>
          <w:rFonts w:ascii="Arial" w:eastAsia="Arial" w:hAnsi="Arial" w:cs="Arial"/>
          <w:spacing w:val="-2"/>
          <w:w w:val="101"/>
        </w:rPr>
        <w:t>s</w:t>
      </w:r>
      <w:r w:rsidRPr="00EB1AAB">
        <w:rPr>
          <w:rFonts w:ascii="Arial" w:eastAsia="Arial" w:hAnsi="Arial" w:cs="Arial"/>
          <w:spacing w:val="2"/>
          <w:w w:val="101"/>
        </w:rPr>
        <w:t>e</w:t>
      </w:r>
      <w:r w:rsidRPr="00EB1AAB">
        <w:rPr>
          <w:rFonts w:ascii="Arial" w:eastAsia="Arial" w:hAnsi="Arial" w:cs="Arial"/>
          <w:spacing w:val="-1"/>
          <w:w w:val="101"/>
        </w:rPr>
        <w:t>r</w:t>
      </w:r>
      <w:r w:rsidRPr="00EB1AAB">
        <w:rPr>
          <w:rFonts w:ascii="Arial" w:eastAsia="Arial" w:hAnsi="Arial" w:cs="Arial"/>
          <w:spacing w:val="1"/>
          <w:w w:val="101"/>
        </w:rPr>
        <w:t>v</w:t>
      </w:r>
      <w:r w:rsidRPr="00EB1AAB">
        <w:rPr>
          <w:rFonts w:ascii="Arial" w:eastAsia="Arial" w:hAnsi="Arial" w:cs="Arial"/>
          <w:spacing w:val="-3"/>
          <w:w w:val="101"/>
        </w:rPr>
        <w:t>e</w:t>
      </w:r>
      <w:r w:rsidRPr="00EB1AAB">
        <w:rPr>
          <w:rFonts w:ascii="Arial" w:eastAsia="Arial" w:hAnsi="Arial" w:cs="Arial"/>
          <w:w w:val="101"/>
        </w:rPr>
        <w:t>.</w:t>
      </w:r>
      <w:bookmarkStart w:id="85" w:name="_Hlk76058916"/>
    </w:p>
    <w:p w14:paraId="0152803C" w14:textId="77777777" w:rsidR="00CF25A6" w:rsidRPr="00A506A6" w:rsidRDefault="00CF25A6" w:rsidP="006F1659">
      <w:pPr>
        <w:spacing w:before="4" w:line="360" w:lineRule="auto"/>
        <w:ind w:right="-88"/>
        <w:rPr>
          <w:rFonts w:ascii="Arial" w:eastAsia="Arial" w:hAnsi="Arial" w:cs="Arial"/>
        </w:rPr>
      </w:pPr>
    </w:p>
    <w:p w14:paraId="41E09411" w14:textId="53BCBE6D" w:rsidR="00655E4C" w:rsidRPr="00EB1AAB" w:rsidRDefault="00655E4C" w:rsidP="00CF25A6">
      <w:pPr>
        <w:pStyle w:val="Heading5"/>
        <w:spacing w:line="360" w:lineRule="auto"/>
        <w:rPr>
          <w:lang w:eastAsia="en-GB"/>
        </w:rPr>
      </w:pPr>
      <w:r w:rsidRPr="00EB1AAB">
        <w:rPr>
          <w:lang w:eastAsia="en-GB"/>
        </w:rPr>
        <w:t>1.1</w:t>
      </w:r>
      <w:r w:rsidR="00E85440">
        <w:rPr>
          <w:lang w:eastAsia="en-GB"/>
        </w:rPr>
        <w:t>8</w:t>
      </w:r>
      <w:r w:rsidRPr="00EB1AAB">
        <w:rPr>
          <w:lang w:eastAsia="en-GB"/>
        </w:rPr>
        <w:t>.4. Cre</w:t>
      </w:r>
      <w:r w:rsidRPr="00CF25A6">
        <w:rPr>
          <w:lang w:eastAsia="en-GB"/>
        </w:rPr>
        <w:t>d</w:t>
      </w:r>
      <w:r w:rsidRPr="00EB1AAB">
        <w:rPr>
          <w:lang w:eastAsia="en-GB"/>
        </w:rPr>
        <w:t>it</w:t>
      </w:r>
      <w:r w:rsidRPr="00CF25A6">
        <w:rPr>
          <w:lang w:eastAsia="en-GB"/>
        </w:rPr>
        <w:t xml:space="preserve"> </w:t>
      </w:r>
      <w:r w:rsidRPr="00EB1AAB">
        <w:rPr>
          <w:lang w:eastAsia="en-GB"/>
        </w:rPr>
        <w:t>l</w:t>
      </w:r>
      <w:r w:rsidRPr="00CF25A6">
        <w:rPr>
          <w:lang w:eastAsia="en-GB"/>
        </w:rPr>
        <w:t>os</w:t>
      </w:r>
      <w:r w:rsidRPr="00EB1AAB">
        <w:rPr>
          <w:lang w:eastAsia="en-GB"/>
        </w:rPr>
        <w:t>s</w:t>
      </w:r>
    </w:p>
    <w:p w14:paraId="5F9D321B" w14:textId="77777777" w:rsidR="00655E4C" w:rsidRPr="00EB1AAB" w:rsidRDefault="00655E4C" w:rsidP="006F1659">
      <w:pPr>
        <w:spacing w:line="360" w:lineRule="auto"/>
        <w:rPr>
          <w:rFonts w:eastAsia="Arial"/>
        </w:rPr>
      </w:pPr>
    </w:p>
    <w:p w14:paraId="2C981F29" w14:textId="74EF260B" w:rsidR="00655E4C" w:rsidRPr="00EB1AAB" w:rsidRDefault="00655E4C" w:rsidP="006F1659">
      <w:pPr>
        <w:spacing w:before="6" w:line="360" w:lineRule="auto"/>
        <w:ind w:right="54"/>
        <w:rPr>
          <w:rFonts w:ascii="Arial" w:eastAsia="Arial" w:hAnsi="Arial" w:cs="Arial"/>
          <w:w w:val="101"/>
        </w:rPr>
      </w:pPr>
      <w:r w:rsidRPr="00EB1AAB">
        <w:rPr>
          <w:rFonts w:ascii="Arial" w:eastAsia="Arial" w:hAnsi="Arial" w:cs="Arial"/>
          <w:spacing w:val="-1"/>
        </w:rPr>
        <w:t>T</w:t>
      </w:r>
      <w:r w:rsidRPr="00EB1AAB">
        <w:rPr>
          <w:rFonts w:ascii="Arial" w:eastAsia="Arial" w:hAnsi="Arial" w:cs="Arial"/>
        </w:rPr>
        <w:t>he</w:t>
      </w:r>
      <w:r w:rsidRPr="00EB1AAB">
        <w:rPr>
          <w:rFonts w:ascii="Arial" w:eastAsia="Arial" w:hAnsi="Arial" w:cs="Arial"/>
          <w:spacing w:val="4"/>
        </w:rPr>
        <w:t xml:space="preserve"> </w:t>
      </w:r>
      <w:r w:rsidRPr="00EB1AAB">
        <w:rPr>
          <w:rFonts w:ascii="Arial" w:eastAsia="Arial" w:hAnsi="Arial" w:cs="Arial"/>
          <w:spacing w:val="2"/>
        </w:rPr>
        <w:t>Authority</w:t>
      </w:r>
      <w:r w:rsidRPr="00EB1AAB">
        <w:rPr>
          <w:rFonts w:ascii="Arial" w:eastAsia="Arial" w:hAnsi="Arial" w:cs="Arial"/>
          <w:spacing w:val="12"/>
        </w:rPr>
        <w:t xml:space="preserve"> </w:t>
      </w:r>
      <w:r w:rsidRPr="00EB1AAB">
        <w:rPr>
          <w:rFonts w:ascii="Arial" w:eastAsia="Arial" w:hAnsi="Arial" w:cs="Arial"/>
          <w:spacing w:val="-3"/>
        </w:rPr>
        <w:t>w</w:t>
      </w:r>
      <w:r w:rsidRPr="00EB1AAB">
        <w:rPr>
          <w:rFonts w:ascii="Arial" w:eastAsia="Arial" w:hAnsi="Arial" w:cs="Arial"/>
          <w:spacing w:val="3"/>
        </w:rPr>
        <w:t>i</w:t>
      </w:r>
      <w:r w:rsidRPr="00EB1AAB">
        <w:rPr>
          <w:rFonts w:ascii="Arial" w:eastAsia="Arial" w:hAnsi="Arial" w:cs="Arial"/>
          <w:spacing w:val="-1"/>
        </w:rPr>
        <w:t>l</w:t>
      </w:r>
      <w:r w:rsidRPr="00EB1AAB">
        <w:rPr>
          <w:rFonts w:ascii="Arial" w:eastAsia="Arial" w:hAnsi="Arial" w:cs="Arial"/>
        </w:rPr>
        <w:t>l</w:t>
      </w:r>
      <w:r w:rsidRPr="00EB1AAB">
        <w:rPr>
          <w:rFonts w:ascii="Arial" w:eastAsia="Arial" w:hAnsi="Arial" w:cs="Arial"/>
          <w:spacing w:val="7"/>
        </w:rPr>
        <w:t xml:space="preserve"> </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1"/>
        </w:rPr>
        <w:t>c</w:t>
      </w:r>
      <w:r w:rsidRPr="00EB1AAB">
        <w:rPr>
          <w:rFonts w:ascii="Arial" w:eastAsia="Arial" w:hAnsi="Arial" w:cs="Arial"/>
          <w:spacing w:val="-3"/>
        </w:rPr>
        <w:t>o</w:t>
      </w:r>
      <w:r w:rsidRPr="00EB1AAB">
        <w:rPr>
          <w:rFonts w:ascii="Arial" w:eastAsia="Arial" w:hAnsi="Arial" w:cs="Arial"/>
          <w:spacing w:val="2"/>
        </w:rPr>
        <w:t>g</w:t>
      </w:r>
      <w:r w:rsidRPr="00EB1AAB">
        <w:rPr>
          <w:rFonts w:ascii="Arial" w:eastAsia="Arial" w:hAnsi="Arial" w:cs="Arial"/>
          <w:spacing w:val="-3"/>
        </w:rPr>
        <w:t>n</w:t>
      </w:r>
      <w:r w:rsidRPr="00EB1AAB">
        <w:rPr>
          <w:rFonts w:ascii="Arial" w:eastAsia="Arial" w:hAnsi="Arial" w:cs="Arial"/>
          <w:spacing w:val="4"/>
        </w:rPr>
        <w:t>i</w:t>
      </w:r>
      <w:r w:rsidRPr="00EB1AAB">
        <w:rPr>
          <w:rFonts w:ascii="Arial" w:eastAsia="Arial" w:hAnsi="Arial" w:cs="Arial"/>
          <w:spacing w:val="1"/>
        </w:rPr>
        <w:t>s</w:t>
      </w:r>
      <w:r w:rsidRPr="00EB1AAB">
        <w:rPr>
          <w:rFonts w:ascii="Arial" w:eastAsia="Arial" w:hAnsi="Arial" w:cs="Arial"/>
        </w:rPr>
        <w:t>e</w:t>
      </w:r>
      <w:r w:rsidRPr="00EB1AAB">
        <w:rPr>
          <w:rFonts w:ascii="Arial" w:eastAsia="Arial" w:hAnsi="Arial" w:cs="Arial"/>
          <w:spacing w:val="9"/>
        </w:rPr>
        <w:t xml:space="preserve"> </w:t>
      </w:r>
      <w:r w:rsidRPr="00EB1AAB">
        <w:rPr>
          <w:rFonts w:ascii="Arial" w:eastAsia="Arial" w:hAnsi="Arial" w:cs="Arial"/>
        </w:rPr>
        <w:t>a</w:t>
      </w:r>
      <w:r w:rsidRPr="00EB1AAB">
        <w:rPr>
          <w:rFonts w:ascii="Arial" w:eastAsia="Arial" w:hAnsi="Arial" w:cs="Arial"/>
          <w:spacing w:val="2"/>
        </w:rPr>
        <w:t xml:space="preserve"> </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1"/>
        </w:rPr>
        <w:t>s</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spacing w:val="-3"/>
        </w:rPr>
        <w:t>a</w:t>
      </w:r>
      <w:r w:rsidRPr="00EB1AAB">
        <w:rPr>
          <w:rFonts w:ascii="Arial" w:eastAsia="Arial" w:hAnsi="Arial" w:cs="Arial"/>
          <w:spacing w:val="3"/>
        </w:rPr>
        <w:t>l</w:t>
      </w:r>
      <w:r w:rsidRPr="00EB1AAB">
        <w:rPr>
          <w:rFonts w:ascii="Arial" w:eastAsia="Arial" w:hAnsi="Arial" w:cs="Arial"/>
          <w:spacing w:val="1"/>
        </w:rPr>
        <w:t>l</w:t>
      </w:r>
      <w:r w:rsidRPr="00EB1AAB">
        <w:rPr>
          <w:rFonts w:ascii="Arial" w:eastAsia="Arial" w:hAnsi="Arial" w:cs="Arial"/>
          <w:spacing w:val="-3"/>
        </w:rPr>
        <w:t>o</w:t>
      </w:r>
      <w:r w:rsidRPr="00EB1AAB">
        <w:rPr>
          <w:rFonts w:ascii="Arial" w:eastAsia="Arial" w:hAnsi="Arial" w:cs="Arial"/>
          <w:spacing w:val="2"/>
        </w:rPr>
        <w:t>w</w:t>
      </w:r>
      <w:r w:rsidRPr="00EB1AAB">
        <w:rPr>
          <w:rFonts w:ascii="Arial" w:eastAsia="Arial" w:hAnsi="Arial" w:cs="Arial"/>
          <w:spacing w:val="-2"/>
        </w:rPr>
        <w:t>a</w:t>
      </w:r>
      <w:r w:rsidRPr="00EB1AAB">
        <w:rPr>
          <w:rFonts w:ascii="Arial" w:eastAsia="Arial" w:hAnsi="Arial" w:cs="Arial"/>
        </w:rPr>
        <w:t>n</w:t>
      </w:r>
      <w:r w:rsidRPr="00EB1AAB">
        <w:rPr>
          <w:rFonts w:ascii="Arial" w:eastAsia="Arial" w:hAnsi="Arial" w:cs="Arial"/>
          <w:spacing w:val="1"/>
        </w:rPr>
        <w:t>c</w:t>
      </w:r>
      <w:r w:rsidRPr="00EB1AAB">
        <w:rPr>
          <w:rFonts w:ascii="Arial" w:eastAsia="Arial" w:hAnsi="Arial" w:cs="Arial"/>
        </w:rPr>
        <w:t>e</w:t>
      </w:r>
      <w:r w:rsidRPr="00EB1AAB">
        <w:rPr>
          <w:rFonts w:ascii="Arial" w:eastAsia="Arial" w:hAnsi="Arial" w:cs="Arial"/>
          <w:spacing w:val="11"/>
        </w:rPr>
        <w:t xml:space="preserve"> </w:t>
      </w:r>
      <w:r w:rsidRPr="00EB1AAB">
        <w:rPr>
          <w:rFonts w:ascii="Arial" w:eastAsia="Arial" w:hAnsi="Arial" w:cs="Arial"/>
          <w:spacing w:val="2"/>
        </w:rPr>
        <w:t>f</w:t>
      </w:r>
      <w:r w:rsidRPr="00EB1AAB">
        <w:rPr>
          <w:rFonts w:ascii="Arial" w:eastAsia="Arial" w:hAnsi="Arial" w:cs="Arial"/>
        </w:rPr>
        <w:t>or</w:t>
      </w:r>
      <w:r w:rsidRPr="00EB1AAB">
        <w:rPr>
          <w:rFonts w:ascii="Arial" w:eastAsia="Arial" w:hAnsi="Arial" w:cs="Arial"/>
          <w:spacing w:val="3"/>
        </w:rPr>
        <w:t xml:space="preserve"> </w:t>
      </w:r>
      <w:r w:rsidRPr="00EB1AAB">
        <w:rPr>
          <w:rFonts w:ascii="Arial" w:eastAsia="Arial" w:hAnsi="Arial" w:cs="Arial"/>
        </w:rPr>
        <w:t>e</w:t>
      </w:r>
      <w:r w:rsidRPr="00EB1AAB">
        <w:rPr>
          <w:rFonts w:ascii="Arial" w:eastAsia="Arial" w:hAnsi="Arial" w:cs="Arial"/>
          <w:spacing w:val="1"/>
        </w:rPr>
        <w:t>x</w:t>
      </w:r>
      <w:r w:rsidRPr="00EB1AAB">
        <w:rPr>
          <w:rFonts w:ascii="Arial" w:eastAsia="Arial" w:hAnsi="Arial" w:cs="Arial"/>
          <w:spacing w:val="2"/>
        </w:rPr>
        <w:t>p</w:t>
      </w:r>
      <w:r w:rsidRPr="00EB1AAB">
        <w:rPr>
          <w:rFonts w:ascii="Arial" w:eastAsia="Arial" w:hAnsi="Arial" w:cs="Arial"/>
          <w:spacing w:val="-3"/>
        </w:rPr>
        <w:t>e</w:t>
      </w:r>
      <w:r w:rsidRPr="00EB1AAB">
        <w:rPr>
          <w:rFonts w:ascii="Arial" w:eastAsia="Arial" w:hAnsi="Arial" w:cs="Arial"/>
          <w:spacing w:val="1"/>
        </w:rPr>
        <w:t>c</w:t>
      </w:r>
      <w:r w:rsidRPr="00EB1AAB">
        <w:rPr>
          <w:rFonts w:ascii="Arial" w:eastAsia="Arial" w:hAnsi="Arial" w:cs="Arial"/>
        </w:rPr>
        <w:t>t</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10"/>
        </w:rPr>
        <w:t xml:space="preserve"> </w:t>
      </w:r>
      <w:r w:rsidRPr="00EB1AAB">
        <w:rPr>
          <w:rFonts w:ascii="Arial" w:eastAsia="Arial" w:hAnsi="Arial" w:cs="Arial"/>
          <w:spacing w:val="-1"/>
        </w:rPr>
        <w:t>cr</w:t>
      </w:r>
      <w:r w:rsidRPr="00EB1AAB">
        <w:rPr>
          <w:rFonts w:ascii="Arial" w:eastAsia="Arial" w:hAnsi="Arial" w:cs="Arial"/>
          <w:spacing w:val="2"/>
        </w:rPr>
        <w:t>e</w:t>
      </w:r>
      <w:r w:rsidRPr="00EB1AAB">
        <w:rPr>
          <w:rFonts w:ascii="Arial" w:eastAsia="Arial" w:hAnsi="Arial" w:cs="Arial"/>
          <w:spacing w:val="-3"/>
        </w:rPr>
        <w:t>d</w:t>
      </w:r>
      <w:r w:rsidRPr="00EB1AAB">
        <w:rPr>
          <w:rFonts w:ascii="Arial" w:eastAsia="Arial" w:hAnsi="Arial" w:cs="Arial"/>
          <w:spacing w:val="3"/>
        </w:rPr>
        <w:t>i</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spacing w:val="3"/>
        </w:rPr>
        <w:t>l</w:t>
      </w:r>
      <w:r w:rsidRPr="00EB1AAB">
        <w:rPr>
          <w:rFonts w:ascii="Arial" w:eastAsia="Arial" w:hAnsi="Arial" w:cs="Arial"/>
          <w:spacing w:val="-2"/>
        </w:rPr>
        <w:t>o</w:t>
      </w:r>
      <w:r w:rsidRPr="00EB1AAB">
        <w:rPr>
          <w:rFonts w:ascii="Arial" w:eastAsia="Arial" w:hAnsi="Arial" w:cs="Arial"/>
          <w:spacing w:val="1"/>
        </w:rPr>
        <w:t>ss</w:t>
      </w:r>
      <w:r w:rsidRPr="00EB1AAB">
        <w:rPr>
          <w:rFonts w:ascii="Arial" w:eastAsia="Arial" w:hAnsi="Arial" w:cs="Arial"/>
          <w:spacing w:val="-3"/>
        </w:rPr>
        <w:t>e</w:t>
      </w:r>
      <w:r w:rsidRPr="00EB1AAB">
        <w:rPr>
          <w:rFonts w:ascii="Arial" w:eastAsia="Arial" w:hAnsi="Arial" w:cs="Arial"/>
          <w:spacing w:val="1"/>
        </w:rPr>
        <w:t>s</w:t>
      </w:r>
      <w:r w:rsidRPr="00EB1AAB">
        <w:rPr>
          <w:rFonts w:ascii="Arial" w:eastAsia="Arial" w:hAnsi="Arial" w:cs="Arial"/>
        </w:rPr>
        <w:t>,</w:t>
      </w:r>
      <w:r w:rsidRPr="00EB1AAB">
        <w:rPr>
          <w:rFonts w:ascii="Arial" w:eastAsia="Arial" w:hAnsi="Arial" w:cs="Arial"/>
          <w:spacing w:val="8"/>
        </w:rPr>
        <w:t xml:space="preserve"> </w:t>
      </w:r>
      <w:r w:rsidRPr="00EB1AAB">
        <w:rPr>
          <w:rFonts w:ascii="Arial" w:eastAsia="Arial" w:hAnsi="Arial" w:cs="Arial"/>
          <w:spacing w:val="1"/>
        </w:rPr>
        <w:t>i</w:t>
      </w:r>
      <w:r w:rsidRPr="00EB1AAB">
        <w:rPr>
          <w:rFonts w:ascii="Arial" w:eastAsia="Arial" w:hAnsi="Arial" w:cs="Arial"/>
        </w:rPr>
        <w:t>f</w:t>
      </w:r>
      <w:r w:rsidRPr="00EB1AAB">
        <w:rPr>
          <w:rFonts w:ascii="Arial" w:eastAsia="Arial" w:hAnsi="Arial" w:cs="Arial"/>
          <w:spacing w:val="5"/>
        </w:rPr>
        <w:t xml:space="preserve"> </w:t>
      </w:r>
      <w:r w:rsidRPr="00EB1AAB">
        <w:rPr>
          <w:rFonts w:ascii="Arial" w:eastAsia="Arial" w:hAnsi="Arial" w:cs="Arial"/>
        </w:rPr>
        <w:t>a</w:t>
      </w:r>
      <w:r w:rsidRPr="00EB1AAB">
        <w:rPr>
          <w:rFonts w:ascii="Arial" w:eastAsia="Arial" w:hAnsi="Arial" w:cs="Arial"/>
          <w:spacing w:val="-3"/>
        </w:rPr>
        <w:t>p</w:t>
      </w:r>
      <w:r w:rsidRPr="00EB1AAB">
        <w:rPr>
          <w:rFonts w:ascii="Arial" w:eastAsia="Arial" w:hAnsi="Arial" w:cs="Arial"/>
        </w:rPr>
        <w:t>p</w:t>
      </w:r>
      <w:r w:rsidRPr="00EB1AAB">
        <w:rPr>
          <w:rFonts w:ascii="Arial" w:eastAsia="Arial" w:hAnsi="Arial" w:cs="Arial"/>
          <w:spacing w:val="1"/>
        </w:rPr>
        <w:t>l</w:t>
      </w:r>
      <w:r w:rsidRPr="00EB1AAB">
        <w:rPr>
          <w:rFonts w:ascii="Arial" w:eastAsia="Arial" w:hAnsi="Arial" w:cs="Arial"/>
          <w:spacing w:val="3"/>
        </w:rPr>
        <w:t>i</w:t>
      </w:r>
      <w:r w:rsidRPr="00EB1AAB">
        <w:rPr>
          <w:rFonts w:ascii="Arial" w:eastAsia="Arial" w:hAnsi="Arial" w:cs="Arial"/>
          <w:spacing w:val="-1"/>
        </w:rPr>
        <w:t>c</w:t>
      </w:r>
      <w:r w:rsidRPr="00EB1AAB">
        <w:rPr>
          <w:rFonts w:ascii="Arial" w:eastAsia="Arial" w:hAnsi="Arial" w:cs="Arial"/>
        </w:rPr>
        <w:t>a</w:t>
      </w:r>
      <w:r w:rsidRPr="00EB1AAB">
        <w:rPr>
          <w:rFonts w:ascii="Arial" w:eastAsia="Arial" w:hAnsi="Arial" w:cs="Arial"/>
          <w:spacing w:val="-3"/>
        </w:rPr>
        <w:t>b</w:t>
      </w:r>
      <w:r w:rsidRPr="00EB1AAB">
        <w:rPr>
          <w:rFonts w:ascii="Arial" w:eastAsia="Arial" w:hAnsi="Arial" w:cs="Arial"/>
          <w:spacing w:val="3"/>
        </w:rPr>
        <w:t>l</w:t>
      </w:r>
      <w:r w:rsidRPr="00EB1AAB">
        <w:rPr>
          <w:rFonts w:ascii="Arial" w:eastAsia="Arial" w:hAnsi="Arial" w:cs="Arial"/>
          <w:spacing w:val="-2"/>
        </w:rPr>
        <w:t>e</w:t>
      </w:r>
      <w:r w:rsidRPr="00EB1AAB">
        <w:rPr>
          <w:rFonts w:ascii="Arial" w:eastAsia="Arial" w:hAnsi="Arial" w:cs="Arial"/>
        </w:rPr>
        <w:t>,</w:t>
      </w:r>
      <w:r w:rsidRPr="00EB1AAB">
        <w:rPr>
          <w:rFonts w:ascii="Arial" w:eastAsia="Arial" w:hAnsi="Arial" w:cs="Arial"/>
          <w:spacing w:val="14"/>
        </w:rPr>
        <w:t xml:space="preserve"> </w:t>
      </w:r>
      <w:r w:rsidRPr="00EB1AAB">
        <w:rPr>
          <w:rFonts w:ascii="Arial" w:eastAsia="Arial" w:hAnsi="Arial" w:cs="Arial"/>
          <w:spacing w:val="-3"/>
          <w:w w:val="101"/>
        </w:rPr>
        <w:t>o</w:t>
      </w:r>
      <w:r w:rsidRPr="00EB1AAB">
        <w:rPr>
          <w:rFonts w:ascii="Arial" w:eastAsia="Arial" w:hAnsi="Arial" w:cs="Arial"/>
          <w:w w:val="101"/>
        </w:rPr>
        <w:t xml:space="preserve">n </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spacing w:val="-3"/>
        </w:rPr>
        <w:t>e</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11"/>
        </w:rPr>
        <w:t xml:space="preserve"> </w:t>
      </w:r>
      <w:r w:rsidRPr="00EB1AAB">
        <w:rPr>
          <w:rFonts w:ascii="Arial" w:eastAsia="Arial" w:hAnsi="Arial" w:cs="Arial"/>
          <w:spacing w:val="-1"/>
        </w:rPr>
        <w:t>w</w:t>
      </w:r>
      <w:r w:rsidRPr="00EB1AAB">
        <w:rPr>
          <w:rFonts w:ascii="Arial" w:eastAsia="Arial" w:hAnsi="Arial" w:cs="Arial"/>
          <w:spacing w:val="-2"/>
        </w:rPr>
        <w:t>h</w:t>
      </w:r>
      <w:r w:rsidRPr="00EB1AAB">
        <w:rPr>
          <w:rFonts w:ascii="Arial" w:eastAsia="Arial" w:hAnsi="Arial" w:cs="Arial"/>
          <w:spacing w:val="2"/>
        </w:rPr>
        <w:t>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1"/>
        </w:rPr>
        <w:t>c</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rPr>
        <w:t>h</w:t>
      </w:r>
      <w:r w:rsidRPr="00EB1AAB">
        <w:rPr>
          <w:rFonts w:ascii="Arial" w:eastAsia="Arial" w:hAnsi="Arial" w:cs="Arial"/>
          <w:spacing w:val="6"/>
        </w:rPr>
        <w:t xml:space="preserve"> </w:t>
      </w:r>
      <w:r w:rsidRPr="00EB1AAB">
        <w:rPr>
          <w:rFonts w:ascii="Arial" w:eastAsia="Arial" w:hAnsi="Arial" w:cs="Arial"/>
          <w:spacing w:val="2"/>
        </w:rPr>
        <w:t>f</w:t>
      </w:r>
      <w:r w:rsidRPr="00EB1AAB">
        <w:rPr>
          <w:rFonts w:ascii="Arial" w:eastAsia="Arial" w:hAnsi="Arial" w:cs="Arial"/>
          <w:spacing w:val="3"/>
        </w:rPr>
        <w:t>l</w:t>
      </w:r>
      <w:r w:rsidRPr="00EB1AAB">
        <w:rPr>
          <w:rFonts w:ascii="Arial" w:eastAsia="Arial" w:hAnsi="Arial" w:cs="Arial"/>
          <w:spacing w:val="-3"/>
        </w:rPr>
        <w:t>ow</w:t>
      </w:r>
      <w:r w:rsidRPr="00EB1AAB">
        <w:rPr>
          <w:rFonts w:ascii="Arial" w:eastAsia="Arial" w:hAnsi="Arial" w:cs="Arial"/>
        </w:rPr>
        <w:t>s</w:t>
      </w:r>
      <w:r w:rsidRPr="00EB1AAB">
        <w:rPr>
          <w:rFonts w:ascii="Arial" w:eastAsia="Arial" w:hAnsi="Arial" w:cs="Arial"/>
          <w:spacing w:val="10"/>
        </w:rPr>
        <w:t xml:space="preserve"> </w:t>
      </w:r>
      <w:r w:rsidRPr="00EB1AAB">
        <w:rPr>
          <w:rFonts w:ascii="Arial" w:eastAsia="Arial" w:hAnsi="Arial" w:cs="Arial"/>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1"/>
        </w:rPr>
        <w:t>s</w:t>
      </w:r>
      <w:r w:rsidRPr="00EB1AAB">
        <w:rPr>
          <w:rFonts w:ascii="Arial" w:eastAsia="Arial" w:hAnsi="Arial" w:cs="Arial"/>
        </w:rPr>
        <w:t>o</w:t>
      </w:r>
      <w:r w:rsidRPr="00EB1AAB">
        <w:rPr>
          <w:rFonts w:ascii="Arial" w:eastAsia="Arial" w:hAnsi="Arial" w:cs="Arial"/>
          <w:spacing w:val="1"/>
        </w:rPr>
        <w:t>l</w:t>
      </w:r>
      <w:r w:rsidRPr="00EB1AAB">
        <w:rPr>
          <w:rFonts w:ascii="Arial" w:eastAsia="Arial" w:hAnsi="Arial" w:cs="Arial"/>
        </w:rPr>
        <w:t>e</w:t>
      </w:r>
      <w:r w:rsidRPr="00EB1AAB">
        <w:rPr>
          <w:rFonts w:ascii="Arial" w:eastAsia="Arial" w:hAnsi="Arial" w:cs="Arial"/>
          <w:spacing w:val="3"/>
        </w:rPr>
        <w:t>l</w:t>
      </w:r>
      <w:r w:rsidRPr="00EB1AAB">
        <w:rPr>
          <w:rFonts w:ascii="Arial" w:eastAsia="Arial" w:hAnsi="Arial" w:cs="Arial"/>
        </w:rPr>
        <w:t>y</w:t>
      </w:r>
      <w:r w:rsidRPr="00EB1AAB">
        <w:rPr>
          <w:rFonts w:ascii="Arial" w:eastAsia="Arial" w:hAnsi="Arial" w:cs="Arial"/>
          <w:spacing w:val="3"/>
        </w:rPr>
        <w:t xml:space="preserve"> </w:t>
      </w:r>
      <w:r w:rsidRPr="00EB1AAB">
        <w:rPr>
          <w:rFonts w:ascii="Arial" w:eastAsia="Arial" w:hAnsi="Arial" w:cs="Arial"/>
          <w:spacing w:val="2"/>
        </w:rPr>
        <w:t>p</w:t>
      </w:r>
      <w:r w:rsidRPr="00EB1AAB">
        <w:rPr>
          <w:rFonts w:ascii="Arial" w:eastAsia="Arial" w:hAnsi="Arial" w:cs="Arial"/>
          <w:spacing w:val="-1"/>
        </w:rPr>
        <w:t>r</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spacing w:val="4"/>
        </w:rPr>
        <w:t>i</w:t>
      </w:r>
      <w:r w:rsidRPr="00EB1AAB">
        <w:rPr>
          <w:rFonts w:ascii="Arial" w:eastAsia="Arial" w:hAnsi="Arial" w:cs="Arial"/>
          <w:spacing w:val="-3"/>
        </w:rPr>
        <w:t>p</w:t>
      </w:r>
      <w:r w:rsidRPr="00EB1AAB">
        <w:rPr>
          <w:rFonts w:ascii="Arial" w:eastAsia="Arial" w:hAnsi="Arial" w:cs="Arial"/>
        </w:rPr>
        <w:t>al</w:t>
      </w:r>
      <w:r w:rsidRPr="00EB1AAB">
        <w:rPr>
          <w:rFonts w:ascii="Arial" w:eastAsia="Arial" w:hAnsi="Arial" w:cs="Arial"/>
          <w:spacing w:val="14"/>
        </w:rPr>
        <w:t xml:space="preserve"> </w:t>
      </w:r>
      <w:r w:rsidRPr="00EB1AAB">
        <w:rPr>
          <w:rFonts w:ascii="Arial" w:eastAsia="Arial" w:hAnsi="Arial" w:cs="Arial"/>
          <w:spacing w:val="-3"/>
        </w:rPr>
        <w:t>a</w:t>
      </w:r>
      <w:r w:rsidRPr="00EB1AAB">
        <w:rPr>
          <w:rFonts w:ascii="Arial" w:eastAsia="Arial" w:hAnsi="Arial" w:cs="Arial"/>
          <w:spacing w:val="2"/>
        </w:rPr>
        <w:t>n</w:t>
      </w:r>
      <w:r w:rsidRPr="00EB1AAB">
        <w:rPr>
          <w:rFonts w:ascii="Arial" w:eastAsia="Arial" w:hAnsi="Arial" w:cs="Arial"/>
        </w:rPr>
        <w:t>d</w:t>
      </w:r>
      <w:r w:rsidRPr="00EB1AAB">
        <w:rPr>
          <w:rFonts w:ascii="Arial" w:eastAsia="Arial" w:hAnsi="Arial" w:cs="Arial"/>
          <w:spacing w:val="2"/>
        </w:rPr>
        <w:t xml:space="preserve"> </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spacing w:val="-3"/>
        </w:rPr>
        <w:t>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2"/>
        </w:rPr>
        <w:t>s</w:t>
      </w:r>
      <w:r w:rsidRPr="00EB1AAB">
        <w:rPr>
          <w:rFonts w:ascii="Arial" w:eastAsia="Arial" w:hAnsi="Arial" w:cs="Arial"/>
        </w:rPr>
        <w:t>t</w:t>
      </w:r>
      <w:r w:rsidRPr="00EB1AAB">
        <w:rPr>
          <w:rFonts w:ascii="Arial" w:eastAsia="Arial" w:hAnsi="Arial" w:cs="Arial"/>
          <w:spacing w:val="11"/>
        </w:rPr>
        <w:t xml:space="preserve"> </w:t>
      </w:r>
      <w:r w:rsidRPr="00EB1AAB">
        <w:rPr>
          <w:rFonts w:ascii="Arial" w:eastAsia="Arial" w:hAnsi="Arial" w:cs="Arial"/>
          <w:spacing w:val="-1"/>
        </w:rPr>
        <w:t>(</w:t>
      </w:r>
      <w:r w:rsidRPr="00EB1AAB">
        <w:rPr>
          <w:rFonts w:ascii="Arial" w:eastAsia="Arial" w:hAnsi="Arial" w:cs="Arial"/>
          <w:spacing w:val="1"/>
        </w:rPr>
        <w:t>i</w:t>
      </w:r>
      <w:r w:rsidRPr="00EB1AAB">
        <w:rPr>
          <w:rFonts w:ascii="Arial" w:eastAsia="Arial" w:hAnsi="Arial" w:cs="Arial"/>
          <w:spacing w:val="2"/>
        </w:rPr>
        <w:t>.</w:t>
      </w:r>
      <w:r w:rsidRPr="00EB1AAB">
        <w:rPr>
          <w:rFonts w:ascii="Arial" w:eastAsia="Arial" w:hAnsi="Arial" w:cs="Arial"/>
          <w:spacing w:val="-3"/>
        </w:rPr>
        <w:t>e</w:t>
      </w:r>
      <w:r w:rsidRPr="00EB1AAB">
        <w:rPr>
          <w:rFonts w:ascii="Arial" w:eastAsia="Arial" w:hAnsi="Arial" w:cs="Arial"/>
        </w:rPr>
        <w:t>.</w:t>
      </w:r>
      <w:r w:rsidRPr="00EB1AAB">
        <w:rPr>
          <w:rFonts w:ascii="Arial" w:eastAsia="Arial" w:hAnsi="Arial" w:cs="Arial"/>
          <w:spacing w:val="8"/>
        </w:rPr>
        <w:t xml:space="preserve"> </w:t>
      </w:r>
      <w:r w:rsidRPr="00EB1AAB">
        <w:rPr>
          <w:rFonts w:ascii="Arial" w:eastAsia="Arial" w:hAnsi="Arial" w:cs="Arial"/>
        </w:rPr>
        <w:t>f</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3"/>
        </w:rPr>
        <w:t>a</w:t>
      </w:r>
      <w:r w:rsidRPr="00EB1AAB">
        <w:rPr>
          <w:rFonts w:ascii="Arial" w:eastAsia="Arial" w:hAnsi="Arial" w:cs="Arial"/>
        </w:rPr>
        <w:t>n</w:t>
      </w:r>
      <w:r w:rsidRPr="00EB1AAB">
        <w:rPr>
          <w:rFonts w:ascii="Arial" w:eastAsia="Arial" w:hAnsi="Arial" w:cs="Arial"/>
          <w:spacing w:val="3"/>
        </w:rPr>
        <w:t>c</w:t>
      </w:r>
      <w:r w:rsidRPr="00EB1AAB">
        <w:rPr>
          <w:rFonts w:ascii="Arial" w:eastAsia="Arial" w:hAnsi="Arial" w:cs="Arial"/>
          <w:spacing w:val="1"/>
        </w:rPr>
        <w:t>i</w:t>
      </w:r>
      <w:r w:rsidRPr="00EB1AAB">
        <w:rPr>
          <w:rFonts w:ascii="Arial" w:eastAsia="Arial" w:hAnsi="Arial" w:cs="Arial"/>
          <w:spacing w:val="-3"/>
        </w:rPr>
        <w:t>a</w:t>
      </w:r>
      <w:r w:rsidRPr="00EB1AAB">
        <w:rPr>
          <w:rFonts w:ascii="Arial" w:eastAsia="Arial" w:hAnsi="Arial" w:cs="Arial"/>
        </w:rPr>
        <w:t>l</w:t>
      </w:r>
      <w:r w:rsidRPr="00EB1AAB">
        <w:rPr>
          <w:rFonts w:ascii="Arial" w:eastAsia="Arial" w:hAnsi="Arial" w:cs="Arial"/>
          <w:spacing w:val="10"/>
        </w:rPr>
        <w:t xml:space="preserve"> </w:t>
      </w:r>
      <w:r w:rsidRPr="00EB1AAB">
        <w:rPr>
          <w:rFonts w:ascii="Arial" w:eastAsia="Arial" w:hAnsi="Arial" w:cs="Arial"/>
          <w:spacing w:val="3"/>
          <w:w w:val="101"/>
        </w:rPr>
        <w:t>i</w:t>
      </w:r>
      <w:r w:rsidRPr="00EB1AAB">
        <w:rPr>
          <w:rFonts w:ascii="Arial" w:eastAsia="Arial" w:hAnsi="Arial" w:cs="Arial"/>
          <w:spacing w:val="-3"/>
          <w:w w:val="101"/>
        </w:rPr>
        <w:t>n</w:t>
      </w:r>
      <w:r w:rsidRPr="00EB1AAB">
        <w:rPr>
          <w:rFonts w:ascii="Arial" w:eastAsia="Arial" w:hAnsi="Arial" w:cs="Arial"/>
          <w:spacing w:val="1"/>
          <w:w w:val="101"/>
        </w:rPr>
        <w:t>s</w:t>
      </w:r>
      <w:r w:rsidRPr="00EB1AAB">
        <w:rPr>
          <w:rFonts w:ascii="Arial" w:eastAsia="Arial" w:hAnsi="Arial" w:cs="Arial"/>
          <w:w w:val="101"/>
        </w:rPr>
        <w:t>t</w:t>
      </w:r>
      <w:r w:rsidRPr="00EB1AAB">
        <w:rPr>
          <w:rFonts w:ascii="Arial" w:eastAsia="Arial" w:hAnsi="Arial" w:cs="Arial"/>
          <w:spacing w:val="-1"/>
          <w:w w:val="101"/>
        </w:rPr>
        <w:t>r</w:t>
      </w:r>
      <w:r w:rsidRPr="00EB1AAB">
        <w:rPr>
          <w:rFonts w:ascii="Arial" w:eastAsia="Arial" w:hAnsi="Arial" w:cs="Arial"/>
          <w:w w:val="101"/>
        </w:rPr>
        <w:t>u</w:t>
      </w:r>
      <w:r w:rsidRPr="00EB1AAB">
        <w:rPr>
          <w:rFonts w:ascii="Arial" w:eastAsia="Arial" w:hAnsi="Arial" w:cs="Arial"/>
          <w:spacing w:val="-1"/>
          <w:w w:val="101"/>
        </w:rPr>
        <w:t>m</w:t>
      </w:r>
      <w:r w:rsidRPr="00EB1AAB">
        <w:rPr>
          <w:rFonts w:ascii="Arial" w:eastAsia="Arial" w:hAnsi="Arial" w:cs="Arial"/>
          <w:w w:val="101"/>
        </w:rPr>
        <w:t>e</w:t>
      </w:r>
      <w:r w:rsidRPr="00EB1AAB">
        <w:rPr>
          <w:rFonts w:ascii="Arial" w:eastAsia="Arial" w:hAnsi="Arial" w:cs="Arial"/>
          <w:spacing w:val="-3"/>
          <w:w w:val="101"/>
        </w:rPr>
        <w:t>n</w:t>
      </w:r>
      <w:r w:rsidRPr="00EB1AAB">
        <w:rPr>
          <w:rFonts w:ascii="Arial" w:eastAsia="Arial" w:hAnsi="Arial" w:cs="Arial"/>
          <w:spacing w:val="2"/>
          <w:w w:val="101"/>
        </w:rPr>
        <w:t>t</w:t>
      </w:r>
      <w:r w:rsidRPr="00EB1AAB">
        <w:rPr>
          <w:rFonts w:ascii="Arial" w:eastAsia="Arial" w:hAnsi="Arial" w:cs="Arial"/>
          <w:w w:val="101"/>
        </w:rPr>
        <w:t xml:space="preserve">s </w:t>
      </w:r>
      <w:r w:rsidRPr="00EB1AAB">
        <w:rPr>
          <w:rFonts w:ascii="Arial" w:eastAsia="Arial" w:hAnsi="Arial" w:cs="Arial"/>
          <w:spacing w:val="3"/>
        </w:rPr>
        <w:t>m</w:t>
      </w:r>
      <w:r w:rsidRPr="00EB1AAB">
        <w:rPr>
          <w:rFonts w:ascii="Arial" w:eastAsia="Arial" w:hAnsi="Arial" w:cs="Arial"/>
          <w:spacing w:val="-3"/>
        </w:rPr>
        <w:t>e</w:t>
      </w:r>
      <w:r w:rsidRPr="00EB1AAB">
        <w:rPr>
          <w:rFonts w:ascii="Arial" w:eastAsia="Arial" w:hAnsi="Arial" w:cs="Arial"/>
        </w:rPr>
        <w:t>a</w:t>
      </w:r>
      <w:r w:rsidRPr="00EB1AAB">
        <w:rPr>
          <w:rFonts w:ascii="Arial" w:eastAsia="Arial" w:hAnsi="Arial" w:cs="Arial"/>
          <w:spacing w:val="1"/>
        </w:rPr>
        <w:t>s</w:t>
      </w:r>
      <w:r w:rsidRPr="00EB1AAB">
        <w:rPr>
          <w:rFonts w:ascii="Arial" w:eastAsia="Arial" w:hAnsi="Arial" w:cs="Arial"/>
          <w:spacing w:val="-3"/>
        </w:rPr>
        <w:t>u</w:t>
      </w:r>
      <w:r w:rsidRPr="00EB1AAB">
        <w:rPr>
          <w:rFonts w:ascii="Arial" w:eastAsia="Arial" w:hAnsi="Arial" w:cs="Arial"/>
          <w:spacing w:val="1"/>
        </w:rPr>
        <w:t>r</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9"/>
        </w:rPr>
        <w:t xml:space="preserve"> </w:t>
      </w:r>
      <w:r w:rsidRPr="00EB1AAB">
        <w:rPr>
          <w:rFonts w:ascii="Arial" w:eastAsia="Arial" w:hAnsi="Arial" w:cs="Arial"/>
        </w:rPr>
        <w:t>at</w:t>
      </w:r>
      <w:r w:rsidRPr="00EB1AAB">
        <w:rPr>
          <w:rFonts w:ascii="Arial" w:eastAsia="Arial" w:hAnsi="Arial" w:cs="Arial"/>
          <w:spacing w:val="3"/>
        </w:rPr>
        <w:t xml:space="preserve"> </w:t>
      </w:r>
      <w:r w:rsidRPr="00EB1AAB">
        <w:rPr>
          <w:rFonts w:ascii="Arial" w:eastAsia="Arial" w:hAnsi="Arial" w:cs="Arial"/>
        </w:rPr>
        <w:t>a</w:t>
      </w:r>
      <w:r w:rsidRPr="00EB1AAB">
        <w:rPr>
          <w:rFonts w:ascii="Arial" w:eastAsia="Arial" w:hAnsi="Arial" w:cs="Arial"/>
          <w:spacing w:val="2"/>
        </w:rPr>
        <w:t>m</w:t>
      </w:r>
      <w:r w:rsidRPr="00EB1AAB">
        <w:rPr>
          <w:rFonts w:ascii="Arial" w:eastAsia="Arial" w:hAnsi="Arial" w:cs="Arial"/>
        </w:rPr>
        <w:t>o</w:t>
      </w:r>
      <w:r w:rsidRPr="00EB1AAB">
        <w:rPr>
          <w:rFonts w:ascii="Arial" w:eastAsia="Arial" w:hAnsi="Arial" w:cs="Arial"/>
          <w:spacing w:val="-1"/>
        </w:rPr>
        <w:t>r</w:t>
      </w:r>
      <w:r w:rsidRPr="00EB1AAB">
        <w:rPr>
          <w:rFonts w:ascii="Arial" w:eastAsia="Arial" w:hAnsi="Arial" w:cs="Arial"/>
          <w:spacing w:val="2"/>
        </w:rPr>
        <w:t>t</w:t>
      </w:r>
      <w:r w:rsidRPr="00EB1AAB">
        <w:rPr>
          <w:rFonts w:ascii="Arial" w:eastAsia="Arial" w:hAnsi="Arial" w:cs="Arial"/>
          <w:spacing w:val="1"/>
        </w:rPr>
        <w:t>is</w:t>
      </w:r>
      <w:r w:rsidRPr="00EB1AAB">
        <w:rPr>
          <w:rFonts w:ascii="Arial" w:eastAsia="Arial" w:hAnsi="Arial" w:cs="Arial"/>
          <w:spacing w:val="-3"/>
        </w:rPr>
        <w:t>e</w:t>
      </w:r>
      <w:r w:rsidRPr="00EB1AAB">
        <w:rPr>
          <w:rFonts w:ascii="Arial" w:eastAsia="Arial" w:hAnsi="Arial" w:cs="Arial"/>
        </w:rPr>
        <w:t>d</w:t>
      </w:r>
      <w:r w:rsidRPr="00EB1AAB">
        <w:rPr>
          <w:rFonts w:ascii="Arial" w:eastAsia="Arial" w:hAnsi="Arial" w:cs="Arial"/>
          <w:spacing w:val="13"/>
        </w:rPr>
        <w:t xml:space="preserve"> </w:t>
      </w:r>
      <w:r w:rsidRPr="00EB1AAB">
        <w:rPr>
          <w:rFonts w:ascii="Arial" w:eastAsia="Arial" w:hAnsi="Arial" w:cs="Arial"/>
          <w:spacing w:val="1"/>
        </w:rPr>
        <w:t>c</w:t>
      </w:r>
      <w:r w:rsidRPr="00EB1AAB">
        <w:rPr>
          <w:rFonts w:ascii="Arial" w:eastAsia="Arial" w:hAnsi="Arial" w:cs="Arial"/>
          <w:spacing w:val="-3"/>
        </w:rPr>
        <w:t>o</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5"/>
        </w:rPr>
        <w:t xml:space="preserve"> </w:t>
      </w:r>
      <w:r w:rsidRPr="00EB1AAB">
        <w:rPr>
          <w:rFonts w:ascii="Arial" w:eastAsia="Arial" w:hAnsi="Arial" w:cs="Arial"/>
        </w:rPr>
        <w:t>or</w:t>
      </w:r>
      <w:r w:rsidRPr="00EB1AAB">
        <w:rPr>
          <w:rFonts w:ascii="Arial" w:eastAsia="Arial" w:hAnsi="Arial" w:cs="Arial"/>
          <w:spacing w:val="2"/>
        </w:rPr>
        <w:t xml:space="preserve"> </w:t>
      </w:r>
      <w:r w:rsidRPr="00EB1AAB">
        <w:rPr>
          <w:rFonts w:ascii="Arial" w:eastAsia="Arial" w:hAnsi="Arial" w:cs="Arial"/>
          <w:spacing w:val="1"/>
        </w:rPr>
        <w:t>FV</w:t>
      </w:r>
      <w:r w:rsidRPr="00EB1AAB">
        <w:rPr>
          <w:rFonts w:ascii="Arial" w:eastAsia="Arial" w:hAnsi="Arial" w:cs="Arial"/>
          <w:spacing w:val="-2"/>
        </w:rPr>
        <w:t>O</w:t>
      </w:r>
      <w:r w:rsidRPr="00EB1AAB">
        <w:rPr>
          <w:rFonts w:ascii="Arial" w:eastAsia="Arial" w:hAnsi="Arial" w:cs="Arial"/>
          <w:spacing w:val="-1"/>
        </w:rPr>
        <w:t>C</w:t>
      </w:r>
      <w:r w:rsidRPr="00EB1AAB">
        <w:rPr>
          <w:rFonts w:ascii="Arial" w:eastAsia="Arial" w:hAnsi="Arial" w:cs="Arial"/>
        </w:rPr>
        <w:t>I).</w:t>
      </w:r>
      <w:r w:rsidRPr="00EB1AAB">
        <w:rPr>
          <w:rFonts w:ascii="Arial" w:eastAsia="Arial" w:hAnsi="Arial" w:cs="Arial"/>
          <w:spacing w:val="10"/>
        </w:rPr>
        <w:t xml:space="preserve"> </w:t>
      </w:r>
      <w:r w:rsidRPr="00EB1AAB">
        <w:rPr>
          <w:rFonts w:ascii="Arial" w:eastAsia="Arial" w:hAnsi="Arial" w:cs="Arial"/>
          <w:spacing w:val="1"/>
          <w:w w:val="101"/>
        </w:rPr>
        <w:t>T</w:t>
      </w:r>
      <w:r w:rsidRPr="00EB1AAB">
        <w:rPr>
          <w:rFonts w:ascii="Arial" w:eastAsia="Arial" w:hAnsi="Arial" w:cs="Arial"/>
          <w:w w:val="101"/>
        </w:rPr>
        <w:t>h</w:t>
      </w:r>
      <w:r w:rsidRPr="00EB1AAB">
        <w:rPr>
          <w:rFonts w:ascii="Arial" w:eastAsia="Arial" w:hAnsi="Arial" w:cs="Arial"/>
          <w:spacing w:val="1"/>
          <w:w w:val="101"/>
        </w:rPr>
        <w:t>i</w:t>
      </w:r>
      <w:r w:rsidRPr="00EB1AAB">
        <w:rPr>
          <w:rFonts w:ascii="Arial" w:eastAsia="Arial" w:hAnsi="Arial" w:cs="Arial"/>
          <w:w w:val="101"/>
        </w:rPr>
        <w:t xml:space="preserve">s </w:t>
      </w:r>
      <w:r w:rsidRPr="00EB1AAB">
        <w:rPr>
          <w:rFonts w:ascii="Arial" w:eastAsia="Arial" w:hAnsi="Arial" w:cs="Arial"/>
        </w:rPr>
        <w:t>does</w:t>
      </w:r>
      <w:r w:rsidRPr="00EB1AAB">
        <w:rPr>
          <w:rFonts w:ascii="Arial" w:eastAsia="Arial" w:hAnsi="Arial" w:cs="Arial"/>
          <w:spacing w:val="7"/>
        </w:rPr>
        <w:t xml:space="preserve"> </w:t>
      </w:r>
      <w:r w:rsidRPr="00EB1AAB">
        <w:rPr>
          <w:rFonts w:ascii="Arial" w:eastAsia="Arial" w:hAnsi="Arial" w:cs="Arial"/>
        </w:rPr>
        <w:t>not</w:t>
      </w:r>
      <w:r w:rsidRPr="00EB1AAB">
        <w:rPr>
          <w:rFonts w:ascii="Arial" w:eastAsia="Arial" w:hAnsi="Arial" w:cs="Arial"/>
          <w:spacing w:val="4"/>
        </w:rPr>
        <w:t xml:space="preserve"> </w:t>
      </w:r>
      <w:r w:rsidRPr="00EB1AAB">
        <w:rPr>
          <w:rFonts w:ascii="Arial" w:eastAsia="Arial" w:hAnsi="Arial" w:cs="Arial"/>
          <w:spacing w:val="2"/>
        </w:rPr>
        <w:t>a</w:t>
      </w:r>
      <w:r w:rsidRPr="00EB1AAB">
        <w:rPr>
          <w:rFonts w:ascii="Arial" w:eastAsia="Arial" w:hAnsi="Arial" w:cs="Arial"/>
          <w:spacing w:val="-3"/>
        </w:rPr>
        <w:t>p</w:t>
      </w:r>
      <w:r w:rsidRPr="00EB1AAB">
        <w:rPr>
          <w:rFonts w:ascii="Arial" w:eastAsia="Arial" w:hAnsi="Arial" w:cs="Arial"/>
        </w:rPr>
        <w:t>p</w:t>
      </w:r>
      <w:r w:rsidRPr="00EB1AAB">
        <w:rPr>
          <w:rFonts w:ascii="Arial" w:eastAsia="Arial" w:hAnsi="Arial" w:cs="Arial"/>
          <w:spacing w:val="3"/>
        </w:rPr>
        <w:t>l</w:t>
      </w:r>
      <w:r w:rsidRPr="00EB1AAB">
        <w:rPr>
          <w:rFonts w:ascii="Arial" w:eastAsia="Arial" w:hAnsi="Arial" w:cs="Arial"/>
        </w:rPr>
        <w:t>y</w:t>
      </w:r>
      <w:r w:rsidRPr="00EB1AAB">
        <w:rPr>
          <w:rFonts w:ascii="Arial" w:eastAsia="Arial" w:hAnsi="Arial" w:cs="Arial"/>
          <w:spacing w:val="5"/>
        </w:rPr>
        <w:t xml:space="preserve"> </w:t>
      </w:r>
      <w:r w:rsidRPr="00EB1AAB">
        <w:rPr>
          <w:rFonts w:ascii="Arial" w:eastAsia="Arial" w:hAnsi="Arial" w:cs="Arial"/>
          <w:spacing w:val="-1"/>
        </w:rPr>
        <w:t>w</w:t>
      </w:r>
      <w:r w:rsidRPr="00EB1AAB">
        <w:rPr>
          <w:rFonts w:ascii="Arial" w:eastAsia="Arial" w:hAnsi="Arial" w:cs="Arial"/>
          <w:spacing w:val="2"/>
        </w:rPr>
        <w:t>h</w:t>
      </w:r>
      <w:r w:rsidRPr="00EB1AAB">
        <w:rPr>
          <w:rFonts w:ascii="Arial" w:eastAsia="Arial" w:hAnsi="Arial" w:cs="Arial"/>
          <w:spacing w:val="-3"/>
        </w:rPr>
        <w:t>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the</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rPr>
        <w:t>ounte</w:t>
      </w:r>
      <w:r w:rsidRPr="00EB1AAB">
        <w:rPr>
          <w:rFonts w:ascii="Arial" w:eastAsia="Arial" w:hAnsi="Arial" w:cs="Arial"/>
          <w:spacing w:val="1"/>
        </w:rPr>
        <w:t>r</w:t>
      </w:r>
      <w:r w:rsidRPr="00EB1AAB">
        <w:rPr>
          <w:rFonts w:ascii="Arial" w:eastAsia="Arial" w:hAnsi="Arial" w:cs="Arial"/>
        </w:rPr>
        <w:t>pa</w:t>
      </w:r>
      <w:r w:rsidRPr="00EB1AAB">
        <w:rPr>
          <w:rFonts w:ascii="Arial" w:eastAsia="Arial" w:hAnsi="Arial" w:cs="Arial"/>
          <w:spacing w:val="-1"/>
        </w:rPr>
        <w:t>r</w:t>
      </w:r>
      <w:r w:rsidRPr="00EB1AAB">
        <w:rPr>
          <w:rFonts w:ascii="Arial" w:eastAsia="Arial" w:hAnsi="Arial" w:cs="Arial"/>
          <w:spacing w:val="2"/>
        </w:rPr>
        <w:t>t</w:t>
      </w:r>
      <w:r w:rsidRPr="00EB1AAB">
        <w:rPr>
          <w:rFonts w:ascii="Arial" w:eastAsia="Arial" w:hAnsi="Arial" w:cs="Arial"/>
        </w:rPr>
        <w:t>y</w:t>
      </w:r>
      <w:r w:rsidRPr="00EB1AAB">
        <w:rPr>
          <w:rFonts w:ascii="Arial" w:eastAsia="Arial" w:hAnsi="Arial" w:cs="Arial"/>
          <w:spacing w:val="13"/>
        </w:rPr>
        <w:t xml:space="preserve"> </w:t>
      </w:r>
      <w:r w:rsidRPr="00EB1AAB">
        <w:rPr>
          <w:rFonts w:ascii="Arial" w:eastAsia="Arial" w:hAnsi="Arial" w:cs="Arial"/>
          <w:spacing w:val="1"/>
        </w:rPr>
        <w:t>i</w:t>
      </w:r>
      <w:r w:rsidRPr="00EB1AAB">
        <w:rPr>
          <w:rFonts w:ascii="Arial" w:eastAsia="Arial" w:hAnsi="Arial" w:cs="Arial"/>
        </w:rPr>
        <w:t>s</w:t>
      </w:r>
      <w:r w:rsidRPr="00EB1AAB">
        <w:rPr>
          <w:rFonts w:ascii="Arial" w:eastAsia="Arial" w:hAnsi="Arial" w:cs="Arial"/>
          <w:spacing w:val="4"/>
        </w:rPr>
        <w:t xml:space="preserve"> </w:t>
      </w:r>
      <w:r w:rsidR="00EC49BA">
        <w:rPr>
          <w:rFonts w:ascii="Arial" w:eastAsia="Arial" w:hAnsi="Arial" w:cs="Arial"/>
          <w:spacing w:val="4"/>
        </w:rPr>
        <w:t>C</w:t>
      </w:r>
      <w:r w:rsidRPr="00EB1AAB">
        <w:rPr>
          <w:rFonts w:ascii="Arial" w:eastAsia="Arial" w:hAnsi="Arial" w:cs="Arial"/>
          <w:spacing w:val="-2"/>
        </w:rPr>
        <w:t>e</w:t>
      </w:r>
      <w:r w:rsidRPr="00EB1AAB">
        <w:rPr>
          <w:rFonts w:ascii="Arial" w:eastAsia="Arial" w:hAnsi="Arial" w:cs="Arial"/>
        </w:rPr>
        <w:t>n</w:t>
      </w:r>
      <w:r w:rsidRPr="00EB1AAB">
        <w:rPr>
          <w:rFonts w:ascii="Arial" w:eastAsia="Arial" w:hAnsi="Arial" w:cs="Arial"/>
          <w:spacing w:val="2"/>
        </w:rPr>
        <w:t>t</w:t>
      </w:r>
      <w:r w:rsidRPr="00EB1AAB">
        <w:rPr>
          <w:rFonts w:ascii="Arial" w:eastAsia="Arial" w:hAnsi="Arial" w:cs="Arial"/>
          <w:spacing w:val="-1"/>
        </w:rPr>
        <w:t>r</w:t>
      </w:r>
      <w:r w:rsidRPr="00EB1AAB">
        <w:rPr>
          <w:rFonts w:ascii="Arial" w:eastAsia="Arial" w:hAnsi="Arial" w:cs="Arial"/>
        </w:rPr>
        <w:t>al</w:t>
      </w:r>
      <w:r w:rsidRPr="00EB1AAB">
        <w:rPr>
          <w:rFonts w:ascii="Arial" w:eastAsia="Arial" w:hAnsi="Arial" w:cs="Arial"/>
          <w:spacing w:val="11"/>
        </w:rPr>
        <w:t xml:space="preserve"> </w:t>
      </w:r>
      <w:r w:rsidR="00EC49BA">
        <w:rPr>
          <w:rFonts w:ascii="Arial" w:eastAsia="Arial" w:hAnsi="Arial" w:cs="Arial"/>
          <w:spacing w:val="11"/>
        </w:rPr>
        <w:t>G</w:t>
      </w:r>
      <w:r w:rsidRPr="00EB1AAB">
        <w:rPr>
          <w:rFonts w:ascii="Arial" w:eastAsia="Arial" w:hAnsi="Arial" w:cs="Arial"/>
        </w:rPr>
        <w:t>o</w:t>
      </w:r>
      <w:r w:rsidRPr="00EB1AAB">
        <w:rPr>
          <w:rFonts w:ascii="Arial" w:eastAsia="Arial" w:hAnsi="Arial" w:cs="Arial"/>
          <w:spacing w:val="1"/>
        </w:rPr>
        <w:t>v</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2"/>
        </w:rPr>
        <w:t>n</w:t>
      </w:r>
      <w:r w:rsidRPr="00EB1AAB">
        <w:rPr>
          <w:rFonts w:ascii="Arial" w:eastAsia="Arial" w:hAnsi="Arial" w:cs="Arial"/>
          <w:spacing w:val="2"/>
        </w:rPr>
        <w:t>m</w:t>
      </w:r>
      <w:r w:rsidRPr="00EB1AAB">
        <w:rPr>
          <w:rFonts w:ascii="Arial" w:eastAsia="Arial" w:hAnsi="Arial" w:cs="Arial"/>
        </w:rPr>
        <w:t>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15"/>
        </w:rPr>
        <w:t xml:space="preserve"> </w:t>
      </w:r>
      <w:r w:rsidRPr="00EB1AAB">
        <w:rPr>
          <w:rFonts w:ascii="Arial" w:eastAsia="Arial" w:hAnsi="Arial" w:cs="Arial"/>
        </w:rPr>
        <w:t>or</w:t>
      </w:r>
      <w:r w:rsidRPr="00EB1AAB">
        <w:rPr>
          <w:rFonts w:ascii="Arial" w:eastAsia="Arial" w:hAnsi="Arial" w:cs="Arial"/>
          <w:spacing w:val="4"/>
        </w:rPr>
        <w:t xml:space="preserve"> </w:t>
      </w:r>
      <w:r w:rsidRPr="00EB1AAB">
        <w:rPr>
          <w:rFonts w:ascii="Arial" w:eastAsia="Arial" w:hAnsi="Arial" w:cs="Arial"/>
        </w:rPr>
        <w:t>an</w:t>
      </w:r>
      <w:r w:rsidRPr="00EB1AAB">
        <w:rPr>
          <w:rFonts w:ascii="Arial" w:eastAsia="Arial" w:hAnsi="Arial" w:cs="Arial"/>
          <w:spacing w:val="-3"/>
        </w:rPr>
        <w:t>o</w:t>
      </w:r>
      <w:r w:rsidRPr="00EB1AAB">
        <w:rPr>
          <w:rFonts w:ascii="Arial" w:eastAsia="Arial" w:hAnsi="Arial" w:cs="Arial"/>
          <w:spacing w:val="2"/>
        </w:rPr>
        <w:t>t</w:t>
      </w:r>
      <w:r w:rsidRPr="00EB1AAB">
        <w:rPr>
          <w:rFonts w:ascii="Arial" w:eastAsia="Arial" w:hAnsi="Arial" w:cs="Arial"/>
        </w:rPr>
        <w:t>her</w:t>
      </w:r>
      <w:r w:rsidRPr="00EB1AAB">
        <w:rPr>
          <w:rFonts w:ascii="Arial" w:eastAsia="Arial" w:hAnsi="Arial" w:cs="Arial"/>
          <w:spacing w:val="11"/>
        </w:rPr>
        <w:t xml:space="preserve"> </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2"/>
        </w:rPr>
        <w:t>c</w:t>
      </w:r>
      <w:r w:rsidRPr="00EB1AAB">
        <w:rPr>
          <w:rFonts w:ascii="Arial" w:eastAsia="Arial" w:hAnsi="Arial" w:cs="Arial"/>
        </w:rPr>
        <w:t>al</w:t>
      </w:r>
      <w:r w:rsidRPr="00EB1AAB">
        <w:rPr>
          <w:rFonts w:ascii="Arial" w:eastAsia="Arial" w:hAnsi="Arial" w:cs="Arial"/>
          <w:spacing w:val="9"/>
        </w:rPr>
        <w:t xml:space="preserve"> </w:t>
      </w:r>
      <w:r w:rsidRPr="00EB1AAB">
        <w:rPr>
          <w:rFonts w:ascii="Arial" w:eastAsia="Arial" w:hAnsi="Arial" w:cs="Arial"/>
          <w:spacing w:val="-3"/>
          <w:w w:val="101"/>
        </w:rPr>
        <w:t>a</w:t>
      </w:r>
      <w:r w:rsidRPr="00EB1AAB">
        <w:rPr>
          <w:rFonts w:ascii="Arial" w:eastAsia="Arial" w:hAnsi="Arial" w:cs="Arial"/>
          <w:w w:val="101"/>
        </w:rPr>
        <w:t>u</w:t>
      </w:r>
      <w:r w:rsidRPr="00EB1AAB">
        <w:rPr>
          <w:rFonts w:ascii="Arial" w:eastAsia="Arial" w:hAnsi="Arial" w:cs="Arial"/>
          <w:spacing w:val="-1"/>
          <w:w w:val="101"/>
        </w:rPr>
        <w:t>t</w:t>
      </w:r>
      <w:r w:rsidRPr="00EB1AAB">
        <w:rPr>
          <w:rFonts w:ascii="Arial" w:eastAsia="Arial" w:hAnsi="Arial" w:cs="Arial"/>
          <w:w w:val="101"/>
        </w:rPr>
        <w:t>ho</w:t>
      </w:r>
      <w:r w:rsidRPr="00EB1AAB">
        <w:rPr>
          <w:rFonts w:ascii="Arial" w:eastAsia="Arial" w:hAnsi="Arial" w:cs="Arial"/>
          <w:spacing w:val="-1"/>
          <w:w w:val="101"/>
        </w:rPr>
        <w:t>r</w:t>
      </w:r>
      <w:r w:rsidRPr="00EB1AAB">
        <w:rPr>
          <w:rFonts w:ascii="Arial" w:eastAsia="Arial" w:hAnsi="Arial" w:cs="Arial"/>
          <w:spacing w:val="1"/>
          <w:w w:val="101"/>
        </w:rPr>
        <w:t>i</w:t>
      </w:r>
      <w:r w:rsidRPr="00EB1AAB">
        <w:rPr>
          <w:rFonts w:ascii="Arial" w:eastAsia="Arial" w:hAnsi="Arial" w:cs="Arial"/>
          <w:spacing w:val="5"/>
          <w:w w:val="101"/>
        </w:rPr>
        <w:t>t</w:t>
      </w:r>
      <w:r w:rsidRPr="00EB1AAB">
        <w:rPr>
          <w:rFonts w:ascii="Arial" w:eastAsia="Arial" w:hAnsi="Arial" w:cs="Arial"/>
          <w:spacing w:val="-6"/>
          <w:w w:val="101"/>
        </w:rPr>
        <w:t>y</w:t>
      </w:r>
      <w:r w:rsidRPr="00EB1AAB">
        <w:rPr>
          <w:rFonts w:ascii="Arial" w:eastAsia="Arial" w:hAnsi="Arial" w:cs="Arial"/>
          <w:w w:val="101"/>
        </w:rPr>
        <w:t>.</w:t>
      </w:r>
    </w:p>
    <w:p w14:paraId="62F02A34" w14:textId="77777777" w:rsidR="00655E4C" w:rsidRPr="00EB1AAB" w:rsidRDefault="00655E4C" w:rsidP="006F1659">
      <w:pPr>
        <w:spacing w:before="6" w:line="360" w:lineRule="auto"/>
        <w:ind w:right="102"/>
        <w:rPr>
          <w:rFonts w:ascii="Arial" w:eastAsia="Arial" w:hAnsi="Arial" w:cs="Arial"/>
          <w:w w:val="101"/>
        </w:rPr>
      </w:pPr>
    </w:p>
    <w:p w14:paraId="32900394" w14:textId="77777777" w:rsidR="00655E4C" w:rsidRPr="00EB1AAB" w:rsidRDefault="00655E4C" w:rsidP="006F1659">
      <w:pPr>
        <w:spacing w:before="33" w:line="360" w:lineRule="auto"/>
        <w:ind w:right="54"/>
        <w:rPr>
          <w:rFonts w:ascii="Arial" w:eastAsia="Arial" w:hAnsi="Arial" w:cs="Arial"/>
        </w:rPr>
      </w:pPr>
      <w:r w:rsidRPr="00EB1AAB">
        <w:rPr>
          <w:rFonts w:ascii="Arial" w:eastAsia="Arial" w:hAnsi="Arial" w:cs="Arial"/>
        </w:rPr>
        <w:t>At</w:t>
      </w:r>
      <w:r w:rsidRPr="00EB1AAB">
        <w:rPr>
          <w:rFonts w:ascii="Arial" w:eastAsia="Arial" w:hAnsi="Arial" w:cs="Arial"/>
          <w:spacing w:val="6"/>
        </w:rPr>
        <w:t xml:space="preserve"> </w:t>
      </w:r>
      <w:r w:rsidRPr="00EB1AAB">
        <w:rPr>
          <w:rFonts w:ascii="Arial" w:eastAsia="Arial" w:hAnsi="Arial" w:cs="Arial"/>
          <w:spacing w:val="-3"/>
        </w:rPr>
        <w:t>e</w:t>
      </w:r>
      <w:r w:rsidRPr="00EB1AAB">
        <w:rPr>
          <w:rFonts w:ascii="Arial" w:eastAsia="Arial" w:hAnsi="Arial" w:cs="Arial"/>
        </w:rPr>
        <w:t>a</w:t>
      </w:r>
      <w:r w:rsidRPr="00EB1AAB">
        <w:rPr>
          <w:rFonts w:ascii="Arial" w:eastAsia="Arial" w:hAnsi="Arial" w:cs="Arial"/>
          <w:spacing w:val="-2"/>
        </w:rPr>
        <w:t>c</w:t>
      </w:r>
      <w:r w:rsidRPr="00EB1AAB">
        <w:rPr>
          <w:rFonts w:ascii="Arial" w:eastAsia="Arial" w:hAnsi="Arial" w:cs="Arial"/>
        </w:rPr>
        <w:t>h</w:t>
      </w:r>
      <w:r w:rsidRPr="00EB1AAB">
        <w:rPr>
          <w:rFonts w:ascii="Arial" w:eastAsia="Arial" w:hAnsi="Arial" w:cs="Arial"/>
          <w:spacing w:val="9"/>
        </w:rPr>
        <w:t xml:space="preserve"> </w:t>
      </w:r>
      <w:r w:rsidRPr="00EB1AAB">
        <w:rPr>
          <w:rFonts w:ascii="Arial" w:eastAsia="Arial" w:hAnsi="Arial" w:cs="Arial"/>
          <w:spacing w:val="-2"/>
        </w:rPr>
        <w:t>y</w:t>
      </w:r>
      <w:r w:rsidRPr="00EB1AAB">
        <w:rPr>
          <w:rFonts w:ascii="Arial" w:eastAsia="Arial" w:hAnsi="Arial" w:cs="Arial"/>
        </w:rPr>
        <w:t>ear</w:t>
      </w:r>
      <w:r w:rsidRPr="00EB1AAB">
        <w:rPr>
          <w:rFonts w:ascii="Arial" w:eastAsia="Arial" w:hAnsi="Arial" w:cs="Arial"/>
          <w:spacing w:val="6"/>
        </w:rPr>
        <w:t xml:space="preserve"> </w:t>
      </w:r>
      <w:r w:rsidRPr="00EB1AAB">
        <w:rPr>
          <w:rFonts w:ascii="Arial" w:eastAsia="Arial" w:hAnsi="Arial" w:cs="Arial"/>
        </w:rPr>
        <w:t>end,</w:t>
      </w:r>
      <w:r w:rsidRPr="00EB1AAB">
        <w:rPr>
          <w:rFonts w:ascii="Arial" w:eastAsia="Arial" w:hAnsi="Arial" w:cs="Arial"/>
          <w:spacing w:val="4"/>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2"/>
        </w:rPr>
        <w:t>s</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rPr>
        <w:t>a</w:t>
      </w:r>
      <w:r w:rsidRPr="00EB1AAB">
        <w:rPr>
          <w:rFonts w:ascii="Arial" w:eastAsia="Arial" w:hAnsi="Arial" w:cs="Arial"/>
          <w:spacing w:val="1"/>
        </w:rPr>
        <w:t>l</w:t>
      </w:r>
      <w:r w:rsidRPr="00EB1AAB">
        <w:rPr>
          <w:rFonts w:ascii="Arial" w:eastAsia="Arial" w:hAnsi="Arial" w:cs="Arial"/>
          <w:spacing w:val="4"/>
        </w:rPr>
        <w:t>l</w:t>
      </w:r>
      <w:r w:rsidRPr="00EB1AAB">
        <w:rPr>
          <w:rFonts w:ascii="Arial" w:eastAsia="Arial" w:hAnsi="Arial" w:cs="Arial"/>
          <w:spacing w:val="-3"/>
        </w:rPr>
        <w:t>o</w:t>
      </w:r>
      <w:r w:rsidRPr="00EB1AAB">
        <w:rPr>
          <w:rFonts w:ascii="Arial" w:eastAsia="Arial" w:hAnsi="Arial" w:cs="Arial"/>
          <w:spacing w:val="-1"/>
        </w:rPr>
        <w:t>w</w:t>
      </w:r>
      <w:r w:rsidRPr="00EB1AAB">
        <w:rPr>
          <w:rFonts w:ascii="Arial" w:eastAsia="Arial" w:hAnsi="Arial" w:cs="Arial"/>
          <w:spacing w:val="2"/>
        </w:rPr>
        <w:t>a</w:t>
      </w:r>
      <w:r w:rsidRPr="00EB1AAB">
        <w:rPr>
          <w:rFonts w:ascii="Arial" w:eastAsia="Arial" w:hAnsi="Arial" w:cs="Arial"/>
          <w:spacing w:val="-3"/>
        </w:rPr>
        <w:t>n</w:t>
      </w:r>
      <w:r w:rsidRPr="00EB1AAB">
        <w:rPr>
          <w:rFonts w:ascii="Arial" w:eastAsia="Arial" w:hAnsi="Arial" w:cs="Arial"/>
          <w:spacing w:val="1"/>
        </w:rPr>
        <w:t>c</w:t>
      </w:r>
      <w:r w:rsidRPr="00EB1AAB">
        <w:rPr>
          <w:rFonts w:ascii="Arial" w:eastAsia="Arial" w:hAnsi="Arial" w:cs="Arial"/>
        </w:rPr>
        <w:t>e</w:t>
      </w:r>
      <w:r w:rsidRPr="00EB1AAB">
        <w:rPr>
          <w:rFonts w:ascii="Arial" w:eastAsia="Arial" w:hAnsi="Arial" w:cs="Arial"/>
          <w:spacing w:val="11"/>
        </w:rPr>
        <w:t xml:space="preserve"> </w:t>
      </w:r>
      <w:r w:rsidRPr="00EB1AAB">
        <w:rPr>
          <w:rFonts w:ascii="Arial" w:eastAsia="Arial" w:hAnsi="Arial" w:cs="Arial"/>
          <w:spacing w:val="2"/>
        </w:rPr>
        <w:t>f</w:t>
      </w:r>
      <w:r w:rsidRPr="00EB1AAB">
        <w:rPr>
          <w:rFonts w:ascii="Arial" w:eastAsia="Arial" w:hAnsi="Arial" w:cs="Arial"/>
          <w:spacing w:val="-3"/>
        </w:rPr>
        <w:t>o</w:t>
      </w:r>
      <w:r w:rsidRPr="00EB1AAB">
        <w:rPr>
          <w:rFonts w:ascii="Arial" w:eastAsia="Arial" w:hAnsi="Arial" w:cs="Arial"/>
        </w:rPr>
        <w:t>r</w:t>
      </w:r>
      <w:r w:rsidRPr="00EB1AAB">
        <w:rPr>
          <w:rFonts w:ascii="Arial" w:eastAsia="Arial" w:hAnsi="Arial" w:cs="Arial"/>
          <w:spacing w:val="5"/>
        </w:rPr>
        <w:t xml:space="preserve"> </w:t>
      </w:r>
      <w:r w:rsidRPr="00EB1AAB">
        <w:rPr>
          <w:rFonts w:ascii="Arial" w:eastAsia="Arial" w:hAnsi="Arial" w:cs="Arial"/>
        </w:rPr>
        <w:t>a</w:t>
      </w:r>
      <w:r w:rsidRPr="00EB1AAB">
        <w:rPr>
          <w:rFonts w:ascii="Arial" w:eastAsia="Arial" w:hAnsi="Arial" w:cs="Arial"/>
          <w:spacing w:val="2"/>
        </w:rPr>
        <w:t xml:space="preserve"> f</w:t>
      </w:r>
      <w:r w:rsidRPr="00EB1AAB">
        <w:rPr>
          <w:rFonts w:ascii="Arial" w:eastAsia="Arial" w:hAnsi="Arial" w:cs="Arial"/>
          <w:spacing w:val="1"/>
        </w:rPr>
        <w:t>i</w:t>
      </w:r>
      <w:r w:rsidRPr="00EB1AAB">
        <w:rPr>
          <w:rFonts w:ascii="Arial" w:eastAsia="Arial" w:hAnsi="Arial" w:cs="Arial"/>
          <w:spacing w:val="-3"/>
        </w:rPr>
        <w:t>na</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spacing w:val="4"/>
        </w:rPr>
        <w:t>i</w:t>
      </w:r>
      <w:r w:rsidRPr="00EB1AAB">
        <w:rPr>
          <w:rFonts w:ascii="Arial" w:eastAsia="Arial" w:hAnsi="Arial" w:cs="Arial"/>
          <w:spacing w:val="-3"/>
        </w:rPr>
        <w:t>a</w:t>
      </w:r>
      <w:r w:rsidRPr="00EB1AAB">
        <w:rPr>
          <w:rFonts w:ascii="Arial" w:eastAsia="Arial" w:hAnsi="Arial" w:cs="Arial"/>
        </w:rPr>
        <w:t>l</w:t>
      </w:r>
      <w:r w:rsidRPr="00EB1AAB">
        <w:rPr>
          <w:rFonts w:ascii="Arial" w:eastAsia="Arial" w:hAnsi="Arial" w:cs="Arial"/>
          <w:spacing w:val="12"/>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spacing w:val="-2"/>
        </w:rPr>
        <w:t>u</w:t>
      </w:r>
      <w:r w:rsidRPr="00EB1AAB">
        <w:rPr>
          <w:rFonts w:ascii="Arial" w:eastAsia="Arial" w:hAnsi="Arial" w:cs="Arial"/>
          <w:spacing w:val="2"/>
        </w:rPr>
        <w:t>m</w:t>
      </w:r>
      <w:r w:rsidRPr="00EB1AAB">
        <w:rPr>
          <w:rFonts w:ascii="Arial" w:eastAsia="Arial" w:hAnsi="Arial" w:cs="Arial"/>
        </w:rPr>
        <w:t>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14"/>
        </w:rPr>
        <w:t xml:space="preserve"> </w:t>
      </w:r>
      <w:r w:rsidRPr="00EB1AAB">
        <w:rPr>
          <w:rFonts w:ascii="Arial" w:eastAsia="Arial" w:hAnsi="Arial" w:cs="Arial"/>
          <w:spacing w:val="1"/>
        </w:rPr>
        <w:t>i</w:t>
      </w:r>
      <w:r w:rsidRPr="00EB1AAB">
        <w:rPr>
          <w:rFonts w:ascii="Arial" w:eastAsia="Arial" w:hAnsi="Arial" w:cs="Arial"/>
        </w:rPr>
        <w:t>s</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spacing w:val="-3"/>
        </w:rPr>
        <w:t>a</w:t>
      </w:r>
      <w:r w:rsidRPr="00EB1AAB">
        <w:rPr>
          <w:rFonts w:ascii="Arial" w:eastAsia="Arial" w:hAnsi="Arial" w:cs="Arial"/>
          <w:spacing w:val="4"/>
        </w:rPr>
        <w:t>l</w:t>
      </w:r>
      <w:r w:rsidRPr="00EB1AAB">
        <w:rPr>
          <w:rFonts w:ascii="Arial" w:eastAsia="Arial" w:hAnsi="Arial" w:cs="Arial"/>
          <w:spacing w:val="-2"/>
        </w:rPr>
        <w:t>c</w:t>
      </w:r>
      <w:r w:rsidRPr="00EB1AAB">
        <w:rPr>
          <w:rFonts w:ascii="Arial" w:eastAsia="Arial" w:hAnsi="Arial" w:cs="Arial"/>
        </w:rPr>
        <w:t>u</w:t>
      </w:r>
      <w:r w:rsidRPr="00EB1AAB">
        <w:rPr>
          <w:rFonts w:ascii="Arial" w:eastAsia="Arial" w:hAnsi="Arial" w:cs="Arial"/>
          <w:spacing w:val="1"/>
        </w:rPr>
        <w:t>l</w:t>
      </w:r>
      <w:r w:rsidRPr="00EB1AAB">
        <w:rPr>
          <w:rFonts w:ascii="Arial" w:eastAsia="Arial" w:hAnsi="Arial" w:cs="Arial"/>
        </w:rPr>
        <w:t>ated</w:t>
      </w:r>
      <w:r w:rsidRPr="00EB1AAB">
        <w:rPr>
          <w:rFonts w:ascii="Arial" w:eastAsia="Arial" w:hAnsi="Arial" w:cs="Arial"/>
          <w:spacing w:val="11"/>
        </w:rPr>
        <w:t xml:space="preserve"> </w:t>
      </w:r>
      <w:r w:rsidRPr="00EB1AAB">
        <w:rPr>
          <w:rFonts w:ascii="Arial" w:eastAsia="Arial" w:hAnsi="Arial" w:cs="Arial"/>
        </w:rPr>
        <w:t>as</w:t>
      </w:r>
      <w:r w:rsidRPr="00EB1AAB">
        <w:rPr>
          <w:rFonts w:ascii="Arial" w:eastAsia="Arial" w:hAnsi="Arial" w:cs="Arial"/>
          <w:spacing w:val="3"/>
        </w:rPr>
        <w:t xml:space="preserve"> </w:t>
      </w:r>
      <w:r w:rsidRPr="00EB1AAB">
        <w:rPr>
          <w:rFonts w:ascii="Arial" w:eastAsia="Arial" w:hAnsi="Arial" w:cs="Arial"/>
        </w:rPr>
        <w:t>e</w:t>
      </w:r>
      <w:r w:rsidRPr="00EB1AAB">
        <w:rPr>
          <w:rFonts w:ascii="Arial" w:eastAsia="Arial" w:hAnsi="Arial" w:cs="Arial"/>
          <w:spacing w:val="2"/>
        </w:rPr>
        <w:t>q</w:t>
      </w:r>
      <w:r w:rsidRPr="00EB1AAB">
        <w:rPr>
          <w:rFonts w:ascii="Arial" w:eastAsia="Arial" w:hAnsi="Arial" w:cs="Arial"/>
          <w:spacing w:val="-3"/>
        </w:rPr>
        <w:t>u</w:t>
      </w:r>
      <w:r w:rsidRPr="00EB1AAB">
        <w:rPr>
          <w:rFonts w:ascii="Arial" w:eastAsia="Arial" w:hAnsi="Arial" w:cs="Arial"/>
        </w:rPr>
        <w:t>al</w:t>
      </w:r>
      <w:r w:rsidRPr="00EB1AAB">
        <w:rPr>
          <w:rFonts w:ascii="Arial" w:eastAsia="Arial" w:hAnsi="Arial" w:cs="Arial"/>
          <w:spacing w:val="10"/>
        </w:rPr>
        <w:t xml:space="preserve"> </w:t>
      </w:r>
      <w:r w:rsidRPr="00EB1AAB">
        <w:rPr>
          <w:rFonts w:ascii="Arial" w:eastAsia="Arial" w:hAnsi="Arial" w:cs="Arial"/>
          <w:w w:val="101"/>
        </w:rPr>
        <w:t xml:space="preserve">to </w:t>
      </w:r>
      <w:r w:rsidRPr="00EB1AAB">
        <w:rPr>
          <w:rFonts w:ascii="Arial" w:eastAsia="Arial" w:hAnsi="Arial" w:cs="Arial"/>
        </w:rPr>
        <w:t>the</w:t>
      </w:r>
      <w:r w:rsidRPr="00EB1AAB">
        <w:rPr>
          <w:rFonts w:ascii="Arial" w:eastAsia="Arial" w:hAnsi="Arial" w:cs="Arial"/>
          <w:spacing w:val="4"/>
        </w:rPr>
        <w:t xml:space="preserve"> </w:t>
      </w:r>
      <w:r w:rsidRPr="00EB1AAB">
        <w:rPr>
          <w:rFonts w:ascii="Arial" w:eastAsia="Arial" w:hAnsi="Arial" w:cs="Arial"/>
          <w:spacing w:val="1"/>
        </w:rPr>
        <w:t>l</w:t>
      </w:r>
      <w:r w:rsidRPr="00EB1AAB">
        <w:rPr>
          <w:rFonts w:ascii="Arial" w:eastAsia="Arial" w:hAnsi="Arial" w:cs="Arial"/>
          <w:spacing w:val="-2"/>
        </w:rPr>
        <w:t>i</w:t>
      </w:r>
      <w:r w:rsidRPr="00EB1AAB">
        <w:rPr>
          <w:rFonts w:ascii="Arial" w:eastAsia="Arial" w:hAnsi="Arial" w:cs="Arial"/>
          <w:spacing w:val="5"/>
        </w:rPr>
        <w:t>f</w:t>
      </w:r>
      <w:r w:rsidRPr="00EB1AAB">
        <w:rPr>
          <w:rFonts w:ascii="Arial" w:eastAsia="Arial" w:hAnsi="Arial" w:cs="Arial"/>
          <w:spacing w:val="-3"/>
        </w:rPr>
        <w:t>e</w:t>
      </w:r>
      <w:r w:rsidRPr="00EB1AAB">
        <w:rPr>
          <w:rFonts w:ascii="Arial" w:eastAsia="Arial" w:hAnsi="Arial" w:cs="Arial"/>
        </w:rPr>
        <w:t>t</w:t>
      </w:r>
      <w:r w:rsidRPr="00EB1AAB">
        <w:rPr>
          <w:rFonts w:ascii="Arial" w:eastAsia="Arial" w:hAnsi="Arial" w:cs="Arial"/>
          <w:spacing w:val="1"/>
        </w:rPr>
        <w:t>i</w:t>
      </w:r>
      <w:r w:rsidRPr="00EB1AAB">
        <w:rPr>
          <w:rFonts w:ascii="Arial" w:eastAsia="Arial" w:hAnsi="Arial" w:cs="Arial"/>
          <w:spacing w:val="2"/>
        </w:rPr>
        <w:t>m</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rPr>
        <w:t>e</w:t>
      </w:r>
      <w:r w:rsidRPr="00EB1AAB">
        <w:rPr>
          <w:rFonts w:ascii="Arial" w:eastAsia="Arial" w:hAnsi="Arial" w:cs="Arial"/>
          <w:spacing w:val="1"/>
        </w:rPr>
        <w:t>x</w:t>
      </w:r>
      <w:r w:rsidRPr="00EB1AAB">
        <w:rPr>
          <w:rFonts w:ascii="Arial" w:eastAsia="Arial" w:hAnsi="Arial" w:cs="Arial"/>
          <w:spacing w:val="-3"/>
        </w:rPr>
        <w:t>p</w:t>
      </w:r>
      <w:r w:rsidRPr="00EB1AAB">
        <w:rPr>
          <w:rFonts w:ascii="Arial" w:eastAsia="Arial" w:hAnsi="Arial" w:cs="Arial"/>
        </w:rPr>
        <w:t>e</w:t>
      </w:r>
      <w:r w:rsidRPr="00EB1AAB">
        <w:rPr>
          <w:rFonts w:ascii="Arial" w:eastAsia="Arial" w:hAnsi="Arial" w:cs="Arial"/>
          <w:spacing w:val="-2"/>
        </w:rPr>
        <w:t>c</w:t>
      </w:r>
      <w:r w:rsidRPr="00EB1AAB">
        <w:rPr>
          <w:rFonts w:ascii="Arial" w:eastAsia="Arial" w:hAnsi="Arial" w:cs="Arial"/>
          <w:spacing w:val="5"/>
        </w:rPr>
        <w:t>t</w:t>
      </w:r>
      <w:r w:rsidRPr="00EB1AAB">
        <w:rPr>
          <w:rFonts w:ascii="Arial" w:eastAsia="Arial" w:hAnsi="Arial" w:cs="Arial"/>
          <w:spacing w:val="-3"/>
        </w:rPr>
        <w:t>e</w:t>
      </w:r>
      <w:r w:rsidRPr="00EB1AAB">
        <w:rPr>
          <w:rFonts w:ascii="Arial" w:eastAsia="Arial" w:hAnsi="Arial" w:cs="Arial"/>
        </w:rPr>
        <w:t>d</w:t>
      </w:r>
      <w:r w:rsidRPr="00EB1AAB">
        <w:rPr>
          <w:rFonts w:ascii="Arial" w:eastAsia="Arial" w:hAnsi="Arial" w:cs="Arial"/>
          <w:spacing w:val="10"/>
        </w:rPr>
        <w:t xml:space="preserve"> </w:t>
      </w:r>
      <w:r w:rsidRPr="00EB1AAB">
        <w:rPr>
          <w:rFonts w:ascii="Arial" w:eastAsia="Arial" w:hAnsi="Arial" w:cs="Arial"/>
          <w:spacing w:val="1"/>
        </w:rPr>
        <w:t>cr</w:t>
      </w:r>
      <w:r w:rsidRPr="00EB1AAB">
        <w:rPr>
          <w:rFonts w:ascii="Arial" w:eastAsia="Arial" w:hAnsi="Arial" w:cs="Arial"/>
        </w:rPr>
        <w:t>ed</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9"/>
        </w:rPr>
        <w:t xml:space="preserve"> </w:t>
      </w:r>
      <w:r w:rsidRPr="00EB1AAB">
        <w:rPr>
          <w:rFonts w:ascii="Arial" w:eastAsia="Arial" w:hAnsi="Arial" w:cs="Arial"/>
          <w:spacing w:val="1"/>
        </w:rPr>
        <w:t>l</w:t>
      </w:r>
      <w:r w:rsidRPr="00EB1AAB">
        <w:rPr>
          <w:rFonts w:ascii="Arial" w:eastAsia="Arial" w:hAnsi="Arial" w:cs="Arial"/>
          <w:spacing w:val="-3"/>
        </w:rPr>
        <w:t>o</w:t>
      </w:r>
      <w:r w:rsidRPr="00EB1AAB">
        <w:rPr>
          <w:rFonts w:ascii="Arial" w:eastAsia="Arial" w:hAnsi="Arial" w:cs="Arial"/>
          <w:spacing w:val="1"/>
        </w:rPr>
        <w:t>ss</w:t>
      </w:r>
      <w:r w:rsidRPr="00EB1AAB">
        <w:rPr>
          <w:rFonts w:ascii="Arial" w:eastAsia="Arial" w:hAnsi="Arial" w:cs="Arial"/>
          <w:spacing w:val="-3"/>
        </w:rPr>
        <w:t>e</w:t>
      </w:r>
      <w:r w:rsidRPr="00EB1AAB">
        <w:rPr>
          <w:rFonts w:ascii="Arial" w:eastAsia="Arial" w:hAnsi="Arial" w:cs="Arial"/>
        </w:rPr>
        <w:t>s</w:t>
      </w:r>
      <w:r w:rsidRPr="00EB1AAB">
        <w:rPr>
          <w:rFonts w:ascii="Arial" w:eastAsia="Arial" w:hAnsi="Arial" w:cs="Arial"/>
          <w:spacing w:val="8"/>
        </w:rPr>
        <w:t xml:space="preserve"> </w:t>
      </w:r>
      <w:r w:rsidRPr="00EB1AAB">
        <w:rPr>
          <w:rFonts w:ascii="Arial" w:eastAsia="Arial" w:hAnsi="Arial" w:cs="Arial"/>
          <w:spacing w:val="1"/>
        </w:rPr>
        <w:t>i</w:t>
      </w:r>
      <w:r w:rsidRPr="00EB1AAB">
        <w:rPr>
          <w:rFonts w:ascii="Arial" w:eastAsia="Arial" w:hAnsi="Arial" w:cs="Arial"/>
        </w:rPr>
        <w:t>f</w:t>
      </w:r>
      <w:r w:rsidRPr="00EB1AAB">
        <w:rPr>
          <w:rFonts w:ascii="Arial" w:eastAsia="Arial" w:hAnsi="Arial" w:cs="Arial"/>
          <w:spacing w:val="2"/>
        </w:rPr>
        <w:t xml:space="preserve"> </w:t>
      </w:r>
      <w:r w:rsidRPr="00EB1AAB">
        <w:rPr>
          <w:rFonts w:ascii="Arial" w:eastAsia="Arial" w:hAnsi="Arial" w:cs="Arial"/>
        </w:rPr>
        <w:t>the</w:t>
      </w:r>
      <w:r w:rsidRPr="00EB1AAB">
        <w:rPr>
          <w:rFonts w:ascii="Arial" w:eastAsia="Arial" w:hAnsi="Arial" w:cs="Arial"/>
          <w:spacing w:val="3"/>
        </w:rPr>
        <w:t xml:space="preserve"> </w:t>
      </w:r>
      <w:r w:rsidRPr="00EB1AAB">
        <w:rPr>
          <w:rFonts w:ascii="Arial" w:eastAsia="Arial" w:hAnsi="Arial" w:cs="Arial"/>
          <w:spacing w:val="-1"/>
        </w:rPr>
        <w:t>c</w:t>
      </w:r>
      <w:r w:rsidRPr="00EB1AAB">
        <w:rPr>
          <w:rFonts w:ascii="Arial" w:eastAsia="Arial" w:hAnsi="Arial" w:cs="Arial"/>
          <w:spacing w:val="1"/>
        </w:rPr>
        <w:t>r</w:t>
      </w:r>
      <w:r w:rsidRPr="00EB1AAB">
        <w:rPr>
          <w:rFonts w:ascii="Arial" w:eastAsia="Arial" w:hAnsi="Arial" w:cs="Arial"/>
        </w:rPr>
        <w:t>ed</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spacing w:val="1"/>
        </w:rPr>
        <w:t>ris</w:t>
      </w:r>
      <w:r w:rsidRPr="00EB1AAB">
        <w:rPr>
          <w:rFonts w:ascii="Arial" w:eastAsia="Arial" w:hAnsi="Arial" w:cs="Arial"/>
        </w:rPr>
        <w:t>k</w:t>
      </w:r>
      <w:r w:rsidRPr="00EB1AAB">
        <w:rPr>
          <w:rFonts w:ascii="Arial" w:eastAsia="Arial" w:hAnsi="Arial" w:cs="Arial"/>
          <w:spacing w:val="6"/>
        </w:rPr>
        <w:t xml:space="preserve"> </w:t>
      </w:r>
      <w:r w:rsidRPr="00EB1AAB">
        <w:rPr>
          <w:rFonts w:ascii="Arial" w:eastAsia="Arial" w:hAnsi="Arial" w:cs="Arial"/>
          <w:spacing w:val="-3"/>
        </w:rPr>
        <w:t>o</w:t>
      </w:r>
      <w:r w:rsidRPr="00EB1AAB">
        <w:rPr>
          <w:rFonts w:ascii="Arial" w:eastAsia="Arial" w:hAnsi="Arial" w:cs="Arial"/>
        </w:rPr>
        <w:t>n</w:t>
      </w:r>
      <w:r w:rsidRPr="00EB1AAB">
        <w:rPr>
          <w:rFonts w:ascii="Arial" w:eastAsia="Arial" w:hAnsi="Arial" w:cs="Arial"/>
          <w:spacing w:val="4"/>
        </w:rPr>
        <w:t xml:space="preserve"> </w:t>
      </w:r>
      <w:r w:rsidRPr="00EB1AAB">
        <w:rPr>
          <w:rFonts w:ascii="Arial" w:eastAsia="Arial" w:hAnsi="Arial" w:cs="Arial"/>
        </w:rPr>
        <w:t>th</w:t>
      </w:r>
      <w:r w:rsidRPr="00EB1AAB">
        <w:rPr>
          <w:rFonts w:ascii="Arial" w:eastAsia="Arial" w:hAnsi="Arial" w:cs="Arial"/>
          <w:spacing w:val="-3"/>
        </w:rPr>
        <w:t>a</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spacing w:val="2"/>
        </w:rPr>
        <w:t>f</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3"/>
        </w:rPr>
        <w:t>a</w:t>
      </w:r>
      <w:r w:rsidRPr="00EB1AAB">
        <w:rPr>
          <w:rFonts w:ascii="Arial" w:eastAsia="Arial" w:hAnsi="Arial" w:cs="Arial"/>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0"/>
        </w:rPr>
        <w:t xml:space="preserve"> </w:t>
      </w:r>
      <w:r w:rsidRPr="00EB1AAB">
        <w:rPr>
          <w:rFonts w:ascii="Arial" w:eastAsia="Arial" w:hAnsi="Arial" w:cs="Arial"/>
          <w:spacing w:val="4"/>
        </w:rPr>
        <w:t>i</w:t>
      </w:r>
      <w:r w:rsidRPr="00EB1AAB">
        <w:rPr>
          <w:rFonts w:ascii="Arial" w:eastAsia="Arial" w:hAnsi="Arial" w:cs="Arial"/>
          <w:spacing w:val="-5"/>
        </w:rPr>
        <w:t>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um</w:t>
      </w:r>
      <w:r w:rsidRPr="00EB1AAB">
        <w:rPr>
          <w:rFonts w:ascii="Arial" w:eastAsia="Arial" w:hAnsi="Arial" w:cs="Arial"/>
          <w:spacing w:val="-1"/>
        </w:rPr>
        <w:t>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15"/>
        </w:rPr>
        <w:t xml:space="preserve"> </w:t>
      </w:r>
      <w:r w:rsidRPr="00EB1AAB">
        <w:rPr>
          <w:rFonts w:ascii="Arial" w:eastAsia="Arial" w:hAnsi="Arial" w:cs="Arial"/>
          <w:spacing w:val="2"/>
          <w:w w:val="101"/>
        </w:rPr>
        <w:t>h</w:t>
      </w:r>
      <w:r w:rsidRPr="00EB1AAB">
        <w:rPr>
          <w:rFonts w:ascii="Arial" w:eastAsia="Arial" w:hAnsi="Arial" w:cs="Arial"/>
          <w:spacing w:val="-3"/>
          <w:w w:val="101"/>
        </w:rPr>
        <w:t>a</w:t>
      </w:r>
      <w:r w:rsidRPr="00EB1AAB">
        <w:rPr>
          <w:rFonts w:ascii="Arial" w:eastAsia="Arial" w:hAnsi="Arial" w:cs="Arial"/>
          <w:w w:val="101"/>
        </w:rPr>
        <w:t xml:space="preserve">s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c</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rPr>
        <w:t>a</w:t>
      </w:r>
      <w:r w:rsidRPr="00EB1AAB">
        <w:rPr>
          <w:rFonts w:ascii="Arial" w:eastAsia="Arial" w:hAnsi="Arial" w:cs="Arial"/>
          <w:spacing w:val="1"/>
        </w:rPr>
        <w:t>s</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11"/>
        </w:rPr>
        <w:t xml:space="preserve"> </w:t>
      </w:r>
      <w:r w:rsidRPr="00EB1AAB">
        <w:rPr>
          <w:rFonts w:ascii="Arial" w:eastAsia="Arial" w:hAnsi="Arial" w:cs="Arial"/>
          <w:spacing w:val="-2"/>
        </w:rPr>
        <w:t>s</w:t>
      </w:r>
      <w:r w:rsidRPr="00EB1AAB">
        <w:rPr>
          <w:rFonts w:ascii="Arial" w:eastAsia="Arial" w:hAnsi="Arial" w:cs="Arial"/>
          <w:spacing w:val="4"/>
        </w:rPr>
        <w:t>i</w:t>
      </w:r>
      <w:r w:rsidRPr="00EB1AAB">
        <w:rPr>
          <w:rFonts w:ascii="Arial" w:eastAsia="Arial" w:hAnsi="Arial" w:cs="Arial"/>
          <w:spacing w:val="-3"/>
        </w:rPr>
        <w:t>g</w:t>
      </w:r>
      <w:r w:rsidRPr="00EB1AAB">
        <w:rPr>
          <w:rFonts w:ascii="Arial" w:eastAsia="Arial" w:hAnsi="Arial" w:cs="Arial"/>
        </w:rPr>
        <w:t>n</w:t>
      </w:r>
      <w:r w:rsidRPr="00EB1AAB">
        <w:rPr>
          <w:rFonts w:ascii="Arial" w:eastAsia="Arial" w:hAnsi="Arial" w:cs="Arial"/>
          <w:spacing w:val="1"/>
        </w:rPr>
        <w:t>i</w:t>
      </w:r>
      <w:r w:rsidRPr="00EB1AAB">
        <w:rPr>
          <w:rFonts w:ascii="Arial" w:eastAsia="Arial" w:hAnsi="Arial" w:cs="Arial"/>
        </w:rPr>
        <w:t>f</w:t>
      </w:r>
      <w:r w:rsidRPr="00EB1AAB">
        <w:rPr>
          <w:rFonts w:ascii="Arial" w:eastAsia="Arial" w:hAnsi="Arial" w:cs="Arial"/>
          <w:spacing w:val="4"/>
        </w:rPr>
        <w:t>i</w:t>
      </w:r>
      <w:r w:rsidRPr="00EB1AAB">
        <w:rPr>
          <w:rFonts w:ascii="Arial" w:eastAsia="Arial" w:hAnsi="Arial" w:cs="Arial"/>
          <w:spacing w:val="1"/>
        </w:rPr>
        <w:t>c</w:t>
      </w:r>
      <w:r w:rsidRPr="00EB1AAB">
        <w:rPr>
          <w:rFonts w:ascii="Arial" w:eastAsia="Arial" w:hAnsi="Arial" w:cs="Arial"/>
          <w:spacing w:val="-3"/>
        </w:rPr>
        <w:t>a</w:t>
      </w:r>
      <w:r w:rsidRPr="00EB1AAB">
        <w:rPr>
          <w:rFonts w:ascii="Arial" w:eastAsia="Arial" w:hAnsi="Arial" w:cs="Arial"/>
        </w:rPr>
        <w:t>nt</w:t>
      </w:r>
      <w:r w:rsidRPr="00EB1AAB">
        <w:rPr>
          <w:rFonts w:ascii="Arial" w:eastAsia="Arial" w:hAnsi="Arial" w:cs="Arial"/>
          <w:spacing w:val="1"/>
        </w:rPr>
        <w:t>l</w:t>
      </w:r>
      <w:r w:rsidRPr="00EB1AAB">
        <w:rPr>
          <w:rFonts w:ascii="Arial" w:eastAsia="Arial" w:hAnsi="Arial" w:cs="Arial"/>
        </w:rPr>
        <w:t>y</w:t>
      </w:r>
      <w:r w:rsidRPr="00EB1AAB">
        <w:rPr>
          <w:rFonts w:ascii="Arial" w:eastAsia="Arial" w:hAnsi="Arial" w:cs="Arial"/>
          <w:spacing w:val="12"/>
        </w:rPr>
        <w:t xml:space="preserve"> </w:t>
      </w:r>
      <w:r w:rsidRPr="00EB1AAB">
        <w:rPr>
          <w:rFonts w:ascii="Arial" w:eastAsia="Arial" w:hAnsi="Arial" w:cs="Arial"/>
          <w:spacing w:val="1"/>
        </w:rPr>
        <w:t>si</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spacing w:val="3"/>
        </w:rPr>
        <w:t>i</w:t>
      </w:r>
      <w:r w:rsidRPr="00EB1AAB">
        <w:rPr>
          <w:rFonts w:ascii="Arial" w:eastAsia="Arial" w:hAnsi="Arial" w:cs="Arial"/>
          <w:spacing w:val="-3"/>
        </w:rPr>
        <w:t>t</w:t>
      </w:r>
      <w:r w:rsidRPr="00EB1AAB">
        <w:rPr>
          <w:rFonts w:ascii="Arial" w:eastAsia="Arial" w:hAnsi="Arial" w:cs="Arial"/>
          <w:spacing w:val="1"/>
        </w:rPr>
        <w:t>i</w:t>
      </w:r>
      <w:r w:rsidRPr="00EB1AAB">
        <w:rPr>
          <w:rFonts w:ascii="Arial" w:eastAsia="Arial" w:hAnsi="Arial" w:cs="Arial"/>
        </w:rPr>
        <w:t>al</w:t>
      </w:r>
      <w:r w:rsidRPr="00EB1AAB">
        <w:rPr>
          <w:rFonts w:ascii="Arial" w:eastAsia="Arial" w:hAnsi="Arial" w:cs="Arial"/>
          <w:spacing w:val="7"/>
        </w:rPr>
        <w:t xml:space="preserve"> </w:t>
      </w:r>
      <w:r w:rsidRPr="00EB1AAB">
        <w:rPr>
          <w:rFonts w:ascii="Arial" w:eastAsia="Arial" w:hAnsi="Arial" w:cs="Arial"/>
          <w:spacing w:val="2"/>
          <w:w w:val="101"/>
        </w:rPr>
        <w:t>r</w:t>
      </w:r>
      <w:r w:rsidRPr="00EB1AAB">
        <w:rPr>
          <w:rFonts w:ascii="Arial" w:eastAsia="Arial" w:hAnsi="Arial" w:cs="Arial"/>
          <w:spacing w:val="-3"/>
          <w:w w:val="101"/>
        </w:rPr>
        <w:t>e</w:t>
      </w:r>
      <w:r w:rsidRPr="00EB1AAB">
        <w:rPr>
          <w:rFonts w:ascii="Arial" w:eastAsia="Arial" w:hAnsi="Arial" w:cs="Arial"/>
          <w:spacing w:val="1"/>
          <w:w w:val="101"/>
        </w:rPr>
        <w:t>c</w:t>
      </w:r>
      <w:r w:rsidRPr="00EB1AAB">
        <w:rPr>
          <w:rFonts w:ascii="Arial" w:eastAsia="Arial" w:hAnsi="Arial" w:cs="Arial"/>
          <w:spacing w:val="-2"/>
          <w:w w:val="101"/>
        </w:rPr>
        <w:t>o</w:t>
      </w:r>
      <w:r w:rsidRPr="00EB1AAB">
        <w:rPr>
          <w:rFonts w:ascii="Arial" w:eastAsia="Arial" w:hAnsi="Arial" w:cs="Arial"/>
          <w:spacing w:val="2"/>
          <w:w w:val="101"/>
        </w:rPr>
        <w:t>g</w:t>
      </w:r>
      <w:r w:rsidRPr="00EB1AAB">
        <w:rPr>
          <w:rFonts w:ascii="Arial" w:eastAsia="Arial" w:hAnsi="Arial" w:cs="Arial"/>
          <w:spacing w:val="-3"/>
          <w:w w:val="101"/>
        </w:rPr>
        <w:t>n</w:t>
      </w:r>
      <w:r w:rsidRPr="00EB1AAB">
        <w:rPr>
          <w:rFonts w:ascii="Arial" w:eastAsia="Arial" w:hAnsi="Arial" w:cs="Arial"/>
          <w:spacing w:val="4"/>
          <w:w w:val="101"/>
        </w:rPr>
        <w:t>i</w:t>
      </w:r>
      <w:r w:rsidRPr="00EB1AAB">
        <w:rPr>
          <w:rFonts w:ascii="Arial" w:eastAsia="Arial" w:hAnsi="Arial" w:cs="Arial"/>
          <w:w w:val="101"/>
        </w:rPr>
        <w:t>t</w:t>
      </w:r>
      <w:r w:rsidRPr="00EB1AAB">
        <w:rPr>
          <w:rFonts w:ascii="Arial" w:eastAsia="Arial" w:hAnsi="Arial" w:cs="Arial"/>
          <w:spacing w:val="1"/>
          <w:w w:val="101"/>
        </w:rPr>
        <w:t>i</w:t>
      </w:r>
      <w:r w:rsidRPr="00EB1AAB">
        <w:rPr>
          <w:rFonts w:ascii="Arial" w:eastAsia="Arial" w:hAnsi="Arial" w:cs="Arial"/>
          <w:w w:val="101"/>
        </w:rPr>
        <w:t>o</w:t>
      </w:r>
      <w:r w:rsidRPr="00EB1AAB">
        <w:rPr>
          <w:rFonts w:ascii="Arial" w:eastAsia="Arial" w:hAnsi="Arial" w:cs="Arial"/>
          <w:spacing w:val="-3"/>
          <w:w w:val="101"/>
        </w:rPr>
        <w:t>n</w:t>
      </w:r>
      <w:r w:rsidRPr="00EB1AAB">
        <w:rPr>
          <w:rFonts w:ascii="Arial" w:eastAsia="Arial" w:hAnsi="Arial" w:cs="Arial"/>
          <w:w w:val="101"/>
        </w:rPr>
        <w:t>.</w:t>
      </w:r>
    </w:p>
    <w:p w14:paraId="59E613D0" w14:textId="77777777" w:rsidR="00655E4C" w:rsidRPr="00EB1AAB" w:rsidRDefault="00655E4C" w:rsidP="006F1659">
      <w:pPr>
        <w:spacing w:before="9" w:line="360" w:lineRule="auto"/>
        <w:rPr>
          <w:rFonts w:ascii="Arial" w:hAnsi="Arial" w:cs="Arial"/>
        </w:rPr>
      </w:pPr>
    </w:p>
    <w:p w14:paraId="6A93049A" w14:textId="77777777" w:rsidR="00655E4C" w:rsidRPr="00EB1AAB" w:rsidRDefault="00655E4C" w:rsidP="006F1659">
      <w:pPr>
        <w:spacing w:line="360" w:lineRule="auto"/>
        <w:ind w:right="103"/>
        <w:rPr>
          <w:rFonts w:ascii="Arial" w:eastAsia="Arial" w:hAnsi="Arial" w:cs="Arial"/>
          <w:w w:val="101"/>
        </w:rPr>
      </w:pPr>
      <w:r w:rsidRPr="00EB1AAB">
        <w:rPr>
          <w:rFonts w:ascii="Arial" w:eastAsia="Arial" w:hAnsi="Arial" w:cs="Arial"/>
        </w:rPr>
        <w:t>If</w:t>
      </w:r>
      <w:r w:rsidRPr="00EB1AAB">
        <w:rPr>
          <w:rFonts w:ascii="Arial" w:eastAsia="Arial" w:hAnsi="Arial" w:cs="Arial"/>
          <w:spacing w:val="5"/>
        </w:rPr>
        <w:t xml:space="preserve"> </w:t>
      </w:r>
      <w:r w:rsidRPr="00EB1AAB">
        <w:rPr>
          <w:rFonts w:ascii="Arial" w:eastAsia="Arial" w:hAnsi="Arial" w:cs="Arial"/>
          <w:spacing w:val="-3"/>
        </w:rPr>
        <w:t>a</w:t>
      </w:r>
      <w:r w:rsidRPr="00EB1AAB">
        <w:rPr>
          <w:rFonts w:ascii="Arial" w:eastAsia="Arial" w:hAnsi="Arial" w:cs="Arial"/>
        </w:rPr>
        <w:t>t</w:t>
      </w:r>
      <w:r w:rsidRPr="00EB1AAB">
        <w:rPr>
          <w:rFonts w:ascii="Arial" w:eastAsia="Arial" w:hAnsi="Arial" w:cs="Arial"/>
          <w:spacing w:val="8"/>
        </w:rPr>
        <w:t xml:space="preserve"> the </w:t>
      </w:r>
      <w:r w:rsidRPr="00EB1AAB">
        <w:rPr>
          <w:rFonts w:ascii="Arial" w:eastAsia="Arial" w:hAnsi="Arial" w:cs="Arial"/>
          <w:spacing w:val="-4"/>
        </w:rPr>
        <w:t>y</w:t>
      </w:r>
      <w:r w:rsidRPr="00EB1AAB">
        <w:rPr>
          <w:rFonts w:ascii="Arial" w:eastAsia="Arial" w:hAnsi="Arial" w:cs="Arial"/>
        </w:rPr>
        <w:t>e</w:t>
      </w:r>
      <w:r w:rsidRPr="00EB1AAB">
        <w:rPr>
          <w:rFonts w:ascii="Arial" w:eastAsia="Arial" w:hAnsi="Arial" w:cs="Arial"/>
          <w:spacing w:val="-1"/>
        </w:rPr>
        <w:t>a</w:t>
      </w:r>
      <w:r w:rsidRPr="00EB1AAB">
        <w:rPr>
          <w:rFonts w:ascii="Arial" w:eastAsia="Arial" w:hAnsi="Arial" w:cs="Arial"/>
        </w:rPr>
        <w:t>r</w:t>
      </w:r>
      <w:r w:rsidRPr="00EB1AAB">
        <w:rPr>
          <w:rFonts w:ascii="Arial" w:eastAsia="Arial" w:hAnsi="Arial" w:cs="Arial"/>
          <w:spacing w:val="4"/>
        </w:rPr>
        <w:t xml:space="preserve"> </w:t>
      </w:r>
      <w:r w:rsidRPr="00EB1AAB">
        <w:rPr>
          <w:rFonts w:ascii="Arial" w:eastAsia="Arial" w:hAnsi="Arial" w:cs="Arial"/>
        </w:rPr>
        <w:t>e</w:t>
      </w:r>
      <w:r w:rsidRPr="00EB1AAB">
        <w:rPr>
          <w:rFonts w:ascii="Arial" w:eastAsia="Arial" w:hAnsi="Arial" w:cs="Arial"/>
          <w:spacing w:val="2"/>
        </w:rPr>
        <w:t>n</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rPr>
        <w:t>the</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spacing w:val="-1"/>
        </w:rPr>
        <w:t>r</w:t>
      </w:r>
      <w:r w:rsidRPr="00EB1AAB">
        <w:rPr>
          <w:rFonts w:ascii="Arial" w:eastAsia="Arial" w:hAnsi="Arial" w:cs="Arial"/>
          <w:spacing w:val="2"/>
        </w:rPr>
        <w:t>e</w:t>
      </w:r>
      <w:r w:rsidRPr="00EB1AAB">
        <w:rPr>
          <w:rFonts w:ascii="Arial" w:eastAsia="Arial" w:hAnsi="Arial" w:cs="Arial"/>
          <w:spacing w:val="-2"/>
        </w:rPr>
        <w:t>d</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9"/>
        </w:rPr>
        <w:t xml:space="preserve"> </w:t>
      </w:r>
      <w:r w:rsidRPr="00EB1AAB">
        <w:rPr>
          <w:rFonts w:ascii="Arial" w:eastAsia="Arial" w:hAnsi="Arial" w:cs="Arial"/>
          <w:spacing w:val="-1"/>
        </w:rPr>
        <w:t>r</w:t>
      </w:r>
      <w:r w:rsidRPr="00EB1AAB">
        <w:rPr>
          <w:rFonts w:ascii="Arial" w:eastAsia="Arial" w:hAnsi="Arial" w:cs="Arial"/>
          <w:spacing w:val="1"/>
        </w:rPr>
        <w:t>is</w:t>
      </w:r>
      <w:r w:rsidRPr="00EB1AAB">
        <w:rPr>
          <w:rFonts w:ascii="Arial" w:eastAsia="Arial" w:hAnsi="Arial" w:cs="Arial"/>
        </w:rPr>
        <w:t>k</w:t>
      </w:r>
      <w:r w:rsidRPr="00EB1AAB">
        <w:rPr>
          <w:rFonts w:ascii="Arial" w:eastAsia="Arial" w:hAnsi="Arial" w:cs="Arial"/>
          <w:spacing w:val="6"/>
        </w:rPr>
        <w:t xml:space="preserve"> </w:t>
      </w:r>
      <w:r w:rsidRPr="00EB1AAB">
        <w:rPr>
          <w:rFonts w:ascii="Arial" w:eastAsia="Arial" w:hAnsi="Arial" w:cs="Arial"/>
        </w:rPr>
        <w:t>h</w:t>
      </w:r>
      <w:r w:rsidRPr="00EB1AAB">
        <w:rPr>
          <w:rFonts w:ascii="Arial" w:eastAsia="Arial" w:hAnsi="Arial" w:cs="Arial"/>
          <w:spacing w:val="-3"/>
        </w:rPr>
        <w:t>a</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rPr>
        <w:t>n</w:t>
      </w:r>
      <w:r w:rsidRPr="00EB1AAB">
        <w:rPr>
          <w:rFonts w:ascii="Arial" w:eastAsia="Arial" w:hAnsi="Arial" w:cs="Arial"/>
          <w:spacing w:val="-3"/>
        </w:rPr>
        <w:t>o</w:t>
      </w:r>
      <w:r w:rsidRPr="00EB1AAB">
        <w:rPr>
          <w:rFonts w:ascii="Arial" w:eastAsia="Arial" w:hAnsi="Arial" w:cs="Arial"/>
        </w:rPr>
        <w:t>t</w:t>
      </w:r>
      <w:r w:rsidRPr="00EB1AAB">
        <w:rPr>
          <w:rFonts w:ascii="Arial" w:eastAsia="Arial" w:hAnsi="Arial" w:cs="Arial"/>
          <w:spacing w:val="6"/>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3"/>
        </w:rPr>
        <w:t>a</w:t>
      </w:r>
      <w:r w:rsidRPr="00EB1AAB">
        <w:rPr>
          <w:rFonts w:ascii="Arial" w:eastAsia="Arial" w:hAnsi="Arial" w:cs="Arial"/>
          <w:spacing w:val="3"/>
        </w:rPr>
        <w:t>s</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11"/>
        </w:rPr>
        <w:t xml:space="preserve"> </w:t>
      </w:r>
      <w:r w:rsidRPr="00EB1AAB">
        <w:rPr>
          <w:rFonts w:ascii="Arial" w:eastAsia="Arial" w:hAnsi="Arial" w:cs="Arial"/>
          <w:spacing w:val="1"/>
        </w:rPr>
        <w:t>si</w:t>
      </w:r>
      <w:r w:rsidRPr="00EB1AAB">
        <w:rPr>
          <w:rFonts w:ascii="Arial" w:eastAsia="Arial" w:hAnsi="Arial" w:cs="Arial"/>
        </w:rPr>
        <w:t>g</w:t>
      </w:r>
      <w:r w:rsidRPr="00EB1AAB">
        <w:rPr>
          <w:rFonts w:ascii="Arial" w:eastAsia="Arial" w:hAnsi="Arial" w:cs="Arial"/>
          <w:spacing w:val="-3"/>
        </w:rPr>
        <w:t>n</w:t>
      </w:r>
      <w:r w:rsidRPr="00EB1AAB">
        <w:rPr>
          <w:rFonts w:ascii="Arial" w:eastAsia="Arial" w:hAnsi="Arial" w:cs="Arial"/>
          <w:spacing w:val="1"/>
        </w:rPr>
        <w:t>i</w:t>
      </w:r>
      <w:r w:rsidRPr="00EB1AAB">
        <w:rPr>
          <w:rFonts w:ascii="Arial" w:eastAsia="Arial" w:hAnsi="Arial" w:cs="Arial"/>
        </w:rPr>
        <w:t>f</w:t>
      </w:r>
      <w:r w:rsidRPr="00EB1AAB">
        <w:rPr>
          <w:rFonts w:ascii="Arial" w:eastAsia="Arial" w:hAnsi="Arial" w:cs="Arial"/>
          <w:spacing w:val="1"/>
        </w:rPr>
        <w:t>ic</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6"/>
        </w:rPr>
        <w:t>l</w:t>
      </w:r>
      <w:r w:rsidRPr="00EB1AAB">
        <w:rPr>
          <w:rFonts w:ascii="Arial" w:eastAsia="Arial" w:hAnsi="Arial" w:cs="Arial"/>
        </w:rPr>
        <w:t>y</w:t>
      </w:r>
      <w:r w:rsidRPr="00EB1AAB">
        <w:rPr>
          <w:rFonts w:ascii="Arial" w:eastAsia="Arial" w:hAnsi="Arial" w:cs="Arial"/>
          <w:spacing w:val="9"/>
        </w:rPr>
        <w:t xml:space="preserve"> </w:t>
      </w:r>
      <w:r w:rsidRPr="00EB1AAB">
        <w:rPr>
          <w:rFonts w:ascii="Arial" w:eastAsia="Arial" w:hAnsi="Arial" w:cs="Arial"/>
          <w:spacing w:val="-2"/>
        </w:rPr>
        <w:t>s</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spacing w:val="1"/>
        </w:rPr>
        <w:t>c</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spacing w:val="1"/>
        </w:rPr>
        <w:t>i</w:t>
      </w:r>
      <w:r w:rsidRPr="00EB1AAB">
        <w:rPr>
          <w:rFonts w:ascii="Arial" w:eastAsia="Arial" w:hAnsi="Arial" w:cs="Arial"/>
        </w:rPr>
        <w:t>nit</w:t>
      </w:r>
      <w:r w:rsidRPr="00EB1AAB">
        <w:rPr>
          <w:rFonts w:ascii="Arial" w:eastAsia="Arial" w:hAnsi="Arial" w:cs="Arial"/>
          <w:spacing w:val="1"/>
        </w:rPr>
        <w:t>i</w:t>
      </w:r>
      <w:r w:rsidRPr="00EB1AAB">
        <w:rPr>
          <w:rFonts w:ascii="Arial" w:eastAsia="Arial" w:hAnsi="Arial" w:cs="Arial"/>
          <w:spacing w:val="-3"/>
        </w:rPr>
        <w:t>a</w:t>
      </w:r>
      <w:r w:rsidRPr="00EB1AAB">
        <w:rPr>
          <w:rFonts w:ascii="Arial" w:eastAsia="Arial" w:hAnsi="Arial" w:cs="Arial"/>
        </w:rPr>
        <w:t>l</w:t>
      </w:r>
      <w:r w:rsidRPr="00EB1AAB">
        <w:rPr>
          <w:rFonts w:ascii="Arial" w:eastAsia="Arial" w:hAnsi="Arial" w:cs="Arial"/>
          <w:spacing w:val="9"/>
        </w:rPr>
        <w:t xml:space="preserve"> </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2"/>
        </w:rPr>
        <w:t>c</w:t>
      </w:r>
      <w:r w:rsidRPr="00EB1AAB">
        <w:rPr>
          <w:rFonts w:ascii="Arial" w:eastAsia="Arial" w:hAnsi="Arial" w:cs="Arial"/>
          <w:spacing w:val="2"/>
        </w:rPr>
        <w:t>o</w:t>
      </w:r>
      <w:r w:rsidRPr="00EB1AAB">
        <w:rPr>
          <w:rFonts w:ascii="Arial" w:eastAsia="Arial" w:hAnsi="Arial" w:cs="Arial"/>
          <w:spacing w:val="-3"/>
        </w:rPr>
        <w:t>g</w:t>
      </w:r>
      <w:r w:rsidRPr="00EB1AAB">
        <w:rPr>
          <w:rFonts w:ascii="Arial" w:eastAsia="Arial" w:hAnsi="Arial" w:cs="Arial"/>
        </w:rPr>
        <w:t>n</w:t>
      </w:r>
      <w:r w:rsidRPr="00EB1AAB">
        <w:rPr>
          <w:rFonts w:ascii="Arial" w:eastAsia="Arial" w:hAnsi="Arial" w:cs="Arial"/>
          <w:spacing w:val="1"/>
        </w:rPr>
        <w:t>i</w:t>
      </w:r>
      <w:r w:rsidRPr="00EB1AAB">
        <w:rPr>
          <w:rFonts w:ascii="Arial" w:eastAsia="Arial" w:hAnsi="Arial" w:cs="Arial"/>
          <w:spacing w:val="2"/>
        </w:rPr>
        <w:t>t</w:t>
      </w:r>
      <w:r w:rsidRPr="00EB1AAB">
        <w:rPr>
          <w:rFonts w:ascii="Arial" w:eastAsia="Arial" w:hAnsi="Arial" w:cs="Arial"/>
          <w:spacing w:val="1"/>
        </w:rPr>
        <w:t>i</w:t>
      </w:r>
      <w:r w:rsidRPr="00EB1AAB">
        <w:rPr>
          <w:rFonts w:ascii="Arial" w:eastAsia="Arial" w:hAnsi="Arial" w:cs="Arial"/>
          <w:spacing w:val="-3"/>
        </w:rPr>
        <w:t>o</w:t>
      </w:r>
      <w:r w:rsidRPr="00EB1AAB">
        <w:rPr>
          <w:rFonts w:ascii="Arial" w:eastAsia="Arial" w:hAnsi="Arial" w:cs="Arial"/>
        </w:rPr>
        <w:t>n</w:t>
      </w:r>
      <w:r w:rsidRPr="00EB1AAB">
        <w:rPr>
          <w:rFonts w:ascii="Arial" w:eastAsia="Arial" w:hAnsi="Arial" w:cs="Arial"/>
          <w:spacing w:val="12"/>
        </w:rPr>
        <w:t xml:space="preserve"> </w:t>
      </w:r>
      <w:r w:rsidRPr="00EB1AAB">
        <w:rPr>
          <w:rFonts w:ascii="Arial" w:eastAsia="Arial" w:hAnsi="Arial" w:cs="Arial"/>
          <w:w w:val="101"/>
        </w:rPr>
        <w:t>t</w:t>
      </w:r>
      <w:r w:rsidRPr="00EB1AAB">
        <w:rPr>
          <w:rFonts w:ascii="Arial" w:eastAsia="Arial" w:hAnsi="Arial" w:cs="Arial"/>
          <w:spacing w:val="2"/>
          <w:w w:val="101"/>
        </w:rPr>
        <w:t>h</w:t>
      </w:r>
      <w:r w:rsidRPr="00EB1AAB">
        <w:rPr>
          <w:rFonts w:ascii="Arial" w:eastAsia="Arial" w:hAnsi="Arial" w:cs="Arial"/>
          <w:w w:val="101"/>
        </w:rPr>
        <w:t xml:space="preserve">e </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1"/>
        </w:rPr>
        <w:t>s</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spacing w:val="-3"/>
        </w:rPr>
        <w:t>a</w:t>
      </w:r>
      <w:r w:rsidRPr="00EB1AAB">
        <w:rPr>
          <w:rFonts w:ascii="Arial" w:eastAsia="Arial" w:hAnsi="Arial" w:cs="Arial"/>
          <w:spacing w:val="1"/>
        </w:rPr>
        <w:t>l</w:t>
      </w:r>
      <w:r w:rsidRPr="00EB1AAB">
        <w:rPr>
          <w:rFonts w:ascii="Arial" w:eastAsia="Arial" w:hAnsi="Arial" w:cs="Arial"/>
          <w:spacing w:val="4"/>
        </w:rPr>
        <w:t>l</w:t>
      </w:r>
      <w:r w:rsidRPr="00EB1AAB">
        <w:rPr>
          <w:rFonts w:ascii="Arial" w:eastAsia="Arial" w:hAnsi="Arial" w:cs="Arial"/>
          <w:spacing w:val="-3"/>
        </w:rPr>
        <w:t>ow</w:t>
      </w:r>
      <w:r w:rsidRPr="00EB1AAB">
        <w:rPr>
          <w:rFonts w:ascii="Arial" w:eastAsia="Arial" w:hAnsi="Arial" w:cs="Arial"/>
          <w:spacing w:val="2"/>
        </w:rPr>
        <w:t>a</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rPr>
        <w:t>e</w:t>
      </w:r>
      <w:r w:rsidRPr="00EB1AAB">
        <w:rPr>
          <w:rFonts w:ascii="Arial" w:eastAsia="Arial" w:hAnsi="Arial" w:cs="Arial"/>
          <w:spacing w:val="11"/>
        </w:rPr>
        <w:t xml:space="preserve"> </w:t>
      </w:r>
      <w:r w:rsidRPr="00EB1AAB">
        <w:rPr>
          <w:rFonts w:ascii="Arial" w:eastAsia="Arial" w:hAnsi="Arial" w:cs="Arial"/>
          <w:spacing w:val="1"/>
        </w:rPr>
        <w:t>i</w:t>
      </w:r>
      <w:r w:rsidRPr="00EB1AAB">
        <w:rPr>
          <w:rFonts w:ascii="Arial" w:eastAsia="Arial" w:hAnsi="Arial" w:cs="Arial"/>
        </w:rPr>
        <w:t>s</w:t>
      </w:r>
      <w:r w:rsidRPr="00EB1AAB">
        <w:rPr>
          <w:rFonts w:ascii="Arial" w:eastAsia="Arial" w:hAnsi="Arial" w:cs="Arial"/>
          <w:spacing w:val="4"/>
        </w:rPr>
        <w:t xml:space="preserve"> </w:t>
      </w:r>
      <w:r w:rsidRPr="00EB1AAB">
        <w:rPr>
          <w:rFonts w:ascii="Arial" w:eastAsia="Arial" w:hAnsi="Arial" w:cs="Arial"/>
          <w:spacing w:val="2"/>
        </w:rPr>
        <w:t>m</w:t>
      </w:r>
      <w:r w:rsidRPr="00EB1AAB">
        <w:rPr>
          <w:rFonts w:ascii="Arial" w:eastAsia="Arial" w:hAnsi="Arial" w:cs="Arial"/>
        </w:rPr>
        <w:t>e</w:t>
      </w:r>
      <w:r w:rsidRPr="00EB1AAB">
        <w:rPr>
          <w:rFonts w:ascii="Arial" w:eastAsia="Arial" w:hAnsi="Arial" w:cs="Arial"/>
          <w:spacing w:val="-2"/>
        </w:rPr>
        <w:t>a</w:t>
      </w:r>
      <w:r w:rsidRPr="00EB1AAB">
        <w:rPr>
          <w:rFonts w:ascii="Arial" w:eastAsia="Arial" w:hAnsi="Arial" w:cs="Arial"/>
          <w:spacing w:val="3"/>
        </w:rPr>
        <w:t>s</w:t>
      </w:r>
      <w:r w:rsidRPr="00EB1AAB">
        <w:rPr>
          <w:rFonts w:ascii="Arial" w:eastAsia="Arial" w:hAnsi="Arial" w:cs="Arial"/>
          <w:spacing w:val="-3"/>
        </w:rPr>
        <w:t>u</w:t>
      </w:r>
      <w:r w:rsidRPr="00EB1AAB">
        <w:rPr>
          <w:rFonts w:ascii="Arial" w:eastAsia="Arial" w:hAnsi="Arial" w:cs="Arial"/>
          <w:spacing w:val="1"/>
        </w:rPr>
        <w:t>r</w:t>
      </w:r>
      <w:r w:rsidRPr="00EB1AAB">
        <w:rPr>
          <w:rFonts w:ascii="Arial" w:eastAsia="Arial" w:hAnsi="Arial" w:cs="Arial"/>
        </w:rPr>
        <w:t>ed</w:t>
      </w:r>
      <w:r w:rsidRPr="00EB1AAB">
        <w:rPr>
          <w:rFonts w:ascii="Arial" w:eastAsia="Arial" w:hAnsi="Arial" w:cs="Arial"/>
          <w:spacing w:val="13"/>
        </w:rPr>
        <w:t xml:space="preserve"> </w:t>
      </w:r>
      <w:r w:rsidRPr="00EB1AAB">
        <w:rPr>
          <w:rFonts w:ascii="Arial" w:eastAsia="Arial" w:hAnsi="Arial" w:cs="Arial"/>
          <w:spacing w:val="-2"/>
        </w:rPr>
        <w:t>a</w:t>
      </w:r>
      <w:r w:rsidRPr="00EB1AAB">
        <w:rPr>
          <w:rFonts w:ascii="Arial" w:eastAsia="Arial" w:hAnsi="Arial" w:cs="Arial"/>
        </w:rPr>
        <w:t>t</w:t>
      </w:r>
      <w:r w:rsidRPr="00EB1AAB">
        <w:rPr>
          <w:rFonts w:ascii="Arial" w:eastAsia="Arial" w:hAnsi="Arial" w:cs="Arial"/>
          <w:spacing w:val="5"/>
        </w:rPr>
        <w:t xml:space="preserve"> </w:t>
      </w:r>
      <w:r w:rsidRPr="00EB1AAB">
        <w:rPr>
          <w:rFonts w:ascii="Arial" w:eastAsia="Arial" w:hAnsi="Arial" w:cs="Arial"/>
          <w:spacing w:val="-3"/>
        </w:rPr>
        <w:t>a</w:t>
      </w:r>
      <w:r w:rsidRPr="00EB1AAB">
        <w:rPr>
          <w:rFonts w:ascii="Arial" w:eastAsia="Arial" w:hAnsi="Arial" w:cs="Arial"/>
        </w:rPr>
        <w:t>n</w:t>
      </w:r>
      <w:r w:rsidRPr="00EB1AAB">
        <w:rPr>
          <w:rFonts w:ascii="Arial" w:eastAsia="Arial" w:hAnsi="Arial" w:cs="Arial"/>
          <w:spacing w:val="6"/>
        </w:rPr>
        <w:t xml:space="preserve"> </w:t>
      </w:r>
      <w:r w:rsidRPr="00EB1AAB">
        <w:rPr>
          <w:rFonts w:ascii="Arial" w:eastAsia="Arial" w:hAnsi="Arial" w:cs="Arial"/>
        </w:rPr>
        <w:t>amount</w:t>
      </w:r>
      <w:r w:rsidRPr="00EB1AAB">
        <w:rPr>
          <w:rFonts w:ascii="Arial" w:eastAsia="Arial" w:hAnsi="Arial" w:cs="Arial"/>
          <w:spacing w:val="9"/>
        </w:rPr>
        <w:t xml:space="preserve"> </w:t>
      </w:r>
      <w:r w:rsidRPr="00EB1AAB">
        <w:rPr>
          <w:rFonts w:ascii="Arial" w:eastAsia="Arial" w:hAnsi="Arial" w:cs="Arial"/>
          <w:spacing w:val="2"/>
        </w:rPr>
        <w:t>e</w:t>
      </w:r>
      <w:r w:rsidRPr="00EB1AAB">
        <w:rPr>
          <w:rFonts w:ascii="Arial" w:eastAsia="Arial" w:hAnsi="Arial" w:cs="Arial"/>
          <w:spacing w:val="-3"/>
        </w:rPr>
        <w:t>q</w:t>
      </w:r>
      <w:r w:rsidRPr="00EB1AAB">
        <w:rPr>
          <w:rFonts w:ascii="Arial" w:eastAsia="Arial" w:hAnsi="Arial" w:cs="Arial"/>
          <w:spacing w:val="2"/>
        </w:rPr>
        <w:t>u</w:t>
      </w:r>
      <w:r w:rsidRPr="00EB1AAB">
        <w:rPr>
          <w:rFonts w:ascii="Arial" w:eastAsia="Arial" w:hAnsi="Arial" w:cs="Arial"/>
          <w:spacing w:val="-2"/>
        </w:rPr>
        <w:t>a</w:t>
      </w:r>
      <w:r w:rsidRPr="00EB1AAB">
        <w:rPr>
          <w:rFonts w:ascii="Arial" w:eastAsia="Arial" w:hAnsi="Arial" w:cs="Arial"/>
        </w:rPr>
        <w:t>l</w:t>
      </w:r>
      <w:r w:rsidRPr="00EB1AAB">
        <w:rPr>
          <w:rFonts w:ascii="Arial" w:eastAsia="Arial" w:hAnsi="Arial" w:cs="Arial"/>
          <w:spacing w:val="10"/>
        </w:rPr>
        <w:t xml:space="preserve"> </w:t>
      </w:r>
      <w:r w:rsidRPr="00EB1AAB">
        <w:rPr>
          <w:rFonts w:ascii="Arial" w:eastAsia="Arial" w:hAnsi="Arial" w:cs="Arial"/>
        </w:rPr>
        <w:t>to</w:t>
      </w:r>
      <w:r w:rsidRPr="00EB1AAB">
        <w:rPr>
          <w:rFonts w:ascii="Arial" w:eastAsia="Arial" w:hAnsi="Arial" w:cs="Arial"/>
          <w:spacing w:val="3"/>
        </w:rPr>
        <w:t xml:space="preserve"> </w:t>
      </w:r>
      <w:r w:rsidRPr="00EB1AAB">
        <w:rPr>
          <w:rFonts w:ascii="Arial" w:eastAsia="Arial" w:hAnsi="Arial" w:cs="Arial"/>
        </w:rPr>
        <w:t>t</w:t>
      </w:r>
      <w:r w:rsidRPr="00EB1AAB">
        <w:rPr>
          <w:rFonts w:ascii="Arial" w:eastAsia="Arial" w:hAnsi="Arial" w:cs="Arial"/>
          <w:spacing w:val="-3"/>
        </w:rPr>
        <w:t>w</w:t>
      </w:r>
      <w:r w:rsidRPr="00EB1AAB">
        <w:rPr>
          <w:rFonts w:ascii="Arial" w:eastAsia="Arial" w:hAnsi="Arial" w:cs="Arial"/>
        </w:rPr>
        <w:t>e</w:t>
      </w:r>
      <w:r w:rsidRPr="00EB1AAB">
        <w:rPr>
          <w:rFonts w:ascii="Arial" w:eastAsia="Arial" w:hAnsi="Arial" w:cs="Arial"/>
          <w:spacing w:val="1"/>
        </w:rPr>
        <w:t>lv</w:t>
      </w:r>
      <w:r w:rsidRPr="00EB1AAB">
        <w:rPr>
          <w:rFonts w:ascii="Arial" w:eastAsia="Arial" w:hAnsi="Arial" w:cs="Arial"/>
        </w:rPr>
        <w:t>e</w:t>
      </w:r>
      <w:r w:rsidRPr="00EB1AAB">
        <w:rPr>
          <w:rFonts w:ascii="Arial" w:eastAsia="Arial" w:hAnsi="Arial" w:cs="Arial"/>
          <w:spacing w:val="8"/>
        </w:rPr>
        <w:t xml:space="preserve"> </w:t>
      </w:r>
      <w:r w:rsidRPr="00EB1AAB">
        <w:rPr>
          <w:rFonts w:ascii="Arial" w:eastAsia="Arial" w:hAnsi="Arial" w:cs="Arial"/>
          <w:spacing w:val="2"/>
        </w:rPr>
        <w:t>m</w:t>
      </w:r>
      <w:r w:rsidRPr="00EB1AAB">
        <w:rPr>
          <w:rFonts w:ascii="Arial" w:eastAsia="Arial" w:hAnsi="Arial" w:cs="Arial"/>
        </w:rPr>
        <w:t>onth</w:t>
      </w:r>
      <w:r w:rsidRPr="00EB1AAB">
        <w:rPr>
          <w:rFonts w:ascii="Arial" w:eastAsia="Arial" w:hAnsi="Arial" w:cs="Arial"/>
          <w:spacing w:val="7"/>
        </w:rPr>
        <w:t xml:space="preserve"> </w:t>
      </w:r>
      <w:r w:rsidRPr="00EB1AAB">
        <w:rPr>
          <w:rFonts w:ascii="Arial" w:eastAsia="Arial" w:hAnsi="Arial" w:cs="Arial"/>
          <w:spacing w:val="-2"/>
        </w:rPr>
        <w:t>e</w:t>
      </w:r>
      <w:r w:rsidRPr="00EB1AAB">
        <w:rPr>
          <w:rFonts w:ascii="Arial" w:eastAsia="Arial" w:hAnsi="Arial" w:cs="Arial"/>
          <w:spacing w:val="3"/>
        </w:rPr>
        <w:t>x</w:t>
      </w:r>
      <w:r w:rsidRPr="00EB1AAB">
        <w:rPr>
          <w:rFonts w:ascii="Arial" w:eastAsia="Arial" w:hAnsi="Arial" w:cs="Arial"/>
        </w:rPr>
        <w:t>pe</w:t>
      </w:r>
      <w:r w:rsidRPr="00EB1AAB">
        <w:rPr>
          <w:rFonts w:ascii="Arial" w:eastAsia="Arial" w:hAnsi="Arial" w:cs="Arial"/>
          <w:spacing w:val="1"/>
        </w:rPr>
        <w:t>c</w:t>
      </w:r>
      <w:r w:rsidRPr="00EB1AAB">
        <w:rPr>
          <w:rFonts w:ascii="Arial" w:eastAsia="Arial" w:hAnsi="Arial" w:cs="Arial"/>
        </w:rPr>
        <w:t>ted</w:t>
      </w:r>
      <w:r w:rsidRPr="00EB1AAB">
        <w:rPr>
          <w:rFonts w:ascii="Arial" w:eastAsia="Arial" w:hAnsi="Arial" w:cs="Arial"/>
          <w:spacing w:val="10"/>
        </w:rPr>
        <w:t xml:space="preserve"> </w:t>
      </w:r>
      <w:r w:rsidRPr="00EB1AAB">
        <w:rPr>
          <w:rFonts w:ascii="Arial" w:eastAsia="Arial" w:hAnsi="Arial" w:cs="Arial"/>
          <w:spacing w:val="1"/>
        </w:rPr>
        <w:t>c</w:t>
      </w:r>
      <w:r w:rsidRPr="00EB1AAB">
        <w:rPr>
          <w:rFonts w:ascii="Arial" w:eastAsia="Arial" w:hAnsi="Arial" w:cs="Arial"/>
          <w:spacing w:val="-1"/>
        </w:rPr>
        <w:t>r</w:t>
      </w:r>
      <w:r w:rsidRPr="00EB1AAB">
        <w:rPr>
          <w:rFonts w:ascii="Arial" w:eastAsia="Arial" w:hAnsi="Arial" w:cs="Arial"/>
        </w:rPr>
        <w:t>ed</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10"/>
        </w:rPr>
        <w:t xml:space="preserve"> </w:t>
      </w:r>
      <w:r w:rsidRPr="00EB1AAB">
        <w:rPr>
          <w:rFonts w:ascii="Arial" w:eastAsia="Arial" w:hAnsi="Arial" w:cs="Arial"/>
          <w:spacing w:val="1"/>
          <w:w w:val="101"/>
        </w:rPr>
        <w:t>l</w:t>
      </w:r>
      <w:r w:rsidRPr="00EB1AAB">
        <w:rPr>
          <w:rFonts w:ascii="Arial" w:eastAsia="Arial" w:hAnsi="Arial" w:cs="Arial"/>
          <w:w w:val="101"/>
        </w:rPr>
        <w:t>o</w:t>
      </w:r>
      <w:r w:rsidRPr="00EB1AAB">
        <w:rPr>
          <w:rFonts w:ascii="Arial" w:eastAsia="Arial" w:hAnsi="Arial" w:cs="Arial"/>
          <w:spacing w:val="-1"/>
          <w:w w:val="101"/>
        </w:rPr>
        <w:t>s</w:t>
      </w:r>
      <w:r w:rsidRPr="00EB1AAB">
        <w:rPr>
          <w:rFonts w:ascii="Arial" w:eastAsia="Arial" w:hAnsi="Arial" w:cs="Arial"/>
          <w:spacing w:val="1"/>
          <w:w w:val="101"/>
        </w:rPr>
        <w:t>s</w:t>
      </w:r>
      <w:r w:rsidRPr="00EB1AAB">
        <w:rPr>
          <w:rFonts w:ascii="Arial" w:eastAsia="Arial" w:hAnsi="Arial" w:cs="Arial"/>
          <w:w w:val="101"/>
        </w:rPr>
        <w:t>e</w:t>
      </w:r>
      <w:r w:rsidRPr="00EB1AAB">
        <w:rPr>
          <w:rFonts w:ascii="Arial" w:eastAsia="Arial" w:hAnsi="Arial" w:cs="Arial"/>
          <w:spacing w:val="-2"/>
          <w:w w:val="101"/>
        </w:rPr>
        <w:t>s</w:t>
      </w:r>
      <w:r w:rsidRPr="00EB1AAB">
        <w:rPr>
          <w:rFonts w:ascii="Arial" w:eastAsia="Arial" w:hAnsi="Arial" w:cs="Arial"/>
          <w:w w:val="101"/>
        </w:rPr>
        <w:t>.</w:t>
      </w:r>
    </w:p>
    <w:p w14:paraId="25247352" w14:textId="77777777" w:rsidR="00655E4C" w:rsidRPr="00EB1AAB" w:rsidRDefault="00655E4C" w:rsidP="006F1659">
      <w:pPr>
        <w:spacing w:line="360" w:lineRule="auto"/>
        <w:ind w:right="103"/>
        <w:rPr>
          <w:rFonts w:ascii="Arial" w:eastAsia="Arial" w:hAnsi="Arial" w:cs="Arial"/>
          <w:w w:val="101"/>
        </w:rPr>
      </w:pPr>
    </w:p>
    <w:p w14:paraId="04B47BFB" w14:textId="77777777" w:rsidR="00655E4C" w:rsidRPr="00EB1AAB" w:rsidRDefault="00655E4C" w:rsidP="006F1659">
      <w:pPr>
        <w:spacing w:line="360" w:lineRule="auto"/>
        <w:ind w:right="76"/>
        <w:rPr>
          <w:rFonts w:ascii="Arial" w:eastAsia="Arial" w:hAnsi="Arial" w:cs="Arial"/>
        </w:rPr>
      </w:pPr>
      <w:r w:rsidRPr="00EB1AAB">
        <w:rPr>
          <w:rFonts w:ascii="Arial" w:eastAsia="Arial" w:hAnsi="Arial" w:cs="Arial"/>
          <w:spacing w:val="8"/>
        </w:rPr>
        <w:t>W</w:t>
      </w:r>
      <w:r w:rsidRPr="00EB1AAB">
        <w:rPr>
          <w:rFonts w:ascii="Arial" w:eastAsia="Arial" w:hAnsi="Arial" w:cs="Arial"/>
          <w:spacing w:val="-3"/>
        </w:rPr>
        <w:t>h</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5"/>
        </w:rPr>
        <w:t xml:space="preserve"> </w:t>
      </w:r>
      <w:r w:rsidRPr="00EB1AAB">
        <w:rPr>
          <w:rFonts w:ascii="Arial" w:eastAsia="Arial" w:hAnsi="Arial" w:cs="Arial"/>
          <w:spacing w:val="2"/>
        </w:rPr>
        <w:t>t</w:t>
      </w:r>
      <w:r w:rsidRPr="00EB1AAB">
        <w:rPr>
          <w:rFonts w:ascii="Arial" w:eastAsia="Arial" w:hAnsi="Arial" w:cs="Arial"/>
          <w:spacing w:val="-3"/>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rPr>
        <w:t>f</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0"/>
        </w:rPr>
        <w:t xml:space="preserve"> </w:t>
      </w:r>
      <w:r w:rsidRPr="00EB1AAB">
        <w:rPr>
          <w:rFonts w:ascii="Arial" w:eastAsia="Arial" w:hAnsi="Arial" w:cs="Arial"/>
        </w:rPr>
        <w:t>a</w:t>
      </w:r>
      <w:r w:rsidRPr="00EB1AAB">
        <w:rPr>
          <w:rFonts w:ascii="Arial" w:eastAsia="Arial" w:hAnsi="Arial" w:cs="Arial"/>
          <w:spacing w:val="1"/>
        </w:rPr>
        <w:t>s</w:t>
      </w:r>
      <w:r w:rsidRPr="00EB1AAB">
        <w:rPr>
          <w:rFonts w:ascii="Arial" w:eastAsia="Arial" w:hAnsi="Arial" w:cs="Arial"/>
          <w:spacing w:val="-2"/>
        </w:rPr>
        <w:t>s</w:t>
      </w:r>
      <w:r w:rsidRPr="00EB1AAB">
        <w:rPr>
          <w:rFonts w:ascii="Arial" w:eastAsia="Arial" w:hAnsi="Arial" w:cs="Arial"/>
        </w:rPr>
        <w:t>et</w:t>
      </w:r>
      <w:r w:rsidRPr="00EB1AAB">
        <w:rPr>
          <w:rFonts w:ascii="Arial" w:eastAsia="Arial" w:hAnsi="Arial" w:cs="Arial"/>
          <w:spacing w:val="6"/>
        </w:rPr>
        <w:t xml:space="preserve"> </w:t>
      </w:r>
      <w:r w:rsidRPr="00EB1AAB">
        <w:rPr>
          <w:rFonts w:ascii="Arial" w:eastAsia="Arial" w:hAnsi="Arial" w:cs="Arial"/>
        </w:rPr>
        <w:t>was</w:t>
      </w:r>
      <w:r w:rsidRPr="00EB1AAB">
        <w:rPr>
          <w:rFonts w:ascii="Arial" w:eastAsia="Arial" w:hAnsi="Arial" w:cs="Arial"/>
          <w:spacing w:val="6"/>
        </w:rPr>
        <w:t xml:space="preserve"> </w:t>
      </w:r>
      <w:r w:rsidRPr="00EB1AAB">
        <w:rPr>
          <w:rFonts w:ascii="Arial" w:eastAsia="Arial" w:hAnsi="Arial" w:cs="Arial"/>
        </w:rPr>
        <w:t>t</w:t>
      </w:r>
      <w:r w:rsidRPr="00EB1AAB">
        <w:rPr>
          <w:rFonts w:ascii="Arial" w:eastAsia="Arial" w:hAnsi="Arial" w:cs="Arial"/>
          <w:spacing w:val="2"/>
        </w:rPr>
        <w:t>r</w:t>
      </w:r>
      <w:r w:rsidRPr="00EB1AAB">
        <w:rPr>
          <w:rFonts w:ascii="Arial" w:eastAsia="Arial" w:hAnsi="Arial" w:cs="Arial"/>
        </w:rPr>
        <w:t>e</w:t>
      </w:r>
      <w:r w:rsidRPr="00EB1AAB">
        <w:rPr>
          <w:rFonts w:ascii="Arial" w:eastAsia="Arial" w:hAnsi="Arial" w:cs="Arial"/>
          <w:spacing w:val="-3"/>
        </w:rPr>
        <w:t>a</w:t>
      </w:r>
      <w:r w:rsidRPr="00EB1AAB">
        <w:rPr>
          <w:rFonts w:ascii="Arial" w:eastAsia="Arial" w:hAnsi="Arial" w:cs="Arial"/>
          <w:spacing w:val="5"/>
        </w:rPr>
        <w:t>t</w:t>
      </w:r>
      <w:r w:rsidRPr="00EB1AAB">
        <w:rPr>
          <w:rFonts w:ascii="Arial" w:eastAsia="Arial" w:hAnsi="Arial" w:cs="Arial"/>
          <w:spacing w:val="-3"/>
        </w:rPr>
        <w:t>e</w:t>
      </w:r>
      <w:r w:rsidRPr="00EB1AAB">
        <w:rPr>
          <w:rFonts w:ascii="Arial" w:eastAsia="Arial" w:hAnsi="Arial" w:cs="Arial"/>
        </w:rPr>
        <w:t>d</w:t>
      </w:r>
      <w:r w:rsidRPr="00EB1AAB">
        <w:rPr>
          <w:rFonts w:ascii="Arial" w:eastAsia="Arial" w:hAnsi="Arial" w:cs="Arial"/>
          <w:spacing w:val="10"/>
        </w:rPr>
        <w:t xml:space="preserve"> </w:t>
      </w:r>
      <w:r w:rsidRPr="00EB1AAB">
        <w:rPr>
          <w:rFonts w:ascii="Arial" w:eastAsia="Arial" w:hAnsi="Arial" w:cs="Arial"/>
          <w:spacing w:val="-2"/>
        </w:rPr>
        <w:t>a</w:t>
      </w:r>
      <w:r w:rsidRPr="00EB1AAB">
        <w:rPr>
          <w:rFonts w:ascii="Arial" w:eastAsia="Arial" w:hAnsi="Arial" w:cs="Arial"/>
        </w:rPr>
        <w:t>s</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rPr>
        <w:t>a</w:t>
      </w:r>
      <w:r w:rsidRPr="00EB1AAB">
        <w:rPr>
          <w:rFonts w:ascii="Arial" w:eastAsia="Arial" w:hAnsi="Arial" w:cs="Arial"/>
          <w:spacing w:val="-1"/>
        </w:rPr>
        <w:t>p</w:t>
      </w:r>
      <w:r w:rsidRPr="00EB1AAB">
        <w:rPr>
          <w:rFonts w:ascii="Arial" w:eastAsia="Arial" w:hAnsi="Arial" w:cs="Arial"/>
          <w:spacing w:val="1"/>
        </w:rPr>
        <w:t>i</w:t>
      </w:r>
      <w:r w:rsidRPr="00EB1AAB">
        <w:rPr>
          <w:rFonts w:ascii="Arial" w:eastAsia="Arial" w:hAnsi="Arial" w:cs="Arial"/>
          <w:spacing w:val="2"/>
        </w:rPr>
        <w:t>t</w:t>
      </w:r>
      <w:r w:rsidRPr="00EB1AAB">
        <w:rPr>
          <w:rFonts w:ascii="Arial" w:eastAsia="Arial" w:hAnsi="Arial" w:cs="Arial"/>
          <w:spacing w:val="-2"/>
        </w:rPr>
        <w:t>a</w:t>
      </w:r>
      <w:r w:rsidRPr="00EB1AAB">
        <w:rPr>
          <w:rFonts w:ascii="Arial" w:eastAsia="Arial" w:hAnsi="Arial" w:cs="Arial"/>
        </w:rPr>
        <w:t>l</w:t>
      </w:r>
      <w:r w:rsidRPr="00EB1AAB">
        <w:rPr>
          <w:rFonts w:ascii="Arial" w:eastAsia="Arial" w:hAnsi="Arial" w:cs="Arial"/>
          <w:spacing w:val="11"/>
        </w:rPr>
        <w:t xml:space="preserve"> </w:t>
      </w:r>
      <w:r w:rsidRPr="00EB1AAB">
        <w:rPr>
          <w:rFonts w:ascii="Arial" w:eastAsia="Arial" w:hAnsi="Arial" w:cs="Arial"/>
          <w:spacing w:val="-3"/>
        </w:rPr>
        <w:t>e</w:t>
      </w:r>
      <w:r w:rsidRPr="00EB1AAB">
        <w:rPr>
          <w:rFonts w:ascii="Arial" w:eastAsia="Arial" w:hAnsi="Arial" w:cs="Arial"/>
          <w:spacing w:val="1"/>
        </w:rPr>
        <w:t>x</w:t>
      </w:r>
      <w:r w:rsidRPr="00EB1AAB">
        <w:rPr>
          <w:rFonts w:ascii="Arial" w:eastAsia="Arial" w:hAnsi="Arial" w:cs="Arial"/>
        </w:rPr>
        <w:t>pe</w:t>
      </w:r>
      <w:r w:rsidRPr="00EB1AAB">
        <w:rPr>
          <w:rFonts w:ascii="Arial" w:eastAsia="Arial" w:hAnsi="Arial" w:cs="Arial"/>
          <w:spacing w:val="2"/>
        </w:rPr>
        <w:t>n</w:t>
      </w:r>
      <w:r w:rsidRPr="00EB1AAB">
        <w:rPr>
          <w:rFonts w:ascii="Arial" w:eastAsia="Arial" w:hAnsi="Arial" w:cs="Arial"/>
          <w:spacing w:val="-2"/>
        </w:rPr>
        <w:t>d</w:t>
      </w:r>
      <w:r w:rsidRPr="00EB1AAB">
        <w:rPr>
          <w:rFonts w:ascii="Arial" w:eastAsia="Arial" w:hAnsi="Arial" w:cs="Arial"/>
          <w:spacing w:val="1"/>
        </w:rPr>
        <w:t>i</w:t>
      </w:r>
      <w:r w:rsidRPr="00EB1AAB">
        <w:rPr>
          <w:rFonts w:ascii="Arial" w:eastAsia="Arial" w:hAnsi="Arial" w:cs="Arial"/>
          <w:spacing w:val="3"/>
        </w:rPr>
        <w:t>t</w:t>
      </w:r>
      <w:r w:rsidRPr="00EB1AAB">
        <w:rPr>
          <w:rFonts w:ascii="Arial" w:eastAsia="Arial" w:hAnsi="Arial" w:cs="Arial"/>
          <w:spacing w:val="-3"/>
        </w:rPr>
        <w:t>u</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13"/>
        </w:rPr>
        <w:t xml:space="preserve"> </w:t>
      </w:r>
      <w:r w:rsidRPr="00EB1AAB">
        <w:rPr>
          <w:rFonts w:ascii="Arial" w:eastAsia="Arial" w:hAnsi="Arial" w:cs="Arial"/>
          <w:spacing w:val="2"/>
        </w:rPr>
        <w:t>a</w:t>
      </w:r>
      <w:r w:rsidRPr="00EB1AAB">
        <w:rPr>
          <w:rFonts w:ascii="Arial" w:eastAsia="Arial" w:hAnsi="Arial" w:cs="Arial"/>
        </w:rPr>
        <w:t>ny</w:t>
      </w:r>
      <w:r w:rsidRPr="00EB1AAB">
        <w:rPr>
          <w:rFonts w:ascii="Arial" w:eastAsia="Arial" w:hAnsi="Arial" w:cs="Arial"/>
          <w:spacing w:val="3"/>
        </w:rPr>
        <w:t xml:space="preserve"> l</w:t>
      </w:r>
      <w:r w:rsidRPr="00EB1AAB">
        <w:rPr>
          <w:rFonts w:ascii="Arial" w:eastAsia="Arial" w:hAnsi="Arial" w:cs="Arial"/>
          <w:spacing w:val="-3"/>
        </w:rPr>
        <w:t>o</w:t>
      </w:r>
      <w:r w:rsidRPr="00EB1AAB">
        <w:rPr>
          <w:rFonts w:ascii="Arial" w:eastAsia="Arial" w:hAnsi="Arial" w:cs="Arial"/>
          <w:spacing w:val="3"/>
        </w:rPr>
        <w:t>s</w:t>
      </w:r>
      <w:r w:rsidRPr="00EB1AAB">
        <w:rPr>
          <w:rFonts w:ascii="Arial" w:eastAsia="Arial" w:hAnsi="Arial" w:cs="Arial"/>
          <w:spacing w:val="-1"/>
        </w:rPr>
        <w:t>s</w:t>
      </w:r>
      <w:r w:rsidRPr="00EB1AAB">
        <w:rPr>
          <w:rFonts w:ascii="Arial" w:eastAsia="Arial" w:hAnsi="Arial" w:cs="Arial"/>
        </w:rPr>
        <w:t>es</w:t>
      </w:r>
      <w:r w:rsidRPr="00EB1AAB">
        <w:rPr>
          <w:rFonts w:ascii="Arial" w:eastAsia="Arial" w:hAnsi="Arial" w:cs="Arial"/>
          <w:spacing w:val="10"/>
        </w:rPr>
        <w:t xml:space="preserve"> </w:t>
      </w:r>
      <w:r w:rsidRPr="00EB1AAB">
        <w:rPr>
          <w:rFonts w:ascii="Arial" w:eastAsia="Arial" w:hAnsi="Arial" w:cs="Arial"/>
          <w:spacing w:val="-3"/>
        </w:rPr>
        <w:t>w</w:t>
      </w:r>
      <w:r w:rsidRPr="00EB1AAB">
        <w:rPr>
          <w:rFonts w:ascii="Arial" w:eastAsia="Arial" w:hAnsi="Arial" w:cs="Arial"/>
          <w:spacing w:val="1"/>
        </w:rPr>
        <w:t>il</w:t>
      </w:r>
      <w:r w:rsidRPr="00EB1AAB">
        <w:rPr>
          <w:rFonts w:ascii="Arial" w:eastAsia="Arial" w:hAnsi="Arial" w:cs="Arial"/>
        </w:rPr>
        <w:t>l</w:t>
      </w:r>
      <w:r w:rsidRPr="00EB1AAB">
        <w:rPr>
          <w:rFonts w:ascii="Arial" w:eastAsia="Arial" w:hAnsi="Arial" w:cs="Arial"/>
          <w:spacing w:val="5"/>
        </w:rPr>
        <w:t xml:space="preserve"> </w:t>
      </w:r>
      <w:r w:rsidRPr="00EB1AAB">
        <w:rPr>
          <w:rFonts w:ascii="Arial" w:eastAsia="Arial" w:hAnsi="Arial" w:cs="Arial"/>
        </w:rPr>
        <w:t>be</w:t>
      </w:r>
      <w:r w:rsidRPr="00EB1AAB">
        <w:rPr>
          <w:rFonts w:ascii="Arial" w:eastAsia="Arial" w:hAnsi="Arial" w:cs="Arial"/>
          <w:spacing w:val="3"/>
        </w:rPr>
        <w:t xml:space="preserve"> </w:t>
      </w:r>
      <w:r w:rsidRPr="00EB1AAB">
        <w:rPr>
          <w:rFonts w:ascii="Arial" w:eastAsia="Arial" w:hAnsi="Arial" w:cs="Arial"/>
          <w:spacing w:val="-1"/>
          <w:w w:val="101"/>
        </w:rPr>
        <w:t>r</w:t>
      </w:r>
      <w:r w:rsidRPr="00EB1AAB">
        <w:rPr>
          <w:rFonts w:ascii="Arial" w:eastAsia="Arial" w:hAnsi="Arial" w:cs="Arial"/>
          <w:spacing w:val="-3"/>
          <w:w w:val="101"/>
        </w:rPr>
        <w:t>e</w:t>
      </w:r>
      <w:r w:rsidRPr="00EB1AAB">
        <w:rPr>
          <w:rFonts w:ascii="Arial" w:eastAsia="Arial" w:hAnsi="Arial" w:cs="Arial"/>
          <w:spacing w:val="3"/>
          <w:w w:val="101"/>
        </w:rPr>
        <w:t>v</w:t>
      </w:r>
      <w:r w:rsidRPr="00EB1AAB">
        <w:rPr>
          <w:rFonts w:ascii="Arial" w:eastAsia="Arial" w:hAnsi="Arial" w:cs="Arial"/>
          <w:spacing w:val="-3"/>
          <w:w w:val="101"/>
        </w:rPr>
        <w:t>e</w:t>
      </w:r>
      <w:r w:rsidRPr="00EB1AAB">
        <w:rPr>
          <w:rFonts w:ascii="Arial" w:eastAsia="Arial" w:hAnsi="Arial" w:cs="Arial"/>
          <w:spacing w:val="1"/>
          <w:w w:val="101"/>
        </w:rPr>
        <w:t>rs</w:t>
      </w:r>
      <w:r w:rsidRPr="00EB1AAB">
        <w:rPr>
          <w:rFonts w:ascii="Arial" w:eastAsia="Arial" w:hAnsi="Arial" w:cs="Arial"/>
          <w:w w:val="101"/>
        </w:rPr>
        <w:t xml:space="preserve">ed </w:t>
      </w:r>
      <w:r w:rsidRPr="00EB1AAB">
        <w:rPr>
          <w:rFonts w:ascii="Arial" w:eastAsia="Arial" w:hAnsi="Arial" w:cs="Arial"/>
          <w:spacing w:val="1"/>
        </w:rPr>
        <w:t>vi</w:t>
      </w:r>
      <w:r w:rsidRPr="00EB1AAB">
        <w:rPr>
          <w:rFonts w:ascii="Arial" w:eastAsia="Arial" w:hAnsi="Arial" w:cs="Arial"/>
        </w:rPr>
        <w:t>a</w:t>
      </w:r>
      <w:r w:rsidRPr="00EB1AAB">
        <w:rPr>
          <w:rFonts w:ascii="Arial" w:eastAsia="Arial" w:hAnsi="Arial" w:cs="Arial"/>
          <w:spacing w:val="4"/>
        </w:rPr>
        <w:t xml:space="preserve"> </w:t>
      </w:r>
      <w:r w:rsidRPr="00EB1AAB">
        <w:rPr>
          <w:rFonts w:ascii="Arial" w:eastAsia="Arial" w:hAnsi="Arial" w:cs="Arial"/>
        </w:rPr>
        <w:t>the</w:t>
      </w:r>
      <w:r w:rsidRPr="00EB1AAB">
        <w:rPr>
          <w:rFonts w:ascii="Arial" w:eastAsia="Arial" w:hAnsi="Arial" w:cs="Arial"/>
          <w:spacing w:val="1"/>
        </w:rPr>
        <w:t xml:space="preserve"> </w:t>
      </w:r>
      <w:r w:rsidRPr="00EB1AAB">
        <w:rPr>
          <w:rFonts w:ascii="Arial" w:eastAsia="Arial" w:hAnsi="Arial" w:cs="Arial"/>
        </w:rPr>
        <w:t>M</w:t>
      </w:r>
      <w:r w:rsidRPr="00EB1AAB">
        <w:rPr>
          <w:rFonts w:ascii="Arial" w:eastAsia="Arial" w:hAnsi="Arial" w:cs="Arial"/>
          <w:spacing w:val="-1"/>
        </w:rPr>
        <w:t>o</w:t>
      </w:r>
      <w:r w:rsidRPr="00EB1AAB">
        <w:rPr>
          <w:rFonts w:ascii="Arial" w:eastAsia="Arial" w:hAnsi="Arial" w:cs="Arial"/>
          <w:spacing w:val="1"/>
        </w:rPr>
        <w:t>v</w:t>
      </w:r>
      <w:r w:rsidRPr="00EB1AAB">
        <w:rPr>
          <w:rFonts w:ascii="Arial" w:eastAsia="Arial" w:hAnsi="Arial" w:cs="Arial"/>
        </w:rPr>
        <w:t>e</w:t>
      </w:r>
      <w:r w:rsidRPr="00EB1AAB">
        <w:rPr>
          <w:rFonts w:ascii="Arial" w:eastAsia="Arial" w:hAnsi="Arial" w:cs="Arial"/>
          <w:spacing w:val="2"/>
        </w:rPr>
        <w:t>m</w:t>
      </w:r>
      <w:r w:rsidRPr="00EB1AAB">
        <w:rPr>
          <w:rFonts w:ascii="Arial" w:eastAsia="Arial" w:hAnsi="Arial" w:cs="Arial"/>
        </w:rPr>
        <w:t>ent</w:t>
      </w:r>
      <w:r w:rsidRPr="00EB1AAB">
        <w:rPr>
          <w:rFonts w:ascii="Arial" w:eastAsia="Arial" w:hAnsi="Arial" w:cs="Arial"/>
          <w:spacing w:val="12"/>
        </w:rPr>
        <w:t xml:space="preserve"> </w:t>
      </w:r>
      <w:r w:rsidRPr="00EB1AAB">
        <w:rPr>
          <w:rFonts w:ascii="Arial" w:eastAsia="Arial" w:hAnsi="Arial" w:cs="Arial"/>
          <w:spacing w:val="3"/>
        </w:rPr>
        <w:t>i</w:t>
      </w:r>
      <w:r w:rsidRPr="00EB1AAB">
        <w:rPr>
          <w:rFonts w:ascii="Arial" w:eastAsia="Arial" w:hAnsi="Arial" w:cs="Arial"/>
        </w:rPr>
        <w:t>n</w:t>
      </w:r>
      <w:r w:rsidRPr="00EB1AAB">
        <w:rPr>
          <w:rFonts w:ascii="Arial" w:eastAsia="Arial" w:hAnsi="Arial" w:cs="Arial"/>
          <w:spacing w:val="1"/>
        </w:rPr>
        <w:t xml:space="preserve"> </w:t>
      </w:r>
      <w:r w:rsidRPr="00EB1AAB">
        <w:rPr>
          <w:rFonts w:ascii="Arial" w:eastAsia="Arial" w:hAnsi="Arial" w:cs="Arial"/>
          <w:spacing w:val="2"/>
        </w:rPr>
        <w:t>R</w:t>
      </w:r>
      <w:r w:rsidRPr="00EB1AAB">
        <w:rPr>
          <w:rFonts w:ascii="Arial" w:eastAsia="Arial" w:hAnsi="Arial" w:cs="Arial"/>
          <w:spacing w:val="-3"/>
        </w:rPr>
        <w:t>e</w:t>
      </w:r>
      <w:r w:rsidRPr="00EB1AAB">
        <w:rPr>
          <w:rFonts w:ascii="Arial" w:eastAsia="Arial" w:hAnsi="Arial" w:cs="Arial"/>
          <w:spacing w:val="1"/>
        </w:rPr>
        <w:t>s</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1"/>
        </w:rPr>
        <w:t>v</w:t>
      </w:r>
      <w:r w:rsidRPr="00EB1AAB">
        <w:rPr>
          <w:rFonts w:ascii="Arial" w:eastAsia="Arial" w:hAnsi="Arial" w:cs="Arial"/>
        </w:rPr>
        <w:t>es</w:t>
      </w:r>
      <w:r w:rsidRPr="00EB1AAB">
        <w:rPr>
          <w:rFonts w:ascii="Arial" w:eastAsia="Arial" w:hAnsi="Arial" w:cs="Arial"/>
          <w:spacing w:val="9"/>
        </w:rPr>
        <w:t xml:space="preserve"> </w:t>
      </w:r>
      <w:r w:rsidRPr="00EB1AAB">
        <w:rPr>
          <w:rFonts w:ascii="Arial" w:eastAsia="Arial" w:hAnsi="Arial" w:cs="Arial"/>
          <w:spacing w:val="3"/>
        </w:rPr>
        <w:t>S</w:t>
      </w:r>
      <w:r w:rsidRPr="00EB1AAB">
        <w:rPr>
          <w:rFonts w:ascii="Arial" w:eastAsia="Arial" w:hAnsi="Arial" w:cs="Arial"/>
        </w:rPr>
        <w:t>t</w:t>
      </w:r>
      <w:r w:rsidRPr="00EB1AAB">
        <w:rPr>
          <w:rFonts w:ascii="Arial" w:eastAsia="Arial" w:hAnsi="Arial" w:cs="Arial"/>
          <w:spacing w:val="-2"/>
        </w:rPr>
        <w:t>a</w:t>
      </w:r>
      <w:r w:rsidRPr="00EB1AAB">
        <w:rPr>
          <w:rFonts w:ascii="Arial" w:eastAsia="Arial" w:hAnsi="Arial" w:cs="Arial"/>
          <w:spacing w:val="2"/>
        </w:rPr>
        <w:t>t</w:t>
      </w:r>
      <w:r w:rsidRPr="00EB1AAB">
        <w:rPr>
          <w:rFonts w:ascii="Arial" w:eastAsia="Arial" w:hAnsi="Arial" w:cs="Arial"/>
          <w:spacing w:val="-3"/>
        </w:rPr>
        <w:t>e</w:t>
      </w:r>
      <w:r w:rsidRPr="00EB1AAB">
        <w:rPr>
          <w:rFonts w:ascii="Arial" w:eastAsia="Arial" w:hAnsi="Arial" w:cs="Arial"/>
          <w:spacing w:val="2"/>
        </w:rPr>
        <w:t>me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13"/>
        </w:rPr>
        <w:t xml:space="preserve"> </w:t>
      </w:r>
      <w:r w:rsidRPr="00EB1AAB">
        <w:rPr>
          <w:rFonts w:ascii="Arial" w:eastAsia="Arial" w:hAnsi="Arial" w:cs="Arial"/>
        </w:rPr>
        <w:t>to</w:t>
      </w:r>
      <w:r w:rsidRPr="00EB1AAB">
        <w:rPr>
          <w:rFonts w:ascii="Arial" w:eastAsia="Arial" w:hAnsi="Arial" w:cs="Arial"/>
          <w:spacing w:val="2"/>
        </w:rPr>
        <w:t xml:space="preserve"> 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2"/>
        </w:rPr>
        <w:t>C</w:t>
      </w:r>
      <w:r w:rsidRPr="00EB1AAB">
        <w:rPr>
          <w:rFonts w:ascii="Arial" w:eastAsia="Arial" w:hAnsi="Arial" w:cs="Arial"/>
        </w:rPr>
        <w:t>a</w:t>
      </w:r>
      <w:r w:rsidRPr="00EB1AAB">
        <w:rPr>
          <w:rFonts w:ascii="Arial" w:eastAsia="Arial" w:hAnsi="Arial" w:cs="Arial"/>
          <w:spacing w:val="-3"/>
        </w:rPr>
        <w:t>p</w:t>
      </w:r>
      <w:r w:rsidRPr="00EB1AAB">
        <w:rPr>
          <w:rFonts w:ascii="Arial" w:eastAsia="Arial" w:hAnsi="Arial" w:cs="Arial"/>
          <w:spacing w:val="4"/>
        </w:rPr>
        <w:t>i</w:t>
      </w:r>
      <w:r w:rsidRPr="00EB1AAB">
        <w:rPr>
          <w:rFonts w:ascii="Arial" w:eastAsia="Arial" w:hAnsi="Arial" w:cs="Arial"/>
        </w:rPr>
        <w:t>t</w:t>
      </w:r>
      <w:r w:rsidRPr="00EB1AAB">
        <w:rPr>
          <w:rFonts w:ascii="Arial" w:eastAsia="Arial" w:hAnsi="Arial" w:cs="Arial"/>
          <w:spacing w:val="-3"/>
        </w:rPr>
        <w:t>a</w:t>
      </w:r>
      <w:r w:rsidRPr="00EB1AAB">
        <w:rPr>
          <w:rFonts w:ascii="Arial" w:eastAsia="Arial" w:hAnsi="Arial" w:cs="Arial"/>
        </w:rPr>
        <w:t>l</w:t>
      </w:r>
      <w:r w:rsidRPr="00EB1AAB">
        <w:rPr>
          <w:rFonts w:ascii="Arial" w:eastAsia="Arial" w:hAnsi="Arial" w:cs="Arial"/>
          <w:spacing w:val="11"/>
        </w:rPr>
        <w:t xml:space="preserve"> </w:t>
      </w:r>
      <w:r w:rsidRPr="00EB1AAB">
        <w:rPr>
          <w:rFonts w:ascii="Arial" w:eastAsia="Arial" w:hAnsi="Arial" w:cs="Arial"/>
        </w:rPr>
        <w:t>Ad</w:t>
      </w:r>
      <w:r w:rsidRPr="00EB1AAB">
        <w:rPr>
          <w:rFonts w:ascii="Arial" w:eastAsia="Arial" w:hAnsi="Arial" w:cs="Arial"/>
          <w:spacing w:val="1"/>
        </w:rPr>
        <w:t>j</w:t>
      </w:r>
      <w:r w:rsidRPr="00EB1AAB">
        <w:rPr>
          <w:rFonts w:ascii="Arial" w:eastAsia="Arial" w:hAnsi="Arial" w:cs="Arial"/>
        </w:rPr>
        <w:t>u</w:t>
      </w:r>
      <w:r w:rsidRPr="00EB1AAB">
        <w:rPr>
          <w:rFonts w:ascii="Arial" w:eastAsia="Arial" w:hAnsi="Arial" w:cs="Arial"/>
          <w:spacing w:val="-2"/>
        </w:rPr>
        <w:t>s</w:t>
      </w:r>
      <w:r w:rsidRPr="00EB1AAB">
        <w:rPr>
          <w:rFonts w:ascii="Arial" w:eastAsia="Arial" w:hAnsi="Arial" w:cs="Arial"/>
          <w:spacing w:val="2"/>
        </w:rPr>
        <w:t>t</w:t>
      </w:r>
      <w:r w:rsidRPr="00EB1AAB">
        <w:rPr>
          <w:rFonts w:ascii="Arial" w:eastAsia="Arial" w:hAnsi="Arial" w:cs="Arial"/>
        </w:rPr>
        <w:t>me</w:t>
      </w:r>
      <w:r w:rsidRPr="00EB1AAB">
        <w:rPr>
          <w:rFonts w:ascii="Arial" w:eastAsia="Arial" w:hAnsi="Arial" w:cs="Arial"/>
          <w:spacing w:val="-2"/>
        </w:rPr>
        <w:t>n</w:t>
      </w:r>
      <w:r w:rsidRPr="00EB1AAB">
        <w:rPr>
          <w:rFonts w:ascii="Arial" w:eastAsia="Arial" w:hAnsi="Arial" w:cs="Arial"/>
        </w:rPr>
        <w:t>t</w:t>
      </w:r>
      <w:r w:rsidRPr="00EB1AAB">
        <w:rPr>
          <w:rFonts w:ascii="Arial" w:eastAsia="Arial" w:hAnsi="Arial" w:cs="Arial"/>
          <w:spacing w:val="14"/>
        </w:rPr>
        <w:t xml:space="preserve"> </w:t>
      </w:r>
      <w:r w:rsidRPr="00EB1AAB">
        <w:rPr>
          <w:rFonts w:ascii="Arial" w:eastAsia="Arial" w:hAnsi="Arial" w:cs="Arial"/>
          <w:w w:val="101"/>
        </w:rPr>
        <w:t>A</w:t>
      </w:r>
      <w:r w:rsidRPr="00EB1AAB">
        <w:rPr>
          <w:rFonts w:ascii="Arial" w:eastAsia="Arial" w:hAnsi="Arial" w:cs="Arial"/>
          <w:spacing w:val="1"/>
          <w:w w:val="101"/>
        </w:rPr>
        <w:t>cc</w:t>
      </w:r>
      <w:r w:rsidRPr="00EB1AAB">
        <w:rPr>
          <w:rFonts w:ascii="Arial" w:eastAsia="Arial" w:hAnsi="Arial" w:cs="Arial"/>
          <w:spacing w:val="-3"/>
          <w:w w:val="101"/>
        </w:rPr>
        <w:t>o</w:t>
      </w:r>
      <w:r w:rsidRPr="00EB1AAB">
        <w:rPr>
          <w:rFonts w:ascii="Arial" w:eastAsia="Arial" w:hAnsi="Arial" w:cs="Arial"/>
          <w:spacing w:val="2"/>
          <w:w w:val="101"/>
        </w:rPr>
        <w:t>u</w:t>
      </w:r>
      <w:r w:rsidRPr="00EB1AAB">
        <w:rPr>
          <w:rFonts w:ascii="Arial" w:eastAsia="Arial" w:hAnsi="Arial" w:cs="Arial"/>
          <w:spacing w:val="-2"/>
          <w:w w:val="101"/>
        </w:rPr>
        <w:t>n</w:t>
      </w:r>
      <w:r w:rsidRPr="00EB1AAB">
        <w:rPr>
          <w:rFonts w:ascii="Arial" w:eastAsia="Arial" w:hAnsi="Arial" w:cs="Arial"/>
          <w:w w:val="101"/>
        </w:rPr>
        <w:t>t.</w:t>
      </w:r>
    </w:p>
    <w:bookmarkEnd w:id="85"/>
    <w:p w14:paraId="1B04F623" w14:textId="77777777" w:rsidR="00655E4C" w:rsidRPr="00EB1AAB" w:rsidRDefault="00655E4C" w:rsidP="006F1659">
      <w:pPr>
        <w:pStyle w:val="Normal0"/>
        <w:spacing w:line="360" w:lineRule="auto"/>
        <w:rPr>
          <w:rFonts w:ascii="Arial" w:hAnsi="Arial" w:cs="Arial"/>
          <w:b/>
          <w:bCs/>
          <w:sz w:val="24"/>
          <w:szCs w:val="24"/>
          <w:lang w:eastAsia="en-GB"/>
        </w:rPr>
      </w:pPr>
    </w:p>
    <w:p w14:paraId="28635C82" w14:textId="0B638DE6" w:rsidR="00655E4C" w:rsidRPr="00EB1AAB" w:rsidRDefault="00655E4C" w:rsidP="006F1659">
      <w:pPr>
        <w:pStyle w:val="Heading4bold"/>
        <w:spacing w:line="360" w:lineRule="auto"/>
        <w:rPr>
          <w:lang w:eastAsia="en-GB"/>
        </w:rPr>
      </w:pPr>
      <w:r w:rsidRPr="00EB1AAB">
        <w:rPr>
          <w:lang w:eastAsia="en-GB"/>
        </w:rPr>
        <w:t>1.1</w:t>
      </w:r>
      <w:r w:rsidR="00E85440">
        <w:rPr>
          <w:lang w:eastAsia="en-GB"/>
        </w:rPr>
        <w:t>9</w:t>
      </w:r>
      <w:r w:rsidRPr="00EB1AAB">
        <w:rPr>
          <w:lang w:eastAsia="en-GB"/>
        </w:rPr>
        <w:t>. Financial Liabilities</w:t>
      </w:r>
    </w:p>
    <w:p w14:paraId="06E0B83A" w14:textId="77777777" w:rsidR="00655E4C" w:rsidRPr="00EB1AAB" w:rsidRDefault="00655E4C" w:rsidP="006F1659">
      <w:pPr>
        <w:pStyle w:val="Normal0"/>
        <w:spacing w:line="360" w:lineRule="auto"/>
        <w:rPr>
          <w:rFonts w:ascii="Arial" w:hAnsi="Arial" w:cs="Arial"/>
          <w:bCs/>
          <w:sz w:val="24"/>
          <w:szCs w:val="24"/>
          <w:lang w:eastAsia="en-GB"/>
        </w:rPr>
      </w:pPr>
      <w:r w:rsidRPr="00EB1AAB">
        <w:rPr>
          <w:rFonts w:ascii="Arial" w:hAnsi="Arial" w:cs="Arial"/>
          <w:bCs/>
          <w:sz w:val="24"/>
          <w:szCs w:val="24"/>
          <w:lang w:eastAsia="en-GB"/>
        </w:rPr>
        <w:t xml:space="preserve">Financial liabilities are recognised on the Balance Sheet when the Authority becomes a party to the contractual provisions of a financial instrument and are initially measured at fair value and carried at their amortised cost. Annual charges to the Financing and Investment Income and Expenditure line in the Comprehensive Income and Expenditure Statement for interest payable are based on the carrying amount of the liability, multiplied by the effective rate of interest for the instrument. The effective interest rate is the rate that exactly discounts estimated future cash payments over the life of the instrument to the amount at which it was originally recognised. </w:t>
      </w:r>
    </w:p>
    <w:p w14:paraId="76084A1B" w14:textId="77777777" w:rsidR="00655E4C" w:rsidRPr="00EB1AAB" w:rsidRDefault="00655E4C" w:rsidP="006F1659">
      <w:pPr>
        <w:pStyle w:val="Normal0"/>
        <w:spacing w:line="360" w:lineRule="auto"/>
        <w:rPr>
          <w:rFonts w:ascii="Arial" w:hAnsi="Arial" w:cs="Arial"/>
          <w:bCs/>
          <w:sz w:val="24"/>
          <w:szCs w:val="24"/>
          <w:lang w:eastAsia="en-GB"/>
        </w:rPr>
      </w:pPr>
    </w:p>
    <w:p w14:paraId="370FE120" w14:textId="77777777" w:rsidR="00655E4C" w:rsidRPr="00EB1AAB" w:rsidRDefault="00655E4C" w:rsidP="006F1659">
      <w:pPr>
        <w:pStyle w:val="Normal0"/>
        <w:spacing w:line="360" w:lineRule="auto"/>
        <w:rPr>
          <w:rFonts w:ascii="Arial" w:hAnsi="Arial" w:cs="Arial"/>
          <w:bCs/>
          <w:sz w:val="24"/>
          <w:szCs w:val="24"/>
          <w:lang w:eastAsia="en-GB"/>
        </w:rPr>
      </w:pPr>
      <w:r w:rsidRPr="00EB1AAB">
        <w:rPr>
          <w:rFonts w:ascii="Arial" w:hAnsi="Arial" w:cs="Arial"/>
          <w:bCs/>
          <w:sz w:val="24"/>
          <w:szCs w:val="24"/>
          <w:lang w:eastAsia="en-GB"/>
        </w:rPr>
        <w:lastRenderedPageBreak/>
        <w:t>For most of the borrowings that the Authority has, this means that the amount presented in the Balance Sheet is the outstanding principal repayable plus accrued interest. The interest charged to the Comprehensive Income and Expenditure Statement is the amount payable for the year according to the loan agreement.</w:t>
      </w:r>
    </w:p>
    <w:p w14:paraId="773C5114" w14:textId="77777777" w:rsidR="00655E4C" w:rsidRPr="00EB1AAB" w:rsidRDefault="00655E4C" w:rsidP="006F1659">
      <w:pPr>
        <w:pStyle w:val="Normal0"/>
        <w:spacing w:line="360" w:lineRule="auto"/>
        <w:rPr>
          <w:rFonts w:ascii="Arial" w:hAnsi="Arial" w:cs="Arial"/>
          <w:bCs/>
          <w:sz w:val="24"/>
          <w:szCs w:val="24"/>
          <w:lang w:eastAsia="en-GB"/>
        </w:rPr>
      </w:pPr>
    </w:p>
    <w:p w14:paraId="65EB7B91" w14:textId="2F315A48" w:rsidR="00A506A6" w:rsidRDefault="00655E4C" w:rsidP="00CF25A6">
      <w:pPr>
        <w:pStyle w:val="Normal0"/>
        <w:spacing w:line="360" w:lineRule="auto"/>
        <w:rPr>
          <w:rFonts w:ascii="Arial" w:hAnsi="Arial" w:cs="Arial"/>
          <w:bCs/>
          <w:sz w:val="24"/>
          <w:szCs w:val="24"/>
          <w:lang w:eastAsia="en-GB"/>
        </w:rPr>
      </w:pPr>
      <w:r w:rsidRPr="00EB1AAB">
        <w:rPr>
          <w:rFonts w:ascii="Arial" w:hAnsi="Arial" w:cs="Arial"/>
          <w:bCs/>
          <w:sz w:val="24"/>
          <w:szCs w:val="24"/>
          <w:lang w:eastAsia="en-GB"/>
        </w:rPr>
        <w:t>For Lender Option Borrower Option (LOBO) loans, the effective interest rate has been calculated over the life of the loan. This is an average and differs from the amounts actually paid in the year. The difference between the calculated interest charge and interest paid has been adjusted in the carrying amount of the loan and the amount charged in the Comprehensive Income and Expenditure Statement is the effective interest rate for the life of the loan rather than the amount payable per the loan agreement. A statutory over-ride allows the reversal of this difference through the Movement in Reserves Statement in order to charge the actual interest payable to the General Fund.</w:t>
      </w:r>
    </w:p>
    <w:p w14:paraId="173B742D" w14:textId="77777777" w:rsidR="00CF25A6" w:rsidRPr="00431F6F" w:rsidRDefault="00CF25A6" w:rsidP="00CF25A6">
      <w:pPr>
        <w:pStyle w:val="Normal0"/>
        <w:spacing w:line="360" w:lineRule="auto"/>
        <w:rPr>
          <w:rFonts w:ascii="Arial" w:hAnsi="Arial"/>
          <w:b/>
        </w:rPr>
      </w:pPr>
    </w:p>
    <w:p w14:paraId="163A30A0" w14:textId="0547745E" w:rsidR="00655E4C" w:rsidRPr="0097099A" w:rsidRDefault="00655E4C" w:rsidP="006F1659">
      <w:pPr>
        <w:pStyle w:val="Heading4bold"/>
        <w:spacing w:line="360" w:lineRule="auto"/>
        <w:rPr>
          <w:lang w:eastAsia="en-GB"/>
        </w:rPr>
      </w:pPr>
      <w:r w:rsidRPr="0097099A">
        <w:rPr>
          <w:lang w:eastAsia="en-GB"/>
        </w:rPr>
        <w:t>1.</w:t>
      </w:r>
      <w:r w:rsidR="00E85440">
        <w:rPr>
          <w:lang w:eastAsia="en-GB"/>
        </w:rPr>
        <w:t>20</w:t>
      </w:r>
      <w:r w:rsidRPr="0097099A">
        <w:rPr>
          <w:lang w:eastAsia="en-GB"/>
        </w:rPr>
        <w:t>. Impairment of non-financial assets</w:t>
      </w:r>
    </w:p>
    <w:p w14:paraId="51683906"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Assets are assessed at each year-end as to whether there is any indication that an asset may be impaired. Where indications exist and any possible differences are estimated to be material, the recoverable amount of the asset is estimated and, where this is less than the carrying amount of the asset, an impairment loss is recognised for the shortfall.</w:t>
      </w:r>
    </w:p>
    <w:p w14:paraId="26607F49" w14:textId="77777777" w:rsidR="00655E4C" w:rsidRPr="0097099A" w:rsidRDefault="00655E4C" w:rsidP="006F1659">
      <w:pPr>
        <w:pStyle w:val="Normal0"/>
        <w:spacing w:line="360" w:lineRule="auto"/>
        <w:rPr>
          <w:rFonts w:ascii="Arial" w:hAnsi="Arial" w:cs="Arial"/>
          <w:bCs/>
          <w:sz w:val="24"/>
          <w:szCs w:val="24"/>
          <w:lang w:eastAsia="en-GB"/>
        </w:rPr>
      </w:pPr>
    </w:p>
    <w:p w14:paraId="5EFFE0C5"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Where impairment losses are identified, they are accounted for as follows:</w:t>
      </w:r>
    </w:p>
    <w:p w14:paraId="195EC9D3" w14:textId="77777777" w:rsidR="00655E4C" w:rsidRPr="0097099A" w:rsidRDefault="00655E4C" w:rsidP="006F1659">
      <w:pPr>
        <w:pStyle w:val="Normal0"/>
        <w:spacing w:line="360" w:lineRule="auto"/>
        <w:rPr>
          <w:rFonts w:ascii="Arial" w:hAnsi="Arial" w:cs="Arial"/>
          <w:bCs/>
          <w:sz w:val="24"/>
          <w:szCs w:val="24"/>
          <w:lang w:eastAsia="en-GB"/>
        </w:rPr>
      </w:pPr>
    </w:p>
    <w:p w14:paraId="6471587A" w14:textId="303B1CCD" w:rsidR="00655E4C" w:rsidRPr="0097099A" w:rsidRDefault="00655E4C" w:rsidP="006F1659">
      <w:pPr>
        <w:pStyle w:val="ListParagraph"/>
        <w:numPr>
          <w:ilvl w:val="0"/>
          <w:numId w:val="26"/>
        </w:numPr>
        <w:spacing w:line="360" w:lineRule="auto"/>
        <w:rPr>
          <w:rFonts w:ascii="Arial" w:hAnsi="Arial" w:cs="Arial"/>
          <w:bCs/>
          <w:sz w:val="24"/>
          <w:szCs w:val="24"/>
        </w:rPr>
      </w:pPr>
      <w:r w:rsidRPr="0097099A">
        <w:rPr>
          <w:rFonts w:ascii="Arial" w:hAnsi="Arial" w:cs="Arial"/>
          <w:bCs/>
          <w:sz w:val="24"/>
          <w:szCs w:val="24"/>
        </w:rPr>
        <w:t>Where there is a balance of revaluation gains for the asset in the Revaluation Reserve, the carrying amount of the asset is written down against that balance (up to the amount of the accumulated gains)</w:t>
      </w:r>
      <w:r w:rsidR="000407DD">
        <w:rPr>
          <w:rFonts w:ascii="Arial" w:hAnsi="Arial" w:cs="Arial"/>
          <w:bCs/>
          <w:sz w:val="24"/>
          <w:szCs w:val="24"/>
        </w:rPr>
        <w:t>;</w:t>
      </w:r>
    </w:p>
    <w:p w14:paraId="6B5C1C54" w14:textId="77777777" w:rsidR="00655E4C" w:rsidRPr="0097099A" w:rsidRDefault="00655E4C" w:rsidP="006F1659">
      <w:pPr>
        <w:pStyle w:val="ListParagraph"/>
        <w:numPr>
          <w:ilvl w:val="0"/>
          <w:numId w:val="26"/>
        </w:numPr>
        <w:spacing w:line="360" w:lineRule="auto"/>
        <w:rPr>
          <w:rFonts w:ascii="Arial" w:hAnsi="Arial" w:cs="Arial"/>
          <w:bCs/>
          <w:sz w:val="24"/>
          <w:szCs w:val="24"/>
        </w:rPr>
      </w:pPr>
      <w:r w:rsidRPr="0097099A">
        <w:rPr>
          <w:rFonts w:ascii="Arial" w:hAnsi="Arial" w:cs="Arial"/>
          <w:bCs/>
          <w:sz w:val="24"/>
          <w:szCs w:val="24"/>
        </w:rPr>
        <w:t>Where there is no balance in the Revaluation Reserve or an insufficient balance, the carrying amount of the asset is written down against the relevant service line(s) in the Comprehensive Income and Expenditure Statement.</w:t>
      </w:r>
    </w:p>
    <w:p w14:paraId="47B7C4D1" w14:textId="22A31E29" w:rsidR="00655E4C" w:rsidRPr="0007572B"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 xml:space="preserve">Where an impairment loss is subsequently reversed, the reversal is credited to the relevant service line(s) in </w:t>
      </w:r>
      <w:r w:rsidRPr="00D10D8D">
        <w:rPr>
          <w:rFonts w:ascii="Arial" w:hAnsi="Arial" w:cs="Arial"/>
          <w:bCs/>
          <w:sz w:val="24"/>
          <w:szCs w:val="24"/>
          <w:lang w:eastAsia="en-GB"/>
        </w:rPr>
        <w:t xml:space="preserve">the </w:t>
      </w:r>
      <w:r w:rsidR="000407DD" w:rsidRPr="00D10D8D">
        <w:rPr>
          <w:rFonts w:ascii="Arial" w:hAnsi="Arial" w:cs="Arial"/>
          <w:bCs/>
          <w:sz w:val="24"/>
          <w:szCs w:val="24"/>
          <w:lang w:eastAsia="en-GB"/>
        </w:rPr>
        <w:t>CIES</w:t>
      </w:r>
      <w:r w:rsidRPr="00D10D8D">
        <w:rPr>
          <w:rFonts w:ascii="Arial" w:hAnsi="Arial" w:cs="Arial"/>
          <w:bCs/>
          <w:sz w:val="24"/>
          <w:szCs w:val="24"/>
          <w:lang w:eastAsia="en-GB"/>
        </w:rPr>
        <w:t>, up</w:t>
      </w:r>
      <w:r w:rsidRPr="0097099A">
        <w:rPr>
          <w:rFonts w:ascii="Arial" w:hAnsi="Arial" w:cs="Arial"/>
          <w:bCs/>
          <w:sz w:val="24"/>
          <w:szCs w:val="24"/>
          <w:lang w:eastAsia="en-GB"/>
        </w:rPr>
        <w:t xml:space="preserve"> to the amount of the original loss, adjusted for depreciation that would have been charged if the loss had not been recognised.</w:t>
      </w:r>
    </w:p>
    <w:p w14:paraId="70065AF7" w14:textId="77777777" w:rsidR="00655E4C" w:rsidRPr="0007572B" w:rsidRDefault="00655E4C" w:rsidP="006F1659">
      <w:pPr>
        <w:pStyle w:val="Normal0"/>
        <w:spacing w:line="360" w:lineRule="auto"/>
        <w:rPr>
          <w:rFonts w:ascii="Arial" w:hAnsi="Arial" w:cs="Arial"/>
          <w:bCs/>
          <w:sz w:val="24"/>
          <w:szCs w:val="24"/>
          <w:lang w:eastAsia="en-GB"/>
        </w:rPr>
      </w:pPr>
    </w:p>
    <w:p w14:paraId="3EDCBC27" w14:textId="66DD895A" w:rsidR="00655E4C" w:rsidRPr="0007572B" w:rsidRDefault="00655E4C" w:rsidP="006F1659">
      <w:pPr>
        <w:pStyle w:val="Heading4bold"/>
        <w:spacing w:line="360" w:lineRule="auto"/>
        <w:rPr>
          <w:lang w:eastAsia="en-GB"/>
        </w:rPr>
      </w:pPr>
      <w:r w:rsidRPr="00D10D8D">
        <w:rPr>
          <w:lang w:eastAsia="en-GB"/>
        </w:rPr>
        <w:t>1.</w:t>
      </w:r>
      <w:r w:rsidR="00E85440" w:rsidRPr="00D10D8D">
        <w:rPr>
          <w:lang w:eastAsia="en-GB"/>
        </w:rPr>
        <w:t>2</w:t>
      </w:r>
      <w:r w:rsidR="00D10D8D">
        <w:rPr>
          <w:lang w:eastAsia="en-GB"/>
        </w:rPr>
        <w:t>1</w:t>
      </w:r>
      <w:r w:rsidRPr="0007572B">
        <w:rPr>
          <w:lang w:eastAsia="en-GB"/>
        </w:rPr>
        <w:t>. Value Added Tax (VAT)</w:t>
      </w:r>
    </w:p>
    <w:p w14:paraId="352AF8EA" w14:textId="61AA2B51"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VAT payable is included as an expense only to the extent that it is not recoverable from </w:t>
      </w:r>
      <w:r w:rsidR="001C49A0">
        <w:rPr>
          <w:rFonts w:ascii="Arial" w:hAnsi="Arial" w:cs="Arial"/>
          <w:bCs/>
          <w:sz w:val="24"/>
          <w:szCs w:val="24"/>
          <w:lang w:eastAsia="en-GB"/>
        </w:rPr>
        <w:t>HMRC</w:t>
      </w:r>
      <w:r w:rsidRPr="0007572B">
        <w:rPr>
          <w:rFonts w:ascii="Arial" w:hAnsi="Arial" w:cs="Arial"/>
          <w:bCs/>
          <w:sz w:val="24"/>
          <w:szCs w:val="24"/>
          <w:lang w:eastAsia="en-GB"/>
        </w:rPr>
        <w:t>. VAT receivable is excluded from income.</w:t>
      </w:r>
    </w:p>
    <w:p w14:paraId="4C9BED31" w14:textId="77777777" w:rsidR="00655E4C" w:rsidRPr="0007572B" w:rsidRDefault="00655E4C" w:rsidP="006F1659">
      <w:pPr>
        <w:pStyle w:val="Normal0"/>
        <w:spacing w:line="360" w:lineRule="auto"/>
        <w:rPr>
          <w:rFonts w:ascii="Arial" w:hAnsi="Arial" w:cs="Arial"/>
          <w:b/>
          <w:bCs/>
          <w:sz w:val="24"/>
          <w:szCs w:val="24"/>
          <w:lang w:eastAsia="en-GB"/>
        </w:rPr>
      </w:pPr>
    </w:p>
    <w:p w14:paraId="14E755E2" w14:textId="584CBBF5" w:rsidR="00655E4C" w:rsidRPr="0007572B" w:rsidRDefault="00655E4C" w:rsidP="006F1659">
      <w:pPr>
        <w:pStyle w:val="Heading4bold"/>
        <w:spacing w:line="360" w:lineRule="auto"/>
        <w:rPr>
          <w:lang w:eastAsia="en-GB"/>
        </w:rPr>
      </w:pPr>
      <w:r w:rsidRPr="0007572B">
        <w:rPr>
          <w:lang w:eastAsia="en-GB"/>
        </w:rPr>
        <w:t>1.</w:t>
      </w:r>
      <w:r w:rsidR="00E85440">
        <w:rPr>
          <w:lang w:eastAsia="en-GB"/>
        </w:rPr>
        <w:t>22</w:t>
      </w:r>
      <w:r w:rsidRPr="0007572B">
        <w:rPr>
          <w:lang w:eastAsia="en-GB"/>
        </w:rPr>
        <w:t>. Reserves and Balances</w:t>
      </w:r>
    </w:p>
    <w:p w14:paraId="09D673DB" w14:textId="31018612"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The Authority sets aside specific amounts as reserves for future policy purposes or to cover contingencies. Reserves are created by appropriating amounts out of the General Fund Balance in the Movement in Reserves Statement. When expenditure to be financed from a reserve is incurred, it is charged to the appropriate service in </w:t>
      </w:r>
      <w:r w:rsidRPr="00D10D8D">
        <w:rPr>
          <w:rFonts w:ascii="Arial" w:hAnsi="Arial" w:cs="Arial"/>
          <w:bCs/>
          <w:sz w:val="24"/>
          <w:szCs w:val="24"/>
          <w:lang w:eastAsia="en-GB"/>
        </w:rPr>
        <w:t xml:space="preserve">that year to score against the Surplus and Deficit on the Provision of Services in the </w:t>
      </w:r>
      <w:r w:rsidR="000407DD" w:rsidRPr="00D10D8D">
        <w:rPr>
          <w:rFonts w:ascii="Arial" w:hAnsi="Arial" w:cs="Arial"/>
          <w:bCs/>
          <w:sz w:val="24"/>
          <w:szCs w:val="24"/>
          <w:lang w:eastAsia="en-GB"/>
        </w:rPr>
        <w:t>CIES</w:t>
      </w:r>
      <w:r w:rsidRPr="00D10D8D">
        <w:rPr>
          <w:rFonts w:ascii="Arial" w:hAnsi="Arial" w:cs="Arial"/>
          <w:bCs/>
          <w:sz w:val="24"/>
          <w:szCs w:val="24"/>
          <w:lang w:eastAsia="en-GB"/>
        </w:rPr>
        <w:t>. The reserve is then appropriated back into the General Fund Balance in the Mo</w:t>
      </w:r>
      <w:r w:rsidRPr="0007572B">
        <w:rPr>
          <w:rFonts w:ascii="Arial" w:hAnsi="Arial" w:cs="Arial"/>
          <w:bCs/>
          <w:sz w:val="24"/>
          <w:szCs w:val="24"/>
          <w:lang w:eastAsia="en-GB"/>
        </w:rPr>
        <w:t>vement in Reserves Statement so that there is no net charge for the expenditure.</w:t>
      </w:r>
    </w:p>
    <w:p w14:paraId="0327473E" w14:textId="77777777" w:rsidR="00655E4C" w:rsidRPr="0007572B" w:rsidRDefault="00655E4C" w:rsidP="006F1659">
      <w:pPr>
        <w:pStyle w:val="Normal0"/>
        <w:spacing w:line="360" w:lineRule="auto"/>
        <w:rPr>
          <w:rFonts w:ascii="Arial" w:hAnsi="Arial" w:cs="Arial"/>
          <w:bCs/>
          <w:sz w:val="24"/>
          <w:szCs w:val="24"/>
          <w:lang w:eastAsia="en-GB"/>
        </w:rPr>
      </w:pPr>
    </w:p>
    <w:p w14:paraId="14E4CF39"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Certain reserves are kept to manage the accounting processes for non-current assets, financial instruments and retirement and employee benefits and they do not represent usable resources for the Authority.</w:t>
      </w:r>
    </w:p>
    <w:p w14:paraId="28EE6BF1" w14:textId="77777777" w:rsidR="00655E4C" w:rsidRPr="0007572B" w:rsidRDefault="00655E4C" w:rsidP="006F1659">
      <w:pPr>
        <w:pStyle w:val="Normal0"/>
        <w:spacing w:line="360" w:lineRule="auto"/>
        <w:rPr>
          <w:rFonts w:ascii="Arial" w:hAnsi="Arial" w:cs="Arial"/>
          <w:bCs/>
          <w:sz w:val="24"/>
          <w:szCs w:val="24"/>
          <w:lang w:eastAsia="en-GB"/>
        </w:rPr>
      </w:pPr>
    </w:p>
    <w:p w14:paraId="5DAFC9CD" w14:textId="464D4A1E"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The Authority produces memorandum accounts to hold the </w:t>
      </w:r>
      <w:r w:rsidR="00203B09" w:rsidRPr="0007572B">
        <w:rPr>
          <w:rFonts w:ascii="Arial" w:hAnsi="Arial" w:cs="Arial"/>
          <w:bCs/>
          <w:sz w:val="24"/>
          <w:szCs w:val="24"/>
          <w:lang w:eastAsia="en-GB"/>
        </w:rPr>
        <w:t>ring-fenced</w:t>
      </w:r>
      <w:r w:rsidRPr="0007572B">
        <w:rPr>
          <w:rFonts w:ascii="Arial" w:hAnsi="Arial" w:cs="Arial"/>
          <w:bCs/>
          <w:sz w:val="24"/>
          <w:szCs w:val="24"/>
          <w:lang w:eastAsia="en-GB"/>
        </w:rPr>
        <w:t xml:space="preserve"> reserves and balances relating to the Mayoral General Fund and the Mayoral Police Fund. </w:t>
      </w:r>
    </w:p>
    <w:p w14:paraId="3BDDA1BA" w14:textId="77777777" w:rsidR="00655E4C" w:rsidRPr="0007572B" w:rsidRDefault="00655E4C" w:rsidP="006F1659">
      <w:pPr>
        <w:pStyle w:val="Normal0"/>
        <w:spacing w:line="360" w:lineRule="auto"/>
        <w:rPr>
          <w:rFonts w:ascii="Arial" w:hAnsi="Arial" w:cs="Arial"/>
          <w:b/>
          <w:bCs/>
          <w:sz w:val="24"/>
          <w:szCs w:val="24"/>
          <w:lang w:eastAsia="en-GB"/>
        </w:rPr>
      </w:pPr>
    </w:p>
    <w:p w14:paraId="409237C2" w14:textId="12D397AC" w:rsidR="00655E4C" w:rsidRPr="0007572B" w:rsidRDefault="00655E4C" w:rsidP="006F1659">
      <w:pPr>
        <w:pStyle w:val="Heading4bold"/>
        <w:spacing w:line="360" w:lineRule="auto"/>
        <w:rPr>
          <w:lang w:eastAsia="en-GB"/>
        </w:rPr>
      </w:pPr>
      <w:r w:rsidRPr="0007572B">
        <w:rPr>
          <w:lang w:eastAsia="en-GB"/>
        </w:rPr>
        <w:t>1.2</w:t>
      </w:r>
      <w:r w:rsidR="00E85440">
        <w:rPr>
          <w:lang w:eastAsia="en-GB"/>
        </w:rPr>
        <w:t>3</w:t>
      </w:r>
      <w:r w:rsidRPr="0007572B">
        <w:rPr>
          <w:lang w:eastAsia="en-GB"/>
        </w:rPr>
        <w:t>. Revenue</w:t>
      </w:r>
    </w:p>
    <w:p w14:paraId="4471E97D"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Revenue is a sub-set of income and is defined as the gross inflow of economic benefits or service potential during the reporting period when those inflows result in an increase in net worth.</w:t>
      </w:r>
    </w:p>
    <w:p w14:paraId="61173C58" w14:textId="77777777" w:rsidR="00655E4C" w:rsidRPr="0007572B" w:rsidRDefault="00655E4C" w:rsidP="006F1659">
      <w:pPr>
        <w:pStyle w:val="Normal0"/>
        <w:spacing w:line="360" w:lineRule="auto"/>
        <w:rPr>
          <w:rFonts w:ascii="Arial" w:hAnsi="Arial" w:cs="Arial"/>
          <w:bCs/>
          <w:sz w:val="24"/>
          <w:szCs w:val="24"/>
          <w:lang w:eastAsia="en-GB"/>
        </w:rPr>
      </w:pPr>
    </w:p>
    <w:p w14:paraId="5372F74D"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Revenue from contracts with service recipients, whether for services or the provision of goods, is recognised when (or as) the goods or services are transferred to the service recipient in accordance with the performance obligations in the contract. </w:t>
      </w:r>
    </w:p>
    <w:p w14:paraId="7C861E0F"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Interest receivable on investments and payable on borrowings is accounted for respectively as income and expenditure on the basis of the effective interest rate for the </w:t>
      </w:r>
      <w:r w:rsidRPr="0007572B">
        <w:rPr>
          <w:rFonts w:ascii="Arial" w:hAnsi="Arial" w:cs="Arial"/>
          <w:bCs/>
          <w:sz w:val="24"/>
          <w:szCs w:val="24"/>
          <w:lang w:eastAsia="en-GB"/>
        </w:rPr>
        <w:lastRenderedPageBreak/>
        <w:t>relevant financial instrument rather than the cash flows fixed or determined by the contract.</w:t>
      </w:r>
    </w:p>
    <w:p w14:paraId="403C2487" w14:textId="77777777" w:rsidR="00655E4C" w:rsidRPr="0007572B" w:rsidRDefault="00655E4C" w:rsidP="006F1659">
      <w:pPr>
        <w:pStyle w:val="Normal0"/>
        <w:spacing w:line="360" w:lineRule="auto"/>
        <w:rPr>
          <w:rFonts w:ascii="Arial" w:hAnsi="Arial" w:cs="Arial"/>
          <w:bCs/>
          <w:sz w:val="24"/>
          <w:szCs w:val="24"/>
          <w:lang w:eastAsia="en-GB"/>
        </w:rPr>
      </w:pPr>
    </w:p>
    <w:p w14:paraId="5E522B47"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Where revenue has been recognised but cash has not been received or paid, a debtor for the relevant amount is recorded in the Balance Sheet. Where debts may not be settled, the balance of debtors is written down and a charge made to revenue for the income that might not be collected.</w:t>
      </w:r>
    </w:p>
    <w:p w14:paraId="115333A3" w14:textId="77777777" w:rsidR="00655E4C" w:rsidRPr="0007572B" w:rsidRDefault="00655E4C" w:rsidP="006F1659">
      <w:pPr>
        <w:pStyle w:val="Normal0"/>
        <w:spacing w:line="360" w:lineRule="auto"/>
        <w:rPr>
          <w:rFonts w:ascii="Arial" w:hAnsi="Arial" w:cs="Arial"/>
          <w:bCs/>
          <w:sz w:val="24"/>
          <w:szCs w:val="24"/>
          <w:lang w:eastAsia="en-GB"/>
        </w:rPr>
      </w:pPr>
    </w:p>
    <w:p w14:paraId="3FF0BCD2"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Rentals receivable under operating leases and secondary rentals received and retained by the group under finance leases are credited to income as they arise. Any premia or incentives within the lease are recognised within income on an equal basis over the term of the lease.</w:t>
      </w:r>
    </w:p>
    <w:p w14:paraId="11889E82" w14:textId="77777777" w:rsidR="00655E4C" w:rsidRPr="0007572B" w:rsidRDefault="00655E4C" w:rsidP="006F1659">
      <w:pPr>
        <w:pStyle w:val="Normal0"/>
        <w:spacing w:line="360" w:lineRule="auto"/>
        <w:rPr>
          <w:rFonts w:ascii="Arial" w:hAnsi="Arial" w:cs="Arial"/>
          <w:bCs/>
          <w:sz w:val="24"/>
          <w:szCs w:val="24"/>
          <w:lang w:eastAsia="en-GB"/>
        </w:rPr>
      </w:pPr>
    </w:p>
    <w:p w14:paraId="41358904" w14:textId="5A6E6A04" w:rsidR="00655E4C" w:rsidRPr="0007572B" w:rsidRDefault="00655E4C" w:rsidP="006F1659">
      <w:pPr>
        <w:pStyle w:val="Heading4bold"/>
        <w:spacing w:line="360" w:lineRule="auto"/>
        <w:rPr>
          <w:lang w:eastAsia="en-GB"/>
        </w:rPr>
      </w:pPr>
      <w:r w:rsidRPr="0007572B">
        <w:rPr>
          <w:lang w:eastAsia="en-GB"/>
        </w:rPr>
        <w:t>1.2</w:t>
      </w:r>
      <w:r w:rsidR="00E85440">
        <w:rPr>
          <w:lang w:eastAsia="en-GB"/>
        </w:rPr>
        <w:t>4</w:t>
      </w:r>
      <w:r w:rsidRPr="0007572B">
        <w:rPr>
          <w:lang w:eastAsia="en-GB"/>
        </w:rPr>
        <w:t>. Contingent assets</w:t>
      </w:r>
    </w:p>
    <w:p w14:paraId="3DD6233D"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A contingent asset arises where an event has taken place that gives the Authority a possible asset whose existence will only be confirmed by the occurrence or otherwise of uncertain future events not wholly within the control of the Authority.</w:t>
      </w:r>
    </w:p>
    <w:p w14:paraId="5B12AB42" w14:textId="77777777" w:rsidR="00655E4C" w:rsidRPr="0007572B" w:rsidRDefault="00655E4C" w:rsidP="006F1659">
      <w:pPr>
        <w:pStyle w:val="Normal0"/>
        <w:spacing w:line="360" w:lineRule="auto"/>
        <w:rPr>
          <w:rFonts w:ascii="Arial" w:hAnsi="Arial" w:cs="Arial"/>
          <w:bCs/>
          <w:sz w:val="24"/>
          <w:szCs w:val="24"/>
          <w:lang w:eastAsia="en-GB"/>
        </w:rPr>
      </w:pPr>
    </w:p>
    <w:p w14:paraId="7640E37B"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Contingent assets are not recognised in the Balance Sheet but disclosed in a note to the accounts where it is probable that there will be an inflow of economic benefits or service potential.</w:t>
      </w:r>
    </w:p>
    <w:p w14:paraId="3263E417" w14:textId="77777777" w:rsidR="00655E4C" w:rsidRPr="0007572B" w:rsidRDefault="00655E4C" w:rsidP="006F1659">
      <w:pPr>
        <w:pStyle w:val="Normal0"/>
        <w:spacing w:line="360" w:lineRule="auto"/>
        <w:rPr>
          <w:rFonts w:ascii="Arial" w:hAnsi="Arial" w:cs="Arial"/>
          <w:bCs/>
          <w:sz w:val="24"/>
          <w:szCs w:val="24"/>
          <w:lang w:eastAsia="en-GB"/>
        </w:rPr>
      </w:pPr>
    </w:p>
    <w:p w14:paraId="3D320A51" w14:textId="58E5EEB2" w:rsidR="00655E4C" w:rsidRPr="0007572B" w:rsidRDefault="00655E4C" w:rsidP="006F1659">
      <w:pPr>
        <w:pStyle w:val="Heading4bold"/>
        <w:spacing w:line="360" w:lineRule="auto"/>
        <w:rPr>
          <w:lang w:eastAsia="en-GB"/>
        </w:rPr>
      </w:pPr>
      <w:r w:rsidRPr="0007572B">
        <w:rPr>
          <w:lang w:eastAsia="en-GB"/>
        </w:rPr>
        <w:t>1.2</w:t>
      </w:r>
      <w:r w:rsidR="00E85440">
        <w:rPr>
          <w:lang w:eastAsia="en-GB"/>
        </w:rPr>
        <w:t>5</w:t>
      </w:r>
      <w:r w:rsidRPr="0007572B">
        <w:rPr>
          <w:lang w:eastAsia="en-GB"/>
        </w:rPr>
        <w:t>. Contingent liabilities</w:t>
      </w:r>
    </w:p>
    <w:p w14:paraId="43C29599" w14:textId="1D8F5720"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A contingent liability arises where an event has taken place that gives the Authority a possible obligation whose existence will only be confirmed by the occurrence or otherwise of uncertain future events not wholly within the control of the Authority. Contingent liabilities also arise in circumstances where a provision would otherwise be made but either it is not probable that an outflow of resources will be </w:t>
      </w:r>
      <w:r w:rsidR="00203B09" w:rsidRPr="0007572B">
        <w:rPr>
          <w:rFonts w:ascii="Arial" w:hAnsi="Arial" w:cs="Arial"/>
          <w:bCs/>
          <w:sz w:val="24"/>
          <w:szCs w:val="24"/>
          <w:lang w:eastAsia="en-GB"/>
        </w:rPr>
        <w:t>required,</w:t>
      </w:r>
      <w:r w:rsidRPr="0007572B">
        <w:rPr>
          <w:rFonts w:ascii="Arial" w:hAnsi="Arial" w:cs="Arial"/>
          <w:bCs/>
          <w:sz w:val="24"/>
          <w:szCs w:val="24"/>
          <w:lang w:eastAsia="en-GB"/>
        </w:rPr>
        <w:t xml:space="preserve"> or the amount of the obligation cannot be measured reliably.</w:t>
      </w:r>
    </w:p>
    <w:p w14:paraId="1AF1F610" w14:textId="77777777" w:rsidR="00655E4C" w:rsidRPr="0007572B" w:rsidRDefault="00655E4C" w:rsidP="006F1659">
      <w:pPr>
        <w:pStyle w:val="Normal0"/>
        <w:spacing w:line="360" w:lineRule="auto"/>
        <w:rPr>
          <w:rFonts w:ascii="Arial" w:hAnsi="Arial" w:cs="Arial"/>
          <w:bCs/>
          <w:sz w:val="24"/>
          <w:szCs w:val="24"/>
          <w:lang w:eastAsia="en-GB"/>
        </w:rPr>
      </w:pPr>
    </w:p>
    <w:p w14:paraId="4F79715E"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Contingent liabilities are not recognised in the Balance Sheet but disclosed in a note to the accounts.</w:t>
      </w:r>
    </w:p>
    <w:p w14:paraId="00FF0DC7" w14:textId="77777777" w:rsidR="00655E4C" w:rsidRPr="0007572B" w:rsidRDefault="00655E4C" w:rsidP="006F1659">
      <w:pPr>
        <w:pStyle w:val="Normal0"/>
        <w:spacing w:line="360" w:lineRule="auto"/>
        <w:rPr>
          <w:rFonts w:ascii="Arial" w:hAnsi="Arial" w:cs="Arial"/>
          <w:bCs/>
          <w:sz w:val="24"/>
          <w:szCs w:val="24"/>
          <w:lang w:eastAsia="en-GB"/>
        </w:rPr>
      </w:pPr>
    </w:p>
    <w:p w14:paraId="53C02A9D" w14:textId="08031B4D" w:rsidR="00655E4C" w:rsidRPr="0007572B" w:rsidRDefault="00655E4C" w:rsidP="006F1659">
      <w:pPr>
        <w:pStyle w:val="Heading4bold"/>
        <w:spacing w:line="360" w:lineRule="auto"/>
        <w:rPr>
          <w:lang w:eastAsia="en-GB"/>
        </w:rPr>
      </w:pPr>
      <w:r w:rsidRPr="0007572B">
        <w:rPr>
          <w:lang w:eastAsia="en-GB"/>
        </w:rPr>
        <w:lastRenderedPageBreak/>
        <w:t>1.2</w:t>
      </w:r>
      <w:r w:rsidR="00E85440">
        <w:rPr>
          <w:lang w:eastAsia="en-GB"/>
        </w:rPr>
        <w:t>6</w:t>
      </w:r>
      <w:r w:rsidRPr="0007572B">
        <w:rPr>
          <w:lang w:eastAsia="en-GB"/>
        </w:rPr>
        <w:t>. Provisions</w:t>
      </w:r>
    </w:p>
    <w:p w14:paraId="0E2FA008"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Provisions are made where an event has taken place that gives the Authority a legal or constructive obligation that probably requires settlement by a transfer of economic benefits or service potential, and a reliable estimate can be made of the amount of the obligation. For instance, the Authority may be involved in a court case that could eventually result in the making of a settlement or the payment of compensation. </w:t>
      </w:r>
    </w:p>
    <w:p w14:paraId="541B0D6D" w14:textId="77777777" w:rsidR="00655E4C" w:rsidRPr="0007572B" w:rsidRDefault="00655E4C" w:rsidP="006F1659">
      <w:pPr>
        <w:pStyle w:val="Normal0"/>
        <w:spacing w:line="360" w:lineRule="auto"/>
        <w:rPr>
          <w:rFonts w:ascii="Arial" w:hAnsi="Arial" w:cs="Arial"/>
          <w:bCs/>
          <w:sz w:val="24"/>
          <w:szCs w:val="24"/>
          <w:lang w:eastAsia="en-GB"/>
        </w:rPr>
      </w:pPr>
    </w:p>
    <w:p w14:paraId="2CDEE31E" w14:textId="7ABBACBC"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Provisions are charged as an expense to the appr</w:t>
      </w:r>
      <w:r w:rsidRPr="00D10D8D">
        <w:rPr>
          <w:rFonts w:ascii="Arial" w:hAnsi="Arial" w:cs="Arial"/>
          <w:bCs/>
          <w:sz w:val="24"/>
          <w:szCs w:val="24"/>
          <w:lang w:eastAsia="en-GB"/>
        </w:rPr>
        <w:t>opriate service line in the Comprehensive Income and Expenditure Statement in the</w:t>
      </w:r>
      <w:r w:rsidRPr="0007572B">
        <w:rPr>
          <w:rFonts w:ascii="Arial" w:hAnsi="Arial" w:cs="Arial"/>
          <w:bCs/>
          <w:sz w:val="24"/>
          <w:szCs w:val="24"/>
          <w:lang w:eastAsia="en-GB"/>
        </w:rPr>
        <w:t xml:space="preserve"> year that the authority becomes aware of the </w:t>
      </w:r>
      <w:r w:rsidR="00203B09" w:rsidRPr="0007572B">
        <w:rPr>
          <w:rFonts w:ascii="Arial" w:hAnsi="Arial" w:cs="Arial"/>
          <w:bCs/>
          <w:sz w:val="24"/>
          <w:szCs w:val="24"/>
          <w:lang w:eastAsia="en-GB"/>
        </w:rPr>
        <w:t>obligation and</w:t>
      </w:r>
      <w:r w:rsidRPr="0007572B">
        <w:rPr>
          <w:rFonts w:ascii="Arial" w:hAnsi="Arial" w:cs="Arial"/>
          <w:bCs/>
          <w:sz w:val="24"/>
          <w:szCs w:val="24"/>
          <w:lang w:eastAsia="en-GB"/>
        </w:rPr>
        <w:t xml:space="preserve"> are measured at the best estimate at the balance sheet date of the expenditure required to settle the obligation, taking into account relevant risks and uncertainties.</w:t>
      </w:r>
    </w:p>
    <w:p w14:paraId="7DBBCB8A" w14:textId="77777777" w:rsidR="00655E4C" w:rsidRPr="0007572B" w:rsidRDefault="00655E4C" w:rsidP="006F1659">
      <w:pPr>
        <w:pStyle w:val="Normal0"/>
        <w:spacing w:line="360" w:lineRule="auto"/>
        <w:rPr>
          <w:rFonts w:ascii="Arial" w:hAnsi="Arial" w:cs="Arial"/>
          <w:bCs/>
          <w:sz w:val="24"/>
          <w:szCs w:val="24"/>
          <w:lang w:eastAsia="en-GB"/>
        </w:rPr>
      </w:pPr>
    </w:p>
    <w:p w14:paraId="287C5E93"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When payments are eventually made, they are charged to the provision carried in the Balance Sheet. Estimated settlements are reviewed at the end of each financial year – where it becomes less than probable that a transfer of economic benefits will now be required (or a lower settlement than anticipated is made), the provision is reversed and credited back to the relevant service.</w:t>
      </w:r>
    </w:p>
    <w:p w14:paraId="4645078B" w14:textId="77777777" w:rsidR="00655E4C" w:rsidRPr="0007572B" w:rsidRDefault="00655E4C" w:rsidP="006F1659">
      <w:pPr>
        <w:pStyle w:val="Normal0"/>
        <w:spacing w:line="360" w:lineRule="auto"/>
        <w:rPr>
          <w:rFonts w:ascii="Arial" w:hAnsi="Arial" w:cs="Arial"/>
          <w:bCs/>
          <w:sz w:val="24"/>
          <w:szCs w:val="24"/>
          <w:lang w:eastAsia="en-GB"/>
        </w:rPr>
      </w:pPr>
    </w:p>
    <w:p w14:paraId="613F26AD"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Where some or all of the payment required to settle a provision is expected to be recovered from another party (e.g. from an insurance claim), this is only recognised as income for the relevant service if it is virtually certain that reimbursement will be received if the authority settles the obligation.</w:t>
      </w:r>
    </w:p>
    <w:p w14:paraId="4EBBAA1E" w14:textId="77777777" w:rsidR="00655E4C" w:rsidRPr="0007572B" w:rsidRDefault="00655E4C" w:rsidP="006F1659">
      <w:pPr>
        <w:spacing w:line="360" w:lineRule="auto"/>
        <w:rPr>
          <w:rFonts w:ascii="Arial" w:eastAsiaTheme="minorHAnsi" w:hAnsi="Arial" w:cs="Arial"/>
          <w:b/>
          <w:bCs/>
          <w:lang w:val="en-US" w:eastAsia="en-GB"/>
        </w:rPr>
      </w:pPr>
    </w:p>
    <w:p w14:paraId="107A10A0" w14:textId="7A3B1D61" w:rsidR="00655E4C" w:rsidRPr="0007572B" w:rsidRDefault="00655E4C" w:rsidP="006F1659">
      <w:pPr>
        <w:pStyle w:val="Heading4bold"/>
        <w:spacing w:line="360" w:lineRule="auto"/>
        <w:rPr>
          <w:lang w:eastAsia="en-GB"/>
        </w:rPr>
      </w:pPr>
      <w:r w:rsidRPr="0007572B">
        <w:rPr>
          <w:lang w:eastAsia="en-GB"/>
        </w:rPr>
        <w:t>1.2</w:t>
      </w:r>
      <w:r w:rsidR="00E85440">
        <w:rPr>
          <w:lang w:eastAsia="en-GB"/>
        </w:rPr>
        <w:t>7</w:t>
      </w:r>
      <w:r w:rsidRPr="0007572B">
        <w:rPr>
          <w:lang w:eastAsia="en-GB"/>
        </w:rPr>
        <w:t>. Events after the Reporting Period</w:t>
      </w:r>
    </w:p>
    <w:p w14:paraId="35DC87CB"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Events after the reporting period are those events that occur between the balance sheet date and the date when the Statement of Accounts is authorised for issue.</w:t>
      </w:r>
    </w:p>
    <w:p w14:paraId="68523D07" w14:textId="77777777" w:rsidR="00655E4C" w:rsidRPr="0007572B" w:rsidRDefault="00655E4C" w:rsidP="006F1659">
      <w:pPr>
        <w:pStyle w:val="Normal0"/>
        <w:spacing w:line="360" w:lineRule="auto"/>
        <w:rPr>
          <w:rFonts w:ascii="Arial" w:hAnsi="Arial" w:cs="Arial"/>
          <w:bCs/>
          <w:sz w:val="24"/>
          <w:szCs w:val="24"/>
          <w:lang w:eastAsia="en-GB"/>
        </w:rPr>
      </w:pPr>
    </w:p>
    <w:p w14:paraId="35FC1DEB"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Where these provide evidence of conditions in existence at the balance sheet date, the amounts recognised in the accounts are adjusted. </w:t>
      </w:r>
    </w:p>
    <w:p w14:paraId="24149B30" w14:textId="77777777" w:rsidR="00655E4C" w:rsidRPr="0007572B" w:rsidRDefault="00655E4C" w:rsidP="006F1659">
      <w:pPr>
        <w:pStyle w:val="Normal0"/>
        <w:spacing w:line="360" w:lineRule="auto"/>
        <w:rPr>
          <w:rFonts w:ascii="Arial" w:hAnsi="Arial" w:cs="Arial"/>
          <w:bCs/>
          <w:sz w:val="24"/>
          <w:szCs w:val="24"/>
          <w:lang w:eastAsia="en-GB"/>
        </w:rPr>
      </w:pPr>
    </w:p>
    <w:p w14:paraId="4592399C"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lastRenderedPageBreak/>
        <w:t>Where these are indicative of conditions that arose after the balance sheet date the amounts in the accounts are not adjusted. This is known as a non-adjusting event and is disclosed as a note to the accounts.</w:t>
      </w:r>
    </w:p>
    <w:p w14:paraId="15B8DFDB" w14:textId="77777777" w:rsidR="00655E4C" w:rsidRPr="0007572B" w:rsidRDefault="00655E4C" w:rsidP="006F1659">
      <w:pPr>
        <w:pStyle w:val="Normal0"/>
        <w:spacing w:line="360" w:lineRule="auto"/>
        <w:rPr>
          <w:rFonts w:ascii="Arial" w:hAnsi="Arial" w:cs="Arial"/>
          <w:bCs/>
          <w:sz w:val="24"/>
          <w:szCs w:val="24"/>
          <w:lang w:eastAsia="en-GB"/>
        </w:rPr>
      </w:pPr>
    </w:p>
    <w:p w14:paraId="7070814A"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Events taking place after the date of authorisation for issue are not reflected in the Statement of Accounts.</w:t>
      </w:r>
    </w:p>
    <w:p w14:paraId="271CDE95" w14:textId="77777777" w:rsidR="00655E4C" w:rsidRPr="0007572B" w:rsidRDefault="00655E4C" w:rsidP="006F1659">
      <w:pPr>
        <w:pStyle w:val="Normal0"/>
        <w:spacing w:line="360" w:lineRule="auto"/>
        <w:rPr>
          <w:rFonts w:ascii="Arial" w:hAnsi="Arial" w:cs="Arial"/>
          <w:bCs/>
          <w:sz w:val="24"/>
          <w:szCs w:val="24"/>
          <w:lang w:eastAsia="en-GB"/>
        </w:rPr>
      </w:pPr>
    </w:p>
    <w:p w14:paraId="1993C6C9" w14:textId="48E30C39" w:rsidR="00655E4C" w:rsidRPr="0007572B" w:rsidRDefault="00655E4C" w:rsidP="006F1659">
      <w:pPr>
        <w:pStyle w:val="Heading4bold"/>
        <w:spacing w:line="360" w:lineRule="auto"/>
        <w:rPr>
          <w:lang w:eastAsia="en-GB"/>
        </w:rPr>
      </w:pPr>
      <w:r w:rsidRPr="0007572B">
        <w:rPr>
          <w:lang w:eastAsia="en-GB"/>
        </w:rPr>
        <w:t>1.2</w:t>
      </w:r>
      <w:r w:rsidR="00E85440">
        <w:rPr>
          <w:lang w:eastAsia="en-GB"/>
        </w:rPr>
        <w:t>8</w:t>
      </w:r>
      <w:r w:rsidRPr="0007572B">
        <w:rPr>
          <w:lang w:eastAsia="en-GB"/>
        </w:rPr>
        <w:t>. Interests in Companies and Other Entities - Group Accounts</w:t>
      </w:r>
    </w:p>
    <w:p w14:paraId="553DB987" w14:textId="77777777" w:rsidR="00655E4C" w:rsidRPr="00A131D4" w:rsidRDefault="00655E4C" w:rsidP="006F1659">
      <w:pPr>
        <w:pStyle w:val="Normal0"/>
        <w:spacing w:line="360" w:lineRule="auto"/>
        <w:rPr>
          <w:rFonts w:ascii="Arial" w:hAnsi="Arial" w:cs="Arial"/>
          <w:bCs/>
          <w:sz w:val="24"/>
          <w:szCs w:val="24"/>
          <w:lang w:eastAsia="en-GB"/>
        </w:rPr>
      </w:pPr>
      <w:r w:rsidRPr="00A131D4">
        <w:rPr>
          <w:rFonts w:ascii="Arial" w:hAnsi="Arial" w:cs="Arial"/>
          <w:bCs/>
          <w:sz w:val="24"/>
          <w:szCs w:val="24"/>
          <w:lang w:eastAsia="en-GB"/>
        </w:rPr>
        <w:t>The Authority is required to produce group accounts where it has interests in subsidiaries, associates and/or joint ventures unless interest is considered not material. The group boundary is dependent upon the extent of the Authority’s control or significant influence over the entity, which is based on the requirements of IFRS10, IFRS11 and IAS 28.</w:t>
      </w:r>
    </w:p>
    <w:p w14:paraId="3C0345D6" w14:textId="77777777" w:rsidR="00655E4C" w:rsidRPr="00767BDD" w:rsidRDefault="00655E4C" w:rsidP="006F1659">
      <w:pPr>
        <w:pStyle w:val="Normal0"/>
        <w:spacing w:line="360" w:lineRule="auto"/>
        <w:rPr>
          <w:rFonts w:ascii="Arial" w:hAnsi="Arial" w:cs="Arial"/>
          <w:bCs/>
          <w:sz w:val="24"/>
          <w:szCs w:val="24"/>
          <w:highlight w:val="yellow"/>
          <w:lang w:eastAsia="en-GB"/>
        </w:rPr>
      </w:pPr>
    </w:p>
    <w:p w14:paraId="649AFBC1" w14:textId="77777777" w:rsidR="00655E4C" w:rsidRPr="00A131D4" w:rsidRDefault="00655E4C" w:rsidP="006F1659">
      <w:pPr>
        <w:pStyle w:val="Normal0"/>
        <w:spacing w:line="360" w:lineRule="auto"/>
        <w:rPr>
          <w:rFonts w:ascii="Arial" w:hAnsi="Arial" w:cs="Arial"/>
          <w:bCs/>
          <w:sz w:val="24"/>
          <w:szCs w:val="24"/>
          <w:lang w:eastAsia="en-GB"/>
        </w:rPr>
      </w:pPr>
      <w:r w:rsidRPr="00A131D4">
        <w:rPr>
          <w:rFonts w:ascii="Arial" w:hAnsi="Arial" w:cs="Arial"/>
          <w:bCs/>
          <w:sz w:val="24"/>
          <w:szCs w:val="24"/>
          <w:lang w:eastAsia="en-GB"/>
        </w:rPr>
        <w:t>Inclusion in the group is dependent upon the extent of the Authority’s interest and power to influence an entity. The Authority is considered to control an entity if it has power over the entity, exposure or rights to variable returns from its interest with the entity and the ability to use its power to affect the level of returns. The determining factor for assessing the extent of interest and power to influence is either through ownership of an entity, or representation on an entity’s board of directors/trustees.</w:t>
      </w:r>
    </w:p>
    <w:p w14:paraId="28B9133A" w14:textId="77777777" w:rsidR="00655E4C" w:rsidRPr="00767BDD" w:rsidRDefault="00655E4C" w:rsidP="006F1659">
      <w:pPr>
        <w:pStyle w:val="Normal0"/>
        <w:spacing w:line="360" w:lineRule="auto"/>
        <w:rPr>
          <w:rFonts w:ascii="Arial" w:hAnsi="Arial" w:cs="Arial"/>
          <w:bCs/>
          <w:sz w:val="24"/>
          <w:szCs w:val="24"/>
          <w:highlight w:val="yellow"/>
          <w:lang w:eastAsia="en-GB"/>
        </w:rPr>
      </w:pPr>
    </w:p>
    <w:p w14:paraId="5F235210" w14:textId="4958B575" w:rsidR="00655E4C" w:rsidRPr="0007572B" w:rsidRDefault="00655E4C" w:rsidP="006F1659">
      <w:pPr>
        <w:pStyle w:val="Normal0"/>
        <w:spacing w:line="360" w:lineRule="auto"/>
        <w:rPr>
          <w:rFonts w:ascii="Arial" w:hAnsi="Arial" w:cs="Arial"/>
          <w:bCs/>
          <w:sz w:val="24"/>
          <w:szCs w:val="24"/>
          <w:lang w:eastAsia="en-GB"/>
        </w:rPr>
      </w:pPr>
      <w:r w:rsidRPr="00A131D4">
        <w:rPr>
          <w:rFonts w:ascii="Arial" w:hAnsi="Arial" w:cs="Arial"/>
          <w:bCs/>
          <w:sz w:val="24"/>
          <w:szCs w:val="24"/>
          <w:lang w:eastAsia="en-GB"/>
        </w:rPr>
        <w:t>An assessment of all the Authority’s interests has been carried out during the year, in accordance with the Code of Practice, to determine the relationships that exist and whether they should be included within the Authority’s group accounts. As such, group accounts have been prepared for the Authority to include Transport for Greater Manchester, Greater Manchester Police, NW Evergreen Holdings LP</w:t>
      </w:r>
      <w:r w:rsidR="00994314" w:rsidRPr="00A131D4">
        <w:rPr>
          <w:rFonts w:ascii="Arial" w:hAnsi="Arial" w:cs="Arial"/>
          <w:bCs/>
          <w:sz w:val="24"/>
          <w:szCs w:val="24"/>
          <w:lang w:eastAsia="en-GB"/>
        </w:rPr>
        <w:t>,</w:t>
      </w:r>
      <w:r w:rsidRPr="00A131D4">
        <w:rPr>
          <w:rFonts w:ascii="Arial" w:hAnsi="Arial" w:cs="Arial"/>
          <w:bCs/>
          <w:sz w:val="24"/>
          <w:szCs w:val="24"/>
          <w:lang w:eastAsia="en-GB"/>
        </w:rPr>
        <w:t xml:space="preserve"> GM Fund of Funds LP</w:t>
      </w:r>
      <w:r w:rsidR="00994314" w:rsidRPr="00A131D4">
        <w:rPr>
          <w:rFonts w:ascii="Arial" w:hAnsi="Arial" w:cs="Arial"/>
          <w:bCs/>
          <w:sz w:val="24"/>
          <w:szCs w:val="24"/>
          <w:lang w:eastAsia="en-GB"/>
        </w:rPr>
        <w:t xml:space="preserve"> and Greater Manchester Evergreen 2 LP</w:t>
      </w:r>
      <w:r w:rsidRPr="00A131D4">
        <w:rPr>
          <w:rFonts w:ascii="Arial" w:hAnsi="Arial" w:cs="Arial"/>
          <w:bCs/>
          <w:sz w:val="24"/>
          <w:szCs w:val="24"/>
          <w:lang w:eastAsia="en-GB"/>
        </w:rPr>
        <w:t>.</w:t>
      </w:r>
      <w:r w:rsidRPr="0007572B">
        <w:rPr>
          <w:rFonts w:ascii="Arial" w:hAnsi="Arial" w:cs="Arial"/>
          <w:bCs/>
          <w:sz w:val="24"/>
          <w:szCs w:val="24"/>
          <w:lang w:eastAsia="en-GB"/>
        </w:rPr>
        <w:t xml:space="preserve"> </w:t>
      </w:r>
    </w:p>
    <w:p w14:paraId="69102047" w14:textId="77777777" w:rsidR="00655E4C" w:rsidRPr="0007572B" w:rsidRDefault="00655E4C" w:rsidP="006F1659">
      <w:pPr>
        <w:pStyle w:val="Normal0"/>
        <w:spacing w:line="360" w:lineRule="auto"/>
        <w:rPr>
          <w:rFonts w:ascii="Arial" w:hAnsi="Arial" w:cs="Arial"/>
          <w:bCs/>
          <w:sz w:val="24"/>
          <w:szCs w:val="24"/>
          <w:lang w:eastAsia="en-GB"/>
        </w:rPr>
      </w:pPr>
    </w:p>
    <w:p w14:paraId="2AB33649" w14:textId="6B361FAB" w:rsidR="00655E4C" w:rsidRPr="0007572B" w:rsidRDefault="00655E4C" w:rsidP="006F1659">
      <w:pPr>
        <w:pStyle w:val="Heading4bold"/>
        <w:spacing w:line="360" w:lineRule="auto"/>
        <w:rPr>
          <w:lang w:eastAsia="en-GB"/>
        </w:rPr>
      </w:pPr>
      <w:r w:rsidRPr="0007572B">
        <w:rPr>
          <w:lang w:eastAsia="en-GB"/>
        </w:rPr>
        <w:t>1.2</w:t>
      </w:r>
      <w:r w:rsidR="00E85440">
        <w:rPr>
          <w:lang w:eastAsia="en-GB"/>
        </w:rPr>
        <w:t>9</w:t>
      </w:r>
      <w:r w:rsidRPr="0007572B">
        <w:rPr>
          <w:lang w:eastAsia="en-GB"/>
        </w:rPr>
        <w:t>. Discretionary Benefits</w:t>
      </w:r>
    </w:p>
    <w:p w14:paraId="383656FA"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The Authority also has restricted powers to make discretionary awards of retirement benefits in the event of early retirements. Any liabilities estimated to arise as a result of an award to any member of staff are accrued in the year of the decision to make the </w:t>
      </w:r>
      <w:r w:rsidRPr="0007572B">
        <w:rPr>
          <w:rFonts w:ascii="Arial" w:hAnsi="Arial" w:cs="Arial"/>
          <w:bCs/>
          <w:sz w:val="24"/>
          <w:szCs w:val="24"/>
          <w:lang w:eastAsia="en-GB"/>
        </w:rPr>
        <w:lastRenderedPageBreak/>
        <w:t>award and accounted for using the same policies that are applied to the Local Government Pension Scheme.</w:t>
      </w:r>
    </w:p>
    <w:p w14:paraId="17B3811A" w14:textId="77777777" w:rsidR="00655E4C" w:rsidRPr="0007572B" w:rsidRDefault="00655E4C" w:rsidP="006F1659">
      <w:pPr>
        <w:spacing w:line="360" w:lineRule="auto"/>
        <w:rPr>
          <w:rFonts w:ascii="Arial" w:eastAsiaTheme="minorHAnsi" w:hAnsi="Arial" w:cs="Arial"/>
          <w:b/>
          <w:bCs/>
          <w:lang w:val="en-US" w:eastAsia="en-GB"/>
        </w:rPr>
      </w:pPr>
    </w:p>
    <w:p w14:paraId="5C6C7279" w14:textId="1669DEFB" w:rsidR="00655E4C" w:rsidRPr="0007572B" w:rsidRDefault="00655E4C" w:rsidP="006F1659">
      <w:pPr>
        <w:pStyle w:val="Heading4bold"/>
        <w:spacing w:line="360" w:lineRule="auto"/>
        <w:rPr>
          <w:lang w:eastAsia="en-GB"/>
        </w:rPr>
      </w:pPr>
      <w:r w:rsidRPr="0007572B">
        <w:rPr>
          <w:lang w:eastAsia="en-GB"/>
        </w:rPr>
        <w:t>1.</w:t>
      </w:r>
      <w:r w:rsidR="00E85440">
        <w:rPr>
          <w:lang w:eastAsia="en-GB"/>
        </w:rPr>
        <w:t>30</w:t>
      </w:r>
      <w:r w:rsidRPr="0007572B">
        <w:rPr>
          <w:lang w:eastAsia="en-GB"/>
        </w:rPr>
        <w:t>. Benefits Payable During Employment</w:t>
      </w:r>
    </w:p>
    <w:p w14:paraId="4770765B" w14:textId="17D49C2A"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Short</w:t>
      </w:r>
      <w:r w:rsidR="00F3496D">
        <w:rPr>
          <w:rFonts w:ascii="Arial" w:hAnsi="Arial" w:cs="Arial"/>
          <w:bCs/>
          <w:sz w:val="24"/>
          <w:szCs w:val="24"/>
          <w:lang w:eastAsia="en-GB"/>
        </w:rPr>
        <w:t xml:space="preserve"> </w:t>
      </w:r>
      <w:r w:rsidRPr="0007572B">
        <w:rPr>
          <w:rFonts w:ascii="Arial" w:hAnsi="Arial" w:cs="Arial"/>
          <w:bCs/>
          <w:sz w:val="24"/>
          <w:szCs w:val="24"/>
          <w:lang w:eastAsia="en-GB"/>
        </w:rPr>
        <w:t xml:space="preserve">term employee benefits are those due to be settled within 12 months of the year-end. They include such benefits as wages and salaries, paid annual leave and paid sick leave, bonuses and non-monetary benefits (e.g. cars) for current employees, and are recognised as an expense for services in the year in which employees render service to the Authority. </w:t>
      </w:r>
    </w:p>
    <w:p w14:paraId="40795833" w14:textId="77777777" w:rsidR="00655E4C" w:rsidRPr="0007572B" w:rsidRDefault="00655E4C" w:rsidP="006F1659">
      <w:pPr>
        <w:pStyle w:val="Normal0"/>
        <w:spacing w:line="360" w:lineRule="auto"/>
        <w:rPr>
          <w:rFonts w:ascii="Arial" w:hAnsi="Arial" w:cs="Arial"/>
          <w:bCs/>
          <w:sz w:val="24"/>
          <w:szCs w:val="24"/>
          <w:lang w:eastAsia="en-GB"/>
        </w:rPr>
      </w:pPr>
    </w:p>
    <w:p w14:paraId="0A397FE3" w14:textId="1563FFBA"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In 2018/19, the Authority adopted a policy of not accruing for employee benefits if the value of the adjustment was considered immaterial. An annual assessment will be made each </w:t>
      </w:r>
      <w:r w:rsidR="000B7231" w:rsidRPr="0007572B">
        <w:rPr>
          <w:rFonts w:ascii="Arial" w:hAnsi="Arial" w:cs="Arial"/>
          <w:bCs/>
          <w:sz w:val="24"/>
          <w:szCs w:val="24"/>
          <w:lang w:eastAsia="en-GB"/>
        </w:rPr>
        <w:t>year and</w:t>
      </w:r>
      <w:r w:rsidRPr="0007572B">
        <w:rPr>
          <w:rFonts w:ascii="Arial" w:hAnsi="Arial" w:cs="Arial"/>
          <w:bCs/>
          <w:sz w:val="24"/>
          <w:szCs w:val="24"/>
          <w:lang w:eastAsia="en-GB"/>
        </w:rPr>
        <w:t xml:space="preserve"> should this result in an adjustment that would be material then these benefits will be accrued</w:t>
      </w:r>
      <w:r w:rsidRPr="006E29C3">
        <w:rPr>
          <w:rFonts w:ascii="Arial" w:hAnsi="Arial" w:cs="Arial"/>
          <w:bCs/>
          <w:sz w:val="24"/>
          <w:szCs w:val="24"/>
          <w:lang w:eastAsia="en-GB"/>
        </w:rPr>
        <w:t xml:space="preserve">. </w:t>
      </w:r>
      <w:r w:rsidRPr="00A131D4">
        <w:rPr>
          <w:rFonts w:ascii="Arial" w:hAnsi="Arial" w:cs="Arial"/>
          <w:bCs/>
          <w:sz w:val="24"/>
          <w:szCs w:val="24"/>
          <w:lang w:eastAsia="en-GB"/>
        </w:rPr>
        <w:t xml:space="preserve">In the </w:t>
      </w:r>
      <w:r w:rsidR="00D1125B">
        <w:rPr>
          <w:rFonts w:ascii="Arial" w:hAnsi="Arial" w:cs="Arial"/>
          <w:bCs/>
          <w:sz w:val="24"/>
          <w:szCs w:val="24"/>
          <w:lang w:eastAsia="en-GB"/>
        </w:rPr>
        <w:t>2023/24</w:t>
      </w:r>
      <w:r w:rsidRPr="00A131D4">
        <w:rPr>
          <w:rFonts w:ascii="Arial" w:hAnsi="Arial" w:cs="Arial"/>
          <w:bCs/>
          <w:sz w:val="24"/>
          <w:szCs w:val="24"/>
          <w:lang w:eastAsia="en-GB"/>
        </w:rPr>
        <w:t xml:space="preserve"> accounts the employee benefit accrual was calculated and considered not to be material, therefore the accounts have not been adjusted.</w:t>
      </w:r>
    </w:p>
    <w:p w14:paraId="5AEBD565" w14:textId="77777777" w:rsidR="00655E4C" w:rsidRPr="0007572B" w:rsidRDefault="00655E4C" w:rsidP="006F1659">
      <w:pPr>
        <w:pStyle w:val="Normal0"/>
        <w:spacing w:line="360" w:lineRule="auto"/>
        <w:rPr>
          <w:rFonts w:ascii="Arial" w:hAnsi="Arial" w:cs="Arial"/>
          <w:bCs/>
          <w:sz w:val="24"/>
          <w:szCs w:val="24"/>
          <w:lang w:eastAsia="en-GB"/>
        </w:rPr>
      </w:pPr>
    </w:p>
    <w:p w14:paraId="24666ACB" w14:textId="769C0066" w:rsidR="00655E4C" w:rsidRPr="0007572B" w:rsidRDefault="00655E4C" w:rsidP="006F1659">
      <w:pPr>
        <w:pStyle w:val="Heading4bold"/>
        <w:spacing w:line="360" w:lineRule="auto"/>
        <w:rPr>
          <w:lang w:eastAsia="en-GB"/>
        </w:rPr>
      </w:pPr>
      <w:r w:rsidRPr="0007572B">
        <w:rPr>
          <w:lang w:eastAsia="en-GB"/>
        </w:rPr>
        <w:t>1.</w:t>
      </w:r>
      <w:r w:rsidR="00E85440">
        <w:rPr>
          <w:lang w:eastAsia="en-GB"/>
        </w:rPr>
        <w:t>31</w:t>
      </w:r>
      <w:r w:rsidRPr="0007572B">
        <w:rPr>
          <w:lang w:eastAsia="en-GB"/>
        </w:rPr>
        <w:t>. Private Finance Initiative (PFI)</w:t>
      </w:r>
    </w:p>
    <w:p w14:paraId="081BC531"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PFI and similar contracts are agreements to receive services, where the responsibility for making available the property, plant and equipment needed to provide the services passes to the PFI contractor. As the Authority is deemed to control the services that are provided under these PFI schemes, and as ownership of the property, plant and equipment will pass to the Authority at the end of the contracts for no additional charge, the Authority carries the assets used under the contracts on </w:t>
      </w:r>
      <w:r>
        <w:rPr>
          <w:rFonts w:ascii="Arial" w:hAnsi="Arial" w:cs="Arial"/>
          <w:bCs/>
          <w:sz w:val="24"/>
          <w:szCs w:val="24"/>
          <w:lang w:eastAsia="en-GB"/>
        </w:rPr>
        <w:t>the</w:t>
      </w:r>
      <w:r w:rsidRPr="0007572B">
        <w:rPr>
          <w:rFonts w:ascii="Arial" w:hAnsi="Arial" w:cs="Arial"/>
          <w:bCs/>
          <w:sz w:val="24"/>
          <w:szCs w:val="24"/>
          <w:lang w:eastAsia="en-GB"/>
        </w:rPr>
        <w:t xml:space="preserve"> Balance Sheet as part of Property, Plant and Equipment. </w:t>
      </w:r>
    </w:p>
    <w:p w14:paraId="2C689B4E" w14:textId="77777777" w:rsidR="00655E4C" w:rsidRPr="0007572B" w:rsidRDefault="00655E4C" w:rsidP="006F1659">
      <w:pPr>
        <w:pStyle w:val="Normal0"/>
        <w:spacing w:line="360" w:lineRule="auto"/>
        <w:rPr>
          <w:rFonts w:ascii="Arial" w:hAnsi="Arial" w:cs="Arial"/>
          <w:bCs/>
          <w:sz w:val="24"/>
          <w:szCs w:val="24"/>
          <w:lang w:eastAsia="en-GB"/>
        </w:rPr>
      </w:pPr>
    </w:p>
    <w:p w14:paraId="441AC325"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The original recognition of these assets at fair value (based on the cost to purchase the property, plant and equipment) is balanced by the recognition of a liability for amounts due to the scheme operator to pay for the capital investment. When establishing the recognition point of an asset, the Authority considers when probable and future benefits of the asset will flow to it and the extent to which the cost of the asset can be reliably measured.</w:t>
      </w:r>
    </w:p>
    <w:p w14:paraId="51BD4B0A" w14:textId="77777777" w:rsidR="00655E4C" w:rsidRPr="0007572B" w:rsidRDefault="00655E4C" w:rsidP="006F1659">
      <w:pPr>
        <w:pStyle w:val="Normal0"/>
        <w:spacing w:line="360" w:lineRule="auto"/>
        <w:rPr>
          <w:rFonts w:ascii="Arial" w:hAnsi="Arial" w:cs="Arial"/>
          <w:bCs/>
          <w:sz w:val="24"/>
          <w:szCs w:val="24"/>
          <w:lang w:eastAsia="en-GB"/>
        </w:rPr>
      </w:pPr>
    </w:p>
    <w:p w14:paraId="65F4AE59"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lastRenderedPageBreak/>
        <w:t>PFI and similar contracts recognised on the Balance Sheet are revalued and depreciated in the same way as property, plant and equipment owned by the Authority.</w:t>
      </w:r>
    </w:p>
    <w:p w14:paraId="76D185DD" w14:textId="77777777" w:rsidR="00655E4C" w:rsidRPr="0007572B" w:rsidRDefault="00655E4C" w:rsidP="006F1659">
      <w:pPr>
        <w:pStyle w:val="Normal0"/>
        <w:spacing w:line="360" w:lineRule="auto"/>
        <w:rPr>
          <w:rFonts w:ascii="Arial" w:hAnsi="Arial" w:cs="Arial"/>
          <w:bCs/>
          <w:sz w:val="24"/>
          <w:szCs w:val="24"/>
          <w:lang w:eastAsia="en-GB"/>
        </w:rPr>
      </w:pPr>
    </w:p>
    <w:p w14:paraId="5F0960F3"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The amounts payable to the PFI operators each year are analysed into the following elements:</w:t>
      </w:r>
    </w:p>
    <w:p w14:paraId="05D93940" w14:textId="77777777" w:rsidR="00655E4C" w:rsidRPr="0007572B" w:rsidRDefault="00655E4C" w:rsidP="006F1659">
      <w:pPr>
        <w:pStyle w:val="Normal0"/>
        <w:spacing w:line="360" w:lineRule="auto"/>
        <w:rPr>
          <w:rFonts w:ascii="Arial" w:hAnsi="Arial" w:cs="Arial"/>
          <w:bCs/>
          <w:sz w:val="24"/>
          <w:szCs w:val="24"/>
          <w:lang w:eastAsia="en-GB"/>
        </w:rPr>
      </w:pPr>
    </w:p>
    <w:p w14:paraId="79760019" w14:textId="77777777" w:rsidR="00655E4C" w:rsidRPr="0007572B" w:rsidRDefault="00655E4C" w:rsidP="006F1659">
      <w:pPr>
        <w:pStyle w:val="ListParagraph"/>
        <w:numPr>
          <w:ilvl w:val="0"/>
          <w:numId w:val="27"/>
        </w:numPr>
        <w:spacing w:line="360" w:lineRule="auto"/>
        <w:rPr>
          <w:rFonts w:ascii="Arial" w:hAnsi="Arial" w:cs="Arial"/>
          <w:bCs/>
          <w:sz w:val="24"/>
          <w:szCs w:val="24"/>
        </w:rPr>
      </w:pPr>
      <w:r w:rsidRPr="0007572B">
        <w:rPr>
          <w:rFonts w:ascii="Arial" w:hAnsi="Arial" w:cs="Arial"/>
          <w:b/>
          <w:bCs/>
          <w:sz w:val="24"/>
          <w:szCs w:val="24"/>
        </w:rPr>
        <w:t>Fair value of the services received during the year</w:t>
      </w:r>
      <w:r w:rsidRPr="0007572B">
        <w:rPr>
          <w:rFonts w:ascii="Arial" w:hAnsi="Arial" w:cs="Arial"/>
          <w:bCs/>
          <w:sz w:val="24"/>
          <w:szCs w:val="24"/>
        </w:rPr>
        <w:t xml:space="preserve"> – debited to the relevant service in the Comprehensive Income and Expenditure Statement;</w:t>
      </w:r>
    </w:p>
    <w:p w14:paraId="3EEEB399" w14:textId="77777777" w:rsidR="00655E4C" w:rsidRPr="0007572B" w:rsidRDefault="00655E4C" w:rsidP="006F1659">
      <w:pPr>
        <w:pStyle w:val="ListParagraph"/>
        <w:numPr>
          <w:ilvl w:val="0"/>
          <w:numId w:val="27"/>
        </w:numPr>
        <w:spacing w:line="360" w:lineRule="auto"/>
        <w:rPr>
          <w:rFonts w:ascii="Arial" w:hAnsi="Arial" w:cs="Arial"/>
          <w:bCs/>
          <w:sz w:val="24"/>
          <w:szCs w:val="24"/>
        </w:rPr>
      </w:pPr>
      <w:r w:rsidRPr="0007572B">
        <w:rPr>
          <w:rFonts w:ascii="Arial" w:hAnsi="Arial" w:cs="Arial"/>
          <w:b/>
          <w:bCs/>
          <w:sz w:val="24"/>
          <w:szCs w:val="24"/>
        </w:rPr>
        <w:t>Finance costs</w:t>
      </w:r>
      <w:r w:rsidRPr="0007572B">
        <w:rPr>
          <w:rFonts w:ascii="Arial" w:hAnsi="Arial" w:cs="Arial"/>
          <w:bCs/>
          <w:sz w:val="24"/>
          <w:szCs w:val="24"/>
        </w:rPr>
        <w:t xml:space="preserve"> – an interest charge on the outstanding Balance Sheet liability, debited to the Financing and Investment Income and Expenditure line in the Comprehensive Income and Expenditure Statement;</w:t>
      </w:r>
    </w:p>
    <w:p w14:paraId="666CB970" w14:textId="77777777" w:rsidR="00655E4C" w:rsidRPr="0007572B" w:rsidRDefault="00655E4C" w:rsidP="006F1659">
      <w:pPr>
        <w:pStyle w:val="ListParagraph"/>
        <w:numPr>
          <w:ilvl w:val="0"/>
          <w:numId w:val="27"/>
        </w:numPr>
        <w:spacing w:line="360" w:lineRule="auto"/>
        <w:rPr>
          <w:rFonts w:ascii="Arial" w:hAnsi="Arial" w:cs="Arial"/>
          <w:bCs/>
          <w:sz w:val="24"/>
          <w:szCs w:val="24"/>
        </w:rPr>
      </w:pPr>
      <w:r w:rsidRPr="0007572B">
        <w:rPr>
          <w:rFonts w:ascii="Arial" w:hAnsi="Arial" w:cs="Arial"/>
          <w:b/>
          <w:bCs/>
          <w:sz w:val="24"/>
          <w:szCs w:val="24"/>
        </w:rPr>
        <w:t>Contingent Rents</w:t>
      </w:r>
      <w:r w:rsidRPr="0007572B">
        <w:rPr>
          <w:rFonts w:ascii="Arial" w:hAnsi="Arial" w:cs="Arial"/>
          <w:bCs/>
          <w:sz w:val="24"/>
          <w:szCs w:val="24"/>
        </w:rPr>
        <w:t xml:space="preserve"> – Increases in the amount to be paid for the property arising during the contract, debited to the Financing and Investment Income and Expenditure line in the Comprehensive Income and Expenditure Statement;</w:t>
      </w:r>
    </w:p>
    <w:p w14:paraId="7412FB1D" w14:textId="77777777" w:rsidR="00655E4C" w:rsidRPr="0007572B" w:rsidRDefault="00655E4C" w:rsidP="006F1659">
      <w:pPr>
        <w:pStyle w:val="ListParagraph"/>
        <w:numPr>
          <w:ilvl w:val="0"/>
          <w:numId w:val="27"/>
        </w:numPr>
        <w:spacing w:line="360" w:lineRule="auto"/>
        <w:rPr>
          <w:rFonts w:ascii="Arial" w:hAnsi="Arial" w:cs="Arial"/>
          <w:bCs/>
          <w:sz w:val="24"/>
          <w:szCs w:val="24"/>
        </w:rPr>
      </w:pPr>
      <w:r w:rsidRPr="0007572B">
        <w:rPr>
          <w:rFonts w:ascii="Arial" w:hAnsi="Arial" w:cs="Arial"/>
          <w:b/>
          <w:bCs/>
          <w:sz w:val="24"/>
          <w:szCs w:val="24"/>
        </w:rPr>
        <w:t>Payment towards liability</w:t>
      </w:r>
      <w:r w:rsidRPr="0007572B">
        <w:rPr>
          <w:rFonts w:ascii="Arial" w:hAnsi="Arial" w:cs="Arial"/>
          <w:bCs/>
          <w:sz w:val="24"/>
          <w:szCs w:val="24"/>
        </w:rPr>
        <w:t xml:space="preserve"> – applied to write down the Balance Sheet liability towards the PFI operator (the profile of write-downs is calculated using the same principles as for a finance lease);</w:t>
      </w:r>
    </w:p>
    <w:p w14:paraId="17388A4A" w14:textId="77777777" w:rsidR="00655E4C" w:rsidRPr="0007572B" w:rsidRDefault="00655E4C" w:rsidP="006F1659">
      <w:pPr>
        <w:pStyle w:val="ListParagraph"/>
        <w:numPr>
          <w:ilvl w:val="0"/>
          <w:numId w:val="27"/>
        </w:numPr>
        <w:spacing w:line="360" w:lineRule="auto"/>
        <w:rPr>
          <w:rFonts w:ascii="Arial" w:hAnsi="Arial" w:cs="Arial"/>
          <w:bCs/>
          <w:sz w:val="24"/>
          <w:szCs w:val="24"/>
        </w:rPr>
      </w:pPr>
      <w:r w:rsidRPr="0007572B">
        <w:rPr>
          <w:rFonts w:ascii="Arial" w:hAnsi="Arial" w:cs="Arial"/>
          <w:b/>
          <w:bCs/>
          <w:sz w:val="24"/>
          <w:szCs w:val="24"/>
        </w:rPr>
        <w:t>Lifecycle replacement costs</w:t>
      </w:r>
      <w:r w:rsidRPr="0007572B">
        <w:rPr>
          <w:rFonts w:ascii="Arial" w:hAnsi="Arial" w:cs="Arial"/>
          <w:bCs/>
          <w:sz w:val="24"/>
          <w:szCs w:val="24"/>
        </w:rPr>
        <w:t xml:space="preserve"> – proportion of the amounts payable is posted to the Balance Sheet as a prepayment and then recognised as additions to Property, Plant and Equipment when the relevant works are eventually carried out. </w:t>
      </w:r>
    </w:p>
    <w:p w14:paraId="6F1DEB02" w14:textId="562F288A" w:rsidR="00655E4C"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The Authority is deemed to control the services provided under its PFI arrangement for the Stretford Fire Station site. The Authority also has a PFI contract for the construction and maintenance of 17 police stations across </w:t>
      </w:r>
      <w:r w:rsidR="00336C9F">
        <w:rPr>
          <w:rFonts w:ascii="Arial" w:hAnsi="Arial" w:cs="Arial"/>
          <w:bCs/>
          <w:sz w:val="24"/>
          <w:szCs w:val="24"/>
          <w:lang w:eastAsia="en-GB"/>
        </w:rPr>
        <w:t>GM</w:t>
      </w:r>
      <w:r w:rsidRPr="0007572B">
        <w:rPr>
          <w:rFonts w:ascii="Arial" w:hAnsi="Arial" w:cs="Arial"/>
          <w:bCs/>
          <w:sz w:val="24"/>
          <w:szCs w:val="24"/>
          <w:lang w:eastAsia="en-GB"/>
        </w:rPr>
        <w:t xml:space="preserve"> whereby the contractor will operate and service the stations for 25 years after which ownership will revert to the Mayor of </w:t>
      </w:r>
      <w:r w:rsidR="00336C9F">
        <w:rPr>
          <w:rFonts w:ascii="Arial" w:hAnsi="Arial" w:cs="Arial"/>
          <w:bCs/>
          <w:sz w:val="24"/>
          <w:szCs w:val="24"/>
          <w:lang w:eastAsia="en-GB"/>
        </w:rPr>
        <w:t>GM</w:t>
      </w:r>
      <w:r w:rsidRPr="0007572B">
        <w:rPr>
          <w:rFonts w:ascii="Arial" w:hAnsi="Arial" w:cs="Arial"/>
          <w:bCs/>
          <w:sz w:val="24"/>
          <w:szCs w:val="24"/>
          <w:lang w:eastAsia="en-GB"/>
        </w:rPr>
        <w:t xml:space="preserve"> for nil consideration. The accounting policy for PFIs and similar arrangements has been applied to these arrangements and the assets are recognised as Property, Plant and Equipment in the Balance Sheet.</w:t>
      </w:r>
    </w:p>
    <w:p w14:paraId="6A330CD3" w14:textId="77777777" w:rsidR="007E4DDF" w:rsidRDefault="007E4DDF" w:rsidP="006F1659">
      <w:pPr>
        <w:pStyle w:val="Normal0"/>
        <w:spacing w:line="360" w:lineRule="auto"/>
        <w:rPr>
          <w:rFonts w:ascii="Arial" w:hAnsi="Arial" w:cs="Arial"/>
          <w:bCs/>
          <w:sz w:val="24"/>
          <w:szCs w:val="24"/>
          <w:lang w:eastAsia="en-GB"/>
        </w:rPr>
      </w:pPr>
    </w:p>
    <w:p w14:paraId="7EE58E3D" w14:textId="77777777" w:rsidR="00B851EF" w:rsidRDefault="00B851EF">
      <w:pPr>
        <w:rPr>
          <w:rFonts w:ascii="Arial" w:eastAsia="Palatino Linotype" w:hAnsi="Arial" w:cs="Arial"/>
          <w:b/>
          <w:bCs/>
          <w:szCs w:val="28"/>
          <w:lang w:val="en-US"/>
        </w:rPr>
      </w:pPr>
      <w:bookmarkStart w:id="86" w:name="_Toc109922611"/>
      <w:r>
        <w:br w:type="page"/>
      </w:r>
    </w:p>
    <w:p w14:paraId="0F839B14" w14:textId="7DCB64C3" w:rsidR="00655E4C" w:rsidRPr="0007572B" w:rsidRDefault="00655E4C" w:rsidP="006F1659">
      <w:pPr>
        <w:pStyle w:val="Heading3greennumbered"/>
        <w:spacing w:line="360" w:lineRule="auto"/>
      </w:pPr>
      <w:r w:rsidRPr="0007572B">
        <w:lastRenderedPageBreak/>
        <w:t>2 Critical Accounting</w:t>
      </w:r>
      <w:r w:rsidRPr="0007572B">
        <w:rPr>
          <w:spacing w:val="2"/>
        </w:rPr>
        <w:t xml:space="preserve"> </w:t>
      </w:r>
      <w:r w:rsidRPr="0007572B">
        <w:t>Judgements</w:t>
      </w:r>
      <w:bookmarkEnd w:id="86"/>
    </w:p>
    <w:p w14:paraId="46E115BF" w14:textId="77777777" w:rsidR="00655E4C" w:rsidRDefault="00655E4C" w:rsidP="006F1659">
      <w:pPr>
        <w:pStyle w:val="Normal0"/>
        <w:autoSpaceDE w:val="0"/>
        <w:autoSpaceDN w:val="0"/>
        <w:adjustRightInd w:val="0"/>
        <w:spacing w:line="360" w:lineRule="auto"/>
        <w:rPr>
          <w:rFonts w:ascii="Arial" w:hAnsi="Arial" w:cs="Arial"/>
          <w:sz w:val="24"/>
          <w:szCs w:val="24"/>
        </w:rPr>
      </w:pPr>
    </w:p>
    <w:p w14:paraId="440C252A" w14:textId="77777777" w:rsidR="00655E4C" w:rsidRPr="0007572B" w:rsidRDefault="00655E4C" w:rsidP="006F1659">
      <w:pPr>
        <w:pStyle w:val="Normal0"/>
        <w:autoSpaceDE w:val="0"/>
        <w:autoSpaceDN w:val="0"/>
        <w:adjustRightInd w:val="0"/>
        <w:spacing w:line="360" w:lineRule="auto"/>
        <w:rPr>
          <w:rFonts w:ascii="Arial" w:hAnsi="Arial" w:cs="Arial"/>
          <w:sz w:val="24"/>
          <w:szCs w:val="24"/>
        </w:rPr>
      </w:pPr>
      <w:r w:rsidRPr="0007572B">
        <w:rPr>
          <w:rFonts w:ascii="Arial" w:hAnsi="Arial" w:cs="Arial"/>
          <w:sz w:val="24"/>
          <w:szCs w:val="24"/>
        </w:rPr>
        <w:t>In applying the accounting policies set out in the notes to the accounts, the Authority has had to make certain judgements about complex in year transactions or those involving uncertainty about future events. The following are significant management judgements made in applying the accounting policies of the Authority that have the most significant effect on the Statement of Accounts. Material estimation uncertainties are described in the notes to the accounts.</w:t>
      </w:r>
    </w:p>
    <w:p w14:paraId="20FAA1DD" w14:textId="77777777" w:rsidR="00655E4C" w:rsidRPr="0007572B" w:rsidRDefault="00655E4C" w:rsidP="006F1659">
      <w:pPr>
        <w:pStyle w:val="Normal0"/>
        <w:autoSpaceDE w:val="0"/>
        <w:autoSpaceDN w:val="0"/>
        <w:spacing w:line="360" w:lineRule="auto"/>
        <w:rPr>
          <w:rFonts w:ascii="Arial" w:hAnsi="Arial" w:cs="Arial"/>
          <w:b/>
          <w:sz w:val="24"/>
          <w:szCs w:val="24"/>
        </w:rPr>
      </w:pPr>
    </w:p>
    <w:p w14:paraId="4A205A73" w14:textId="77777777" w:rsidR="00655E4C" w:rsidRPr="0007572B" w:rsidRDefault="00655E4C" w:rsidP="006F1659">
      <w:pPr>
        <w:pStyle w:val="Heading4bold"/>
        <w:spacing w:line="360" w:lineRule="auto"/>
      </w:pPr>
      <w:bookmarkStart w:id="87" w:name="_Hlk114673293"/>
      <w:r w:rsidRPr="0007572B">
        <w:t>Government Funding</w:t>
      </w:r>
    </w:p>
    <w:p w14:paraId="641575DB" w14:textId="5619CC0C" w:rsidR="00290F44" w:rsidRDefault="00290F44" w:rsidP="006F1659">
      <w:pPr>
        <w:pStyle w:val="Normal0"/>
        <w:autoSpaceDE w:val="0"/>
        <w:autoSpaceDN w:val="0"/>
        <w:spacing w:line="360" w:lineRule="auto"/>
        <w:rPr>
          <w:rFonts w:ascii="Arial" w:hAnsi="Arial" w:cs="Arial"/>
          <w:sz w:val="24"/>
          <w:szCs w:val="24"/>
        </w:rPr>
      </w:pPr>
      <w:r>
        <w:rPr>
          <w:rFonts w:ascii="Arial" w:hAnsi="Arial" w:cs="Arial"/>
          <w:sz w:val="24"/>
          <w:szCs w:val="24"/>
        </w:rPr>
        <w:t xml:space="preserve">There is an inherent degree of uncertainty about future levels of funding for major </w:t>
      </w:r>
      <w:r w:rsidR="00EC49BA">
        <w:rPr>
          <w:rFonts w:ascii="Arial" w:hAnsi="Arial" w:cs="Arial"/>
          <w:sz w:val="24"/>
          <w:szCs w:val="24"/>
        </w:rPr>
        <w:t>g</w:t>
      </w:r>
      <w:r>
        <w:rPr>
          <w:rFonts w:ascii="Arial" w:hAnsi="Arial" w:cs="Arial"/>
          <w:sz w:val="24"/>
          <w:szCs w:val="24"/>
        </w:rPr>
        <w:t>overnment programmes devolved to GMCA and Local Government funding as a whole. Where necessary the Authority would have to consider a range of options on how to continue to provide some elements of its services with a reduced level of funding.</w:t>
      </w:r>
    </w:p>
    <w:bookmarkEnd w:id="87"/>
    <w:p w14:paraId="28BDE1ED" w14:textId="77777777" w:rsidR="00655E4C" w:rsidRDefault="00655E4C" w:rsidP="006F1659">
      <w:pPr>
        <w:pStyle w:val="Normal0"/>
        <w:autoSpaceDE w:val="0"/>
        <w:autoSpaceDN w:val="0"/>
        <w:spacing w:line="360" w:lineRule="auto"/>
        <w:rPr>
          <w:rFonts w:ascii="Arial" w:hAnsi="Arial" w:cs="Arial"/>
          <w:sz w:val="24"/>
          <w:szCs w:val="24"/>
        </w:rPr>
      </w:pPr>
    </w:p>
    <w:p w14:paraId="1790FD0B" w14:textId="77777777" w:rsidR="00655E4C" w:rsidRDefault="00655E4C" w:rsidP="006F1659">
      <w:pPr>
        <w:pStyle w:val="Normal0"/>
        <w:autoSpaceDE w:val="0"/>
        <w:autoSpaceDN w:val="0"/>
        <w:spacing w:line="360" w:lineRule="auto"/>
        <w:rPr>
          <w:rFonts w:ascii="Arial" w:hAnsi="Arial" w:cs="Arial"/>
          <w:sz w:val="24"/>
          <w:szCs w:val="24"/>
        </w:rPr>
      </w:pPr>
      <w:r>
        <w:rPr>
          <w:rFonts w:ascii="Arial" w:hAnsi="Arial" w:cs="Arial"/>
          <w:sz w:val="24"/>
          <w:szCs w:val="24"/>
        </w:rPr>
        <w:t>The asset base across Police and Crime, Fire and Rescue and Transport functions is considered as part of the financial planning process and there is not currently a sufficient indication that the assets of the Authority might be impaired as a result of a need to close facilities and reduce levels of service provision.</w:t>
      </w:r>
    </w:p>
    <w:p w14:paraId="30484E76" w14:textId="77777777" w:rsidR="00655E4C" w:rsidRPr="0007572B" w:rsidRDefault="00655E4C" w:rsidP="006F1659">
      <w:pPr>
        <w:spacing w:line="360" w:lineRule="auto"/>
        <w:rPr>
          <w:rFonts w:ascii="Arial" w:eastAsiaTheme="minorHAnsi" w:hAnsi="Arial" w:cs="Arial"/>
          <w:b/>
          <w:lang w:val="en-US"/>
        </w:rPr>
      </w:pPr>
    </w:p>
    <w:p w14:paraId="60F6D8EF" w14:textId="77777777" w:rsidR="00655E4C" w:rsidRPr="0007572B" w:rsidRDefault="00655E4C" w:rsidP="006F1659">
      <w:pPr>
        <w:pStyle w:val="Heading4bold"/>
        <w:spacing w:line="360" w:lineRule="auto"/>
      </w:pPr>
      <w:r w:rsidRPr="0007572B">
        <w:t>Private Finance Initiative (PFI)</w:t>
      </w:r>
    </w:p>
    <w:p w14:paraId="78ED4161" w14:textId="77777777" w:rsidR="00655E4C" w:rsidRPr="0007572B" w:rsidRDefault="00655E4C" w:rsidP="006F1659">
      <w:pPr>
        <w:spacing w:line="360" w:lineRule="auto"/>
        <w:rPr>
          <w:rFonts w:ascii="Arial" w:hAnsi="Arial" w:cs="Arial"/>
        </w:rPr>
      </w:pPr>
      <w:r w:rsidRPr="0007572B">
        <w:rPr>
          <w:rFonts w:ascii="Arial" w:hAnsi="Arial" w:cs="Arial"/>
        </w:rPr>
        <w:t>The Authority has entered into Private Finance Initiative (PFI) agreements for the Stretford Fire Station and 17 new Police Stations across 16 sites. The ownership of the buildings is determined by who holds the balance of control in line with accounting standards. The Authority considers the buildings and equipment associated with these sites should be included on its Balance Sheet because:</w:t>
      </w:r>
    </w:p>
    <w:p w14:paraId="40F23068" w14:textId="77777777" w:rsidR="00655E4C" w:rsidRPr="0007572B" w:rsidRDefault="00655E4C" w:rsidP="006F1659">
      <w:pPr>
        <w:pStyle w:val="ListParagraph"/>
        <w:numPr>
          <w:ilvl w:val="0"/>
          <w:numId w:val="27"/>
        </w:numPr>
        <w:spacing w:line="360" w:lineRule="auto"/>
        <w:rPr>
          <w:rFonts w:ascii="Arial" w:hAnsi="Arial" w:cs="Arial"/>
          <w:b/>
          <w:bCs/>
          <w:sz w:val="24"/>
          <w:szCs w:val="24"/>
        </w:rPr>
      </w:pPr>
      <w:r w:rsidRPr="0007572B">
        <w:rPr>
          <w:rFonts w:ascii="Arial" w:hAnsi="Arial" w:cs="Arial"/>
          <w:bCs/>
          <w:sz w:val="24"/>
          <w:szCs w:val="24"/>
        </w:rPr>
        <w:t>The reversion clause within the PFI agreement results in the Authority having a residual interest in the buildings at the end of the agreement;</w:t>
      </w:r>
    </w:p>
    <w:p w14:paraId="2637DD86" w14:textId="77777777" w:rsidR="00655E4C" w:rsidRPr="0007572B" w:rsidRDefault="00655E4C" w:rsidP="006F1659">
      <w:pPr>
        <w:pStyle w:val="ListParagraph"/>
        <w:numPr>
          <w:ilvl w:val="0"/>
          <w:numId w:val="27"/>
        </w:numPr>
        <w:spacing w:line="360" w:lineRule="auto"/>
        <w:rPr>
          <w:rFonts w:ascii="Arial" w:hAnsi="Arial" w:cs="Arial"/>
          <w:b/>
          <w:bCs/>
          <w:sz w:val="24"/>
          <w:szCs w:val="24"/>
        </w:rPr>
      </w:pPr>
      <w:r w:rsidRPr="0007572B">
        <w:rPr>
          <w:rFonts w:ascii="Arial" w:hAnsi="Arial" w:cs="Arial"/>
          <w:bCs/>
          <w:sz w:val="24"/>
          <w:szCs w:val="24"/>
        </w:rPr>
        <w:t>The services provided and the use of the building is controlled by the Authority through the PFI agreement; and</w:t>
      </w:r>
    </w:p>
    <w:p w14:paraId="483A2C0E" w14:textId="77777777" w:rsidR="00655E4C" w:rsidRDefault="00655E4C" w:rsidP="006F1659">
      <w:pPr>
        <w:pStyle w:val="ListParagraph"/>
        <w:numPr>
          <w:ilvl w:val="0"/>
          <w:numId w:val="27"/>
        </w:numPr>
        <w:spacing w:line="360" w:lineRule="auto"/>
        <w:rPr>
          <w:rFonts w:ascii="Arial" w:hAnsi="Arial" w:cs="Arial"/>
          <w:sz w:val="24"/>
          <w:szCs w:val="24"/>
        </w:rPr>
      </w:pPr>
      <w:r w:rsidRPr="0007572B">
        <w:rPr>
          <w:rFonts w:ascii="Arial" w:hAnsi="Arial" w:cs="Arial"/>
          <w:bCs/>
          <w:sz w:val="24"/>
          <w:szCs w:val="24"/>
        </w:rPr>
        <w:t>The PFI agreement</w:t>
      </w:r>
      <w:r w:rsidRPr="0007572B">
        <w:rPr>
          <w:rFonts w:ascii="Arial" w:hAnsi="Arial" w:cs="Arial"/>
          <w:sz w:val="24"/>
          <w:szCs w:val="24"/>
        </w:rPr>
        <w:t xml:space="preserve"> is between the PFI contractor and the Authority.</w:t>
      </w:r>
    </w:p>
    <w:p w14:paraId="708B8CDC" w14:textId="77777777" w:rsidR="00616CD8" w:rsidRPr="00616CD8" w:rsidRDefault="00616CD8" w:rsidP="00616CD8">
      <w:pPr>
        <w:spacing w:line="360" w:lineRule="auto"/>
        <w:rPr>
          <w:rFonts w:ascii="Arial" w:hAnsi="Arial" w:cs="Arial"/>
        </w:rPr>
      </w:pPr>
    </w:p>
    <w:p w14:paraId="28AF779B" w14:textId="119E62B5" w:rsidR="00B66F43" w:rsidRPr="00B66F43" w:rsidRDefault="00B66F43" w:rsidP="006F1659">
      <w:pPr>
        <w:pStyle w:val="Heading4bold"/>
        <w:spacing w:line="360" w:lineRule="auto"/>
      </w:pPr>
      <w:r w:rsidRPr="00B66F43">
        <w:lastRenderedPageBreak/>
        <w:t xml:space="preserve">Group </w:t>
      </w:r>
      <w:r w:rsidR="0040773A">
        <w:t>B</w:t>
      </w:r>
      <w:r w:rsidRPr="00B66F43">
        <w:t xml:space="preserve">oundary </w:t>
      </w:r>
    </w:p>
    <w:p w14:paraId="6E8C39A4" w14:textId="77777777" w:rsidR="00B66F43" w:rsidRPr="00B66F43" w:rsidRDefault="00B66F43" w:rsidP="006F1659">
      <w:pPr>
        <w:spacing w:line="360" w:lineRule="auto"/>
        <w:rPr>
          <w:rFonts w:ascii="Arial" w:hAnsi="Arial" w:cs="Arial"/>
        </w:rPr>
      </w:pPr>
      <w:r w:rsidRPr="00B66F43">
        <w:rPr>
          <w:rFonts w:ascii="Arial" w:hAnsi="Arial" w:cs="Arial"/>
        </w:rPr>
        <w:t xml:space="preserve">The GMCA has interests in a number of external companies either as a direct owner or in partnership with other organisations. The nature of these relationships has been </w:t>
      </w:r>
    </w:p>
    <w:p w14:paraId="148C3B99" w14:textId="77777777" w:rsidR="00B66F43" w:rsidRPr="00B66F43" w:rsidRDefault="00B66F43" w:rsidP="006F1659">
      <w:pPr>
        <w:spacing w:line="360" w:lineRule="auto"/>
        <w:rPr>
          <w:rFonts w:ascii="Arial" w:hAnsi="Arial" w:cs="Arial"/>
        </w:rPr>
      </w:pPr>
      <w:r w:rsidRPr="00B66F43">
        <w:rPr>
          <w:rFonts w:ascii="Arial" w:hAnsi="Arial" w:cs="Arial"/>
        </w:rPr>
        <w:t xml:space="preserve">assessed under IFRS 11, IAS 27 and IAS 28 (Accounting for Joint Arrangements, </w:t>
      </w:r>
    </w:p>
    <w:p w14:paraId="62D7092A" w14:textId="65016326" w:rsidR="00B66F43" w:rsidRPr="00B66F43" w:rsidRDefault="00B66F43" w:rsidP="006F1659">
      <w:pPr>
        <w:spacing w:line="360" w:lineRule="auto"/>
        <w:rPr>
          <w:rFonts w:ascii="Arial" w:hAnsi="Arial" w:cs="Arial"/>
        </w:rPr>
      </w:pPr>
      <w:r w:rsidRPr="00B66F43">
        <w:rPr>
          <w:rFonts w:ascii="Arial" w:hAnsi="Arial" w:cs="Arial"/>
        </w:rPr>
        <w:t>Subsidiaries and Associates)</w:t>
      </w:r>
      <w:r w:rsidR="000A6E69">
        <w:rPr>
          <w:rFonts w:ascii="Arial" w:hAnsi="Arial" w:cs="Arial"/>
        </w:rPr>
        <w:t>.</w:t>
      </w:r>
      <w:r w:rsidRPr="00B66F43">
        <w:rPr>
          <w:rFonts w:ascii="Arial" w:hAnsi="Arial" w:cs="Arial"/>
        </w:rPr>
        <w:t xml:space="preserve"> </w:t>
      </w:r>
    </w:p>
    <w:p w14:paraId="6E876D04" w14:textId="77777777" w:rsidR="00B66F43" w:rsidRPr="00B66F43" w:rsidRDefault="00B66F43" w:rsidP="006F1659">
      <w:pPr>
        <w:spacing w:line="360" w:lineRule="auto"/>
        <w:rPr>
          <w:rFonts w:ascii="Arial" w:hAnsi="Arial" w:cs="Arial"/>
        </w:rPr>
      </w:pPr>
    </w:p>
    <w:p w14:paraId="5C6E2DB5" w14:textId="77777777" w:rsidR="00B66F43" w:rsidRPr="00B66F43" w:rsidRDefault="00B66F43" w:rsidP="006F1659">
      <w:pPr>
        <w:spacing w:line="360" w:lineRule="auto"/>
        <w:rPr>
          <w:rFonts w:ascii="Arial" w:hAnsi="Arial" w:cs="Arial"/>
        </w:rPr>
      </w:pPr>
      <w:r w:rsidRPr="00B66F43">
        <w:rPr>
          <w:rFonts w:ascii="Arial" w:hAnsi="Arial" w:cs="Arial"/>
        </w:rPr>
        <w:t>These Accounts contain a set of group statements and supporting notes to reflect the nature and value of the Authorities’ interests in other entities. Where the Authority is considered to have control or significant influence over another entity, they are deemed to be within the group boundary and are assessed for inclusion in the group accounts.</w:t>
      </w:r>
    </w:p>
    <w:p w14:paraId="09DC7151" w14:textId="77777777" w:rsidR="00B66F43" w:rsidRPr="00B66F43" w:rsidRDefault="00B66F43" w:rsidP="006F1659">
      <w:pPr>
        <w:spacing w:line="360" w:lineRule="auto"/>
        <w:rPr>
          <w:rFonts w:ascii="Arial" w:hAnsi="Arial" w:cs="Arial"/>
        </w:rPr>
      </w:pPr>
    </w:p>
    <w:p w14:paraId="7AB8EEC6" w14:textId="18AA6692" w:rsidR="00655E4C" w:rsidRDefault="00B66F43" w:rsidP="006F1659">
      <w:pPr>
        <w:spacing w:line="360" w:lineRule="auto"/>
        <w:rPr>
          <w:rFonts w:ascii="Arial" w:hAnsi="Arial" w:cs="Arial"/>
        </w:rPr>
      </w:pPr>
      <w:r w:rsidRPr="00B66F43">
        <w:rPr>
          <w:rFonts w:ascii="Arial" w:hAnsi="Arial" w:cs="Arial"/>
        </w:rPr>
        <w:t>Consolidation of entities considered for inclusion in the group account is dependent on several factors, including the extent of the Authorities’ interest and power to influence and control, materiality, investment, and transparency; where these factors are not considered material those members of the Group have not been consolidated.</w:t>
      </w:r>
    </w:p>
    <w:p w14:paraId="5C2DA908" w14:textId="77777777" w:rsidR="00B66F43" w:rsidRPr="0007572B" w:rsidRDefault="00B66F43" w:rsidP="006F1659">
      <w:pPr>
        <w:spacing w:line="360" w:lineRule="auto"/>
        <w:rPr>
          <w:rFonts w:ascii="Arial" w:hAnsi="Arial" w:cs="Arial"/>
        </w:rPr>
      </w:pPr>
    </w:p>
    <w:p w14:paraId="23AD0C08" w14:textId="77777777" w:rsidR="00655E4C" w:rsidRPr="0007572B" w:rsidRDefault="00655E4C" w:rsidP="006F1659">
      <w:pPr>
        <w:pStyle w:val="Heading4bold"/>
        <w:spacing w:line="360" w:lineRule="auto"/>
      </w:pPr>
      <w:r w:rsidRPr="0007572B">
        <w:t>Group Accounts Considerations</w:t>
      </w:r>
    </w:p>
    <w:p w14:paraId="40B34A2D" w14:textId="5E501CEF" w:rsidR="00655E4C" w:rsidRPr="0007572B" w:rsidRDefault="00655E4C" w:rsidP="006F1659">
      <w:pPr>
        <w:pStyle w:val="Normal0"/>
        <w:autoSpaceDE w:val="0"/>
        <w:autoSpaceDN w:val="0"/>
        <w:adjustRightInd w:val="0"/>
        <w:spacing w:line="360" w:lineRule="auto"/>
        <w:rPr>
          <w:rFonts w:ascii="Arial" w:hAnsi="Arial" w:cs="Arial"/>
          <w:sz w:val="24"/>
          <w:szCs w:val="24"/>
        </w:rPr>
      </w:pPr>
      <w:r w:rsidRPr="0007572B">
        <w:rPr>
          <w:rFonts w:ascii="Arial" w:hAnsi="Arial" w:cs="Arial"/>
          <w:sz w:val="24"/>
          <w:szCs w:val="24"/>
        </w:rPr>
        <w:t xml:space="preserve">A review of the entities related to the Authority in </w:t>
      </w:r>
      <w:r w:rsidR="00D1125B">
        <w:rPr>
          <w:rFonts w:ascii="Arial" w:hAnsi="Arial" w:cs="Arial"/>
          <w:sz w:val="24"/>
          <w:szCs w:val="24"/>
        </w:rPr>
        <w:t>2023/24</w:t>
      </w:r>
      <w:r w:rsidRPr="0007572B">
        <w:rPr>
          <w:rFonts w:ascii="Arial" w:hAnsi="Arial" w:cs="Arial"/>
          <w:sz w:val="24"/>
          <w:szCs w:val="24"/>
        </w:rPr>
        <w:t xml:space="preserve"> has taken place and the conclusions are provided below:</w:t>
      </w:r>
    </w:p>
    <w:p w14:paraId="39316DD3" w14:textId="77777777" w:rsidR="00655E4C" w:rsidRPr="0007572B" w:rsidRDefault="00655E4C" w:rsidP="006F1659">
      <w:pPr>
        <w:pStyle w:val="Normal0"/>
        <w:autoSpaceDE w:val="0"/>
        <w:autoSpaceDN w:val="0"/>
        <w:adjustRightInd w:val="0"/>
        <w:spacing w:line="360" w:lineRule="auto"/>
        <w:rPr>
          <w:rFonts w:ascii="Arial" w:hAnsi="Arial" w:cs="Arial"/>
          <w:b/>
          <w:sz w:val="24"/>
          <w:szCs w:val="24"/>
        </w:rPr>
      </w:pPr>
    </w:p>
    <w:p w14:paraId="384F0A73" w14:textId="77777777" w:rsidR="00655E4C" w:rsidRPr="0007572B" w:rsidRDefault="00655E4C" w:rsidP="006F1659">
      <w:pPr>
        <w:pStyle w:val="Heading4bold"/>
        <w:spacing w:line="360" w:lineRule="auto"/>
      </w:pPr>
      <w:r w:rsidRPr="0007572B">
        <w:t>Chief Constable of Greater Manchester Police (GMP)</w:t>
      </w:r>
    </w:p>
    <w:p w14:paraId="4B50AC9A" w14:textId="77777777" w:rsidR="00655E4C" w:rsidRPr="0007572B" w:rsidRDefault="00655E4C" w:rsidP="006F1659">
      <w:pPr>
        <w:pStyle w:val="Normal0"/>
        <w:autoSpaceDE w:val="0"/>
        <w:autoSpaceDN w:val="0"/>
        <w:adjustRightInd w:val="0"/>
        <w:spacing w:line="360" w:lineRule="auto"/>
        <w:rPr>
          <w:rFonts w:ascii="Arial" w:hAnsi="Arial" w:cs="Arial"/>
          <w:sz w:val="24"/>
          <w:szCs w:val="24"/>
        </w:rPr>
      </w:pPr>
      <w:r w:rsidRPr="0007572B">
        <w:rPr>
          <w:rFonts w:ascii="Arial" w:hAnsi="Arial" w:cs="Arial"/>
          <w:b/>
          <w:sz w:val="24"/>
          <w:szCs w:val="24"/>
        </w:rPr>
        <w:t>GMP is included</w:t>
      </w:r>
      <w:r w:rsidRPr="0007572B">
        <w:rPr>
          <w:rFonts w:ascii="Arial" w:hAnsi="Arial" w:cs="Arial"/>
          <w:sz w:val="24"/>
          <w:szCs w:val="24"/>
        </w:rPr>
        <w:t xml:space="preserve"> in the Authority’s group accounts from 8 May 2017. The Mayor is responsible for the formal oversight of GMP, including provision of all funding, budget setting, performance scrutiny and strategic policy development, and for ensuring GMP is run efficiently and effectively. Operational decision-making on day-to-day policing including the employment of police staff remains the responsibility of the Chief Constable.</w:t>
      </w:r>
    </w:p>
    <w:p w14:paraId="70FA6D14" w14:textId="77777777" w:rsidR="00655E4C" w:rsidRPr="0007572B" w:rsidRDefault="00655E4C" w:rsidP="006F1659">
      <w:pPr>
        <w:pStyle w:val="Normal0"/>
        <w:autoSpaceDE w:val="0"/>
        <w:autoSpaceDN w:val="0"/>
        <w:adjustRightInd w:val="0"/>
        <w:spacing w:line="360" w:lineRule="auto"/>
        <w:rPr>
          <w:rFonts w:ascii="Arial" w:hAnsi="Arial" w:cs="Arial"/>
          <w:sz w:val="24"/>
          <w:szCs w:val="24"/>
        </w:rPr>
      </w:pPr>
    </w:p>
    <w:p w14:paraId="52379000" w14:textId="77777777" w:rsidR="00655E4C" w:rsidRPr="0007572B" w:rsidRDefault="00655E4C" w:rsidP="006F1659">
      <w:pPr>
        <w:pStyle w:val="Normal0"/>
        <w:autoSpaceDE w:val="0"/>
        <w:autoSpaceDN w:val="0"/>
        <w:adjustRightInd w:val="0"/>
        <w:spacing w:line="360" w:lineRule="auto"/>
        <w:rPr>
          <w:rFonts w:ascii="Arial" w:hAnsi="Arial" w:cs="Arial"/>
          <w:sz w:val="24"/>
          <w:szCs w:val="24"/>
        </w:rPr>
      </w:pPr>
      <w:r w:rsidRPr="0007572B">
        <w:rPr>
          <w:rFonts w:ascii="Arial" w:hAnsi="Arial" w:cs="Arial"/>
          <w:sz w:val="24"/>
          <w:szCs w:val="24"/>
        </w:rPr>
        <w:t xml:space="preserve">Under the legislative framework and local arrangements, the Authority under sole instruction from the Mayor, is responsible for the finances of the Mayoral Police Fund including assets, liabilities and reserves. The Authority has responsibility for entering into contracts and establishing the contractual framework under which the Chief Constable’s </w:t>
      </w:r>
      <w:r w:rsidRPr="0007572B">
        <w:rPr>
          <w:rFonts w:ascii="Arial" w:hAnsi="Arial" w:cs="Arial"/>
          <w:sz w:val="24"/>
          <w:szCs w:val="24"/>
        </w:rPr>
        <w:lastRenderedPageBreak/>
        <w:t>officers and staff operate. The Authority receives all income and funding and makes all the payments for the policing activity from the Mayoral Police Fund. Details of the Mayoral Police Fund are disclosed in the notes to the accounts.</w:t>
      </w:r>
    </w:p>
    <w:p w14:paraId="389C3408" w14:textId="77777777" w:rsidR="00655E4C" w:rsidRPr="0007572B" w:rsidRDefault="00655E4C" w:rsidP="006F1659">
      <w:pPr>
        <w:pStyle w:val="Normal0"/>
        <w:autoSpaceDE w:val="0"/>
        <w:autoSpaceDN w:val="0"/>
        <w:adjustRightInd w:val="0"/>
        <w:spacing w:line="360" w:lineRule="auto"/>
        <w:rPr>
          <w:rFonts w:ascii="Arial" w:hAnsi="Arial" w:cs="Arial"/>
          <w:sz w:val="24"/>
          <w:szCs w:val="24"/>
        </w:rPr>
      </w:pPr>
    </w:p>
    <w:p w14:paraId="5B84DD30" w14:textId="77777777" w:rsidR="00655E4C" w:rsidRPr="0007572B" w:rsidRDefault="00655E4C" w:rsidP="006F1659">
      <w:pPr>
        <w:pStyle w:val="Heading4bold"/>
        <w:spacing w:line="360" w:lineRule="auto"/>
      </w:pPr>
      <w:r w:rsidRPr="0007572B">
        <w:t>Transport for Greater Manchester (TfGM)</w:t>
      </w:r>
    </w:p>
    <w:p w14:paraId="132662D1" w14:textId="426EDD2A" w:rsidR="00655E4C" w:rsidRPr="0007572B" w:rsidRDefault="00655E4C" w:rsidP="006F1659">
      <w:pPr>
        <w:pStyle w:val="Normal0"/>
        <w:autoSpaceDE w:val="0"/>
        <w:autoSpaceDN w:val="0"/>
        <w:adjustRightInd w:val="0"/>
        <w:spacing w:line="360" w:lineRule="auto"/>
        <w:rPr>
          <w:rFonts w:ascii="Arial" w:hAnsi="Arial" w:cs="Arial"/>
          <w:sz w:val="24"/>
          <w:szCs w:val="24"/>
        </w:rPr>
      </w:pPr>
      <w:r w:rsidRPr="0007572B">
        <w:rPr>
          <w:rFonts w:ascii="Arial" w:hAnsi="Arial" w:cs="Arial"/>
          <w:b/>
          <w:sz w:val="24"/>
          <w:szCs w:val="24"/>
        </w:rPr>
        <w:t>TfGM will continue to be included</w:t>
      </w:r>
      <w:r w:rsidRPr="0007572B">
        <w:rPr>
          <w:rFonts w:ascii="Arial" w:hAnsi="Arial" w:cs="Arial"/>
          <w:sz w:val="24"/>
          <w:szCs w:val="24"/>
        </w:rPr>
        <w:t xml:space="preserve"> in the Authority’s group accounts. The Authority and/or the Mayor sets local public transport policy and is responsible for deciding how funds are spent on supporting and improving </w:t>
      </w:r>
      <w:r w:rsidR="00336C9F">
        <w:rPr>
          <w:rFonts w:ascii="Arial" w:hAnsi="Arial" w:cs="Arial"/>
          <w:sz w:val="24"/>
          <w:szCs w:val="24"/>
        </w:rPr>
        <w:t>GM</w:t>
      </w:r>
      <w:r w:rsidRPr="0007572B">
        <w:rPr>
          <w:rFonts w:ascii="Arial" w:hAnsi="Arial" w:cs="Arial"/>
          <w:sz w:val="24"/>
          <w:szCs w:val="24"/>
        </w:rPr>
        <w:t>’s public transport network. The decisions of the Authority and/or the Mayor are implemented by TfGM and TfGM is responsible for implementing the policies of the Authority. TfGM’s net expenditure after taking into account all sources of income and expenditure is financed by way of a Revenue Grant from the Authority. TfGM’s corporate objectives are derived from the Authority’s policy priorities, stakeholder consultation and its principal statutory obligations. Strategic objectives and targets are set out in the Authority/TfGM Business and Performance Plan.</w:t>
      </w:r>
    </w:p>
    <w:p w14:paraId="42A9A060" w14:textId="77777777" w:rsidR="00655E4C" w:rsidRPr="0007572B" w:rsidRDefault="00655E4C" w:rsidP="006F1659">
      <w:pPr>
        <w:pStyle w:val="Normal0"/>
        <w:autoSpaceDE w:val="0"/>
        <w:autoSpaceDN w:val="0"/>
        <w:adjustRightInd w:val="0"/>
        <w:spacing w:line="360" w:lineRule="auto"/>
        <w:rPr>
          <w:rFonts w:ascii="Arial" w:hAnsi="Arial" w:cs="Arial"/>
          <w:sz w:val="24"/>
          <w:szCs w:val="24"/>
        </w:rPr>
      </w:pPr>
    </w:p>
    <w:p w14:paraId="007A626A" w14:textId="77777777" w:rsidR="00655E4C" w:rsidRPr="0007572B" w:rsidRDefault="00655E4C" w:rsidP="006F1659">
      <w:pPr>
        <w:pStyle w:val="Normal0"/>
        <w:autoSpaceDE w:val="0"/>
        <w:autoSpaceDN w:val="0"/>
        <w:adjustRightInd w:val="0"/>
        <w:spacing w:line="360" w:lineRule="auto"/>
        <w:rPr>
          <w:rFonts w:ascii="Arial" w:hAnsi="Arial" w:cs="Arial"/>
          <w:sz w:val="24"/>
          <w:szCs w:val="24"/>
        </w:rPr>
      </w:pPr>
      <w:r w:rsidRPr="0007572B">
        <w:rPr>
          <w:rFonts w:ascii="Arial" w:hAnsi="Arial" w:cs="Arial"/>
          <w:sz w:val="24"/>
          <w:szCs w:val="24"/>
        </w:rPr>
        <w:t>For information, details of transactions with TfGM will be included within the related parties note.</w:t>
      </w:r>
    </w:p>
    <w:p w14:paraId="721E2052" w14:textId="77777777" w:rsidR="00655E4C" w:rsidRPr="0007572B" w:rsidRDefault="00655E4C" w:rsidP="006F1659">
      <w:pPr>
        <w:pStyle w:val="Normal0"/>
        <w:autoSpaceDE w:val="0"/>
        <w:autoSpaceDN w:val="0"/>
        <w:adjustRightInd w:val="0"/>
        <w:spacing w:line="360" w:lineRule="auto"/>
        <w:rPr>
          <w:rFonts w:ascii="Arial" w:hAnsi="Arial" w:cs="Arial"/>
          <w:sz w:val="24"/>
          <w:szCs w:val="24"/>
        </w:rPr>
      </w:pPr>
    </w:p>
    <w:p w14:paraId="08CAE341" w14:textId="77777777" w:rsidR="00655E4C" w:rsidRPr="0007572B" w:rsidRDefault="00655E4C" w:rsidP="006F1659">
      <w:pPr>
        <w:pStyle w:val="Heading4bold"/>
        <w:spacing w:line="360" w:lineRule="auto"/>
      </w:pPr>
      <w:r w:rsidRPr="000A0695">
        <w:t>Greater Manchester Fund of Funds Limited Partnership (FoFLP</w:t>
      </w:r>
      <w:r w:rsidRPr="0007572B">
        <w:t>)</w:t>
      </w:r>
    </w:p>
    <w:p w14:paraId="6A7CDE32" w14:textId="58CEE8EF" w:rsidR="00655E4C" w:rsidRPr="0007572B" w:rsidRDefault="00655E4C" w:rsidP="006F1659">
      <w:pPr>
        <w:pStyle w:val="Normal0"/>
        <w:autoSpaceDE w:val="0"/>
        <w:autoSpaceDN w:val="0"/>
        <w:adjustRightInd w:val="0"/>
        <w:spacing w:line="360" w:lineRule="auto"/>
        <w:rPr>
          <w:rFonts w:ascii="Arial" w:hAnsi="Arial" w:cs="Arial"/>
          <w:sz w:val="24"/>
          <w:szCs w:val="24"/>
        </w:rPr>
      </w:pPr>
      <w:r w:rsidRPr="0007572B">
        <w:rPr>
          <w:rFonts w:ascii="Arial" w:hAnsi="Arial" w:cs="Arial"/>
          <w:sz w:val="24"/>
          <w:szCs w:val="24"/>
        </w:rPr>
        <w:t xml:space="preserve">In November 2016 the Authority established FoFLP to act as a holding fund for ERDF funding. </w:t>
      </w:r>
      <w:r w:rsidR="00B66F43" w:rsidRPr="00431F6F">
        <w:rPr>
          <w:rFonts w:ascii="Arial" w:hAnsi="Arial" w:cs="Arial"/>
          <w:sz w:val="24"/>
          <w:szCs w:val="24"/>
        </w:rPr>
        <w:t xml:space="preserve">The Company </w:t>
      </w:r>
      <w:r w:rsidR="00B66F43" w:rsidRPr="003D0973">
        <w:rPr>
          <w:rFonts w:ascii="Arial" w:hAnsi="Arial" w:cs="Arial"/>
          <w:sz w:val="24"/>
          <w:szCs w:val="24"/>
        </w:rPr>
        <w:t xml:space="preserve">registration number is </w:t>
      </w:r>
      <w:r w:rsidR="00F765E7" w:rsidRPr="003D0973">
        <w:rPr>
          <w:rFonts w:ascii="Arial" w:hAnsi="Arial" w:cs="Arial"/>
          <w:sz w:val="24"/>
          <w:szCs w:val="24"/>
        </w:rPr>
        <w:t>10482059</w:t>
      </w:r>
      <w:r w:rsidR="00B66F43" w:rsidRPr="003D0973">
        <w:rPr>
          <w:rFonts w:ascii="Arial" w:hAnsi="Arial" w:cs="Arial"/>
        </w:rPr>
        <w:t xml:space="preserve">. </w:t>
      </w:r>
      <w:r w:rsidRPr="003D0973">
        <w:rPr>
          <w:rFonts w:ascii="Arial" w:hAnsi="Arial" w:cs="Arial"/>
          <w:sz w:val="24"/>
          <w:szCs w:val="24"/>
        </w:rPr>
        <w:t>As at 31 March 202</w:t>
      </w:r>
      <w:r w:rsidR="0075175B" w:rsidRPr="003D0973">
        <w:rPr>
          <w:rFonts w:ascii="Arial" w:hAnsi="Arial" w:cs="Arial"/>
          <w:sz w:val="24"/>
          <w:szCs w:val="24"/>
        </w:rPr>
        <w:t>3</w:t>
      </w:r>
      <w:r w:rsidRPr="003D0973">
        <w:rPr>
          <w:rFonts w:ascii="Arial" w:hAnsi="Arial" w:cs="Arial"/>
          <w:sz w:val="24"/>
          <w:szCs w:val="24"/>
        </w:rPr>
        <w:t xml:space="preserve">, the fund had drawn down </w:t>
      </w:r>
      <w:r w:rsidR="0075175B" w:rsidRPr="003D0973">
        <w:rPr>
          <w:rFonts w:ascii="Arial" w:hAnsi="Arial" w:cs="Arial"/>
          <w:sz w:val="24"/>
          <w:szCs w:val="24"/>
        </w:rPr>
        <w:t>£</w:t>
      </w:r>
      <w:r w:rsidR="003D0973" w:rsidRPr="003D0973">
        <w:rPr>
          <w:rFonts w:ascii="Arial" w:hAnsi="Arial" w:cs="Arial"/>
          <w:sz w:val="24"/>
          <w:szCs w:val="24"/>
        </w:rPr>
        <w:t>90</w:t>
      </w:r>
      <w:r w:rsidR="0075175B" w:rsidRPr="003D0973">
        <w:rPr>
          <w:rFonts w:ascii="Arial" w:hAnsi="Arial" w:cs="Arial"/>
          <w:sz w:val="24"/>
          <w:szCs w:val="24"/>
        </w:rPr>
        <w:t>m (202</w:t>
      </w:r>
      <w:r w:rsidR="003D0973" w:rsidRPr="003D0973">
        <w:rPr>
          <w:rFonts w:ascii="Arial" w:hAnsi="Arial" w:cs="Arial"/>
          <w:sz w:val="24"/>
          <w:szCs w:val="24"/>
        </w:rPr>
        <w:t>3</w:t>
      </w:r>
      <w:r w:rsidR="0075175B" w:rsidRPr="003D0973">
        <w:rPr>
          <w:rFonts w:ascii="Arial" w:hAnsi="Arial" w:cs="Arial"/>
          <w:sz w:val="24"/>
          <w:szCs w:val="24"/>
        </w:rPr>
        <w:t xml:space="preserve">: </w:t>
      </w:r>
      <w:r w:rsidRPr="003D0973">
        <w:rPr>
          <w:rFonts w:ascii="Arial" w:hAnsi="Arial" w:cs="Arial"/>
          <w:sz w:val="24"/>
          <w:szCs w:val="24"/>
        </w:rPr>
        <w:t>£</w:t>
      </w:r>
      <w:r w:rsidR="003D0973" w:rsidRPr="003D0973">
        <w:rPr>
          <w:rFonts w:ascii="Arial" w:hAnsi="Arial" w:cs="Arial"/>
          <w:sz w:val="24"/>
          <w:szCs w:val="24"/>
        </w:rPr>
        <w:t>45</w:t>
      </w:r>
      <w:r w:rsidRPr="003D0973">
        <w:rPr>
          <w:rFonts w:ascii="Arial" w:hAnsi="Arial" w:cs="Arial"/>
          <w:sz w:val="24"/>
          <w:szCs w:val="24"/>
        </w:rPr>
        <w:t>m</w:t>
      </w:r>
      <w:r w:rsidR="0075175B" w:rsidRPr="003D0973">
        <w:rPr>
          <w:rFonts w:ascii="Arial" w:hAnsi="Arial" w:cs="Arial"/>
          <w:sz w:val="24"/>
          <w:szCs w:val="24"/>
        </w:rPr>
        <w:t>)</w:t>
      </w:r>
      <w:r w:rsidRPr="003D0973">
        <w:rPr>
          <w:rFonts w:ascii="Arial" w:hAnsi="Arial" w:cs="Arial"/>
          <w:sz w:val="24"/>
          <w:szCs w:val="24"/>
        </w:rPr>
        <w:t xml:space="preserve"> of ERDF funding from Department for Levelling Up, Housing and Communitie</w:t>
      </w:r>
      <w:r w:rsidR="003D0973" w:rsidRPr="003D0973">
        <w:rPr>
          <w:rFonts w:ascii="Arial" w:hAnsi="Arial" w:cs="Arial"/>
          <w:sz w:val="24"/>
          <w:szCs w:val="24"/>
        </w:rPr>
        <w:t>s</w:t>
      </w:r>
      <w:r w:rsidRPr="003D0973">
        <w:rPr>
          <w:rFonts w:ascii="Arial" w:hAnsi="Arial" w:cs="Arial"/>
          <w:sz w:val="24"/>
          <w:szCs w:val="24"/>
        </w:rPr>
        <w:t>. FoFLP invest in sub-funds that seek to support the shift towards a low carbon economy and for research</w:t>
      </w:r>
      <w:r w:rsidRPr="0075175B">
        <w:rPr>
          <w:rFonts w:ascii="Arial" w:hAnsi="Arial" w:cs="Arial"/>
          <w:sz w:val="24"/>
          <w:szCs w:val="24"/>
        </w:rPr>
        <w:t xml:space="preserve"> and innovation workspace. </w:t>
      </w:r>
      <w:r w:rsidR="008E18C5">
        <w:rPr>
          <w:rFonts w:ascii="Arial" w:hAnsi="Arial" w:cs="Arial"/>
          <w:sz w:val="24"/>
          <w:szCs w:val="24"/>
        </w:rPr>
        <w:t>FoFLP is wholly owned and controlled by the GMCA and</w:t>
      </w:r>
      <w:r w:rsidRPr="007C5045">
        <w:rPr>
          <w:rFonts w:ascii="Arial" w:hAnsi="Arial" w:cs="Arial"/>
          <w:b/>
          <w:bCs/>
          <w:sz w:val="24"/>
          <w:szCs w:val="24"/>
        </w:rPr>
        <w:t xml:space="preserve"> will continue to be included</w:t>
      </w:r>
      <w:r w:rsidRPr="007C5045">
        <w:rPr>
          <w:rFonts w:ascii="Arial" w:hAnsi="Arial" w:cs="Arial"/>
          <w:sz w:val="24"/>
          <w:szCs w:val="24"/>
        </w:rPr>
        <w:t xml:space="preserve"> in the group accounts.</w:t>
      </w:r>
    </w:p>
    <w:p w14:paraId="53651D19" w14:textId="77777777" w:rsidR="00655E4C" w:rsidRPr="0007572B" w:rsidRDefault="00655E4C" w:rsidP="006F1659">
      <w:pPr>
        <w:pStyle w:val="Normal0"/>
        <w:autoSpaceDE w:val="0"/>
        <w:autoSpaceDN w:val="0"/>
        <w:adjustRightInd w:val="0"/>
        <w:spacing w:line="360" w:lineRule="auto"/>
        <w:rPr>
          <w:rFonts w:ascii="Arial" w:hAnsi="Arial" w:cs="Arial"/>
          <w:sz w:val="24"/>
          <w:szCs w:val="24"/>
        </w:rPr>
      </w:pPr>
    </w:p>
    <w:p w14:paraId="691A285D" w14:textId="77777777" w:rsidR="00655E4C" w:rsidRPr="0007572B" w:rsidRDefault="00655E4C" w:rsidP="006F1659">
      <w:pPr>
        <w:pStyle w:val="Heading4bold"/>
        <w:spacing w:line="360" w:lineRule="auto"/>
      </w:pPr>
      <w:r w:rsidRPr="0007572B">
        <w:t>NW Evergreen Holdings Limited Partnership (NWEH)</w:t>
      </w:r>
    </w:p>
    <w:p w14:paraId="2B8B6149" w14:textId="01BAAF16" w:rsidR="00655E4C" w:rsidRPr="0007572B" w:rsidRDefault="00655E4C" w:rsidP="006F1659">
      <w:pPr>
        <w:pStyle w:val="Normal0"/>
        <w:autoSpaceDE w:val="0"/>
        <w:autoSpaceDN w:val="0"/>
        <w:adjustRightInd w:val="0"/>
        <w:spacing w:line="360" w:lineRule="auto"/>
        <w:rPr>
          <w:rFonts w:ascii="Arial" w:hAnsi="Arial" w:cs="Arial"/>
          <w:sz w:val="24"/>
          <w:szCs w:val="24"/>
        </w:rPr>
      </w:pPr>
      <w:r w:rsidRPr="0007572B">
        <w:rPr>
          <w:rFonts w:ascii="Arial" w:hAnsi="Arial" w:cs="Arial"/>
          <w:sz w:val="24"/>
          <w:szCs w:val="24"/>
        </w:rPr>
        <w:t xml:space="preserve">In September 2016 the Authority established NWEH to act as a holding fund for </w:t>
      </w:r>
      <w:r>
        <w:rPr>
          <w:rFonts w:ascii="Arial" w:hAnsi="Arial" w:cs="Arial"/>
          <w:sz w:val="24"/>
          <w:szCs w:val="24"/>
        </w:rPr>
        <w:t xml:space="preserve">the ERDF funding attributed to the North West Evergreen Fund, an urban development </w:t>
      </w:r>
      <w:r w:rsidRPr="007C5045">
        <w:rPr>
          <w:rFonts w:ascii="Arial" w:hAnsi="Arial" w:cs="Arial"/>
          <w:sz w:val="24"/>
          <w:szCs w:val="24"/>
        </w:rPr>
        <w:t xml:space="preserve">fund established under the 2007-13 European Operational Programme. </w:t>
      </w:r>
      <w:r w:rsidR="00B66F43" w:rsidRPr="00B66F43">
        <w:rPr>
          <w:rFonts w:ascii="Arial" w:hAnsi="Arial" w:cs="Arial"/>
          <w:sz w:val="24"/>
          <w:szCs w:val="24"/>
        </w:rPr>
        <w:t xml:space="preserve">The Company </w:t>
      </w:r>
      <w:r w:rsidR="00B66F43" w:rsidRPr="00B66F43">
        <w:rPr>
          <w:rFonts w:ascii="Arial" w:hAnsi="Arial" w:cs="Arial"/>
          <w:sz w:val="24"/>
          <w:szCs w:val="24"/>
        </w:rPr>
        <w:lastRenderedPageBreak/>
        <w:t xml:space="preserve">registration number is </w:t>
      </w:r>
      <w:r w:rsidR="00B66F43" w:rsidRPr="003613C0">
        <w:rPr>
          <w:rFonts w:ascii="Arial" w:hAnsi="Arial" w:cs="Arial"/>
          <w:sz w:val="24"/>
          <w:szCs w:val="24"/>
        </w:rPr>
        <w:t xml:space="preserve">LP017585. </w:t>
      </w:r>
      <w:r w:rsidRPr="003613C0">
        <w:rPr>
          <w:rFonts w:ascii="Arial" w:hAnsi="Arial" w:cs="Arial"/>
          <w:sz w:val="24"/>
          <w:szCs w:val="24"/>
        </w:rPr>
        <w:t>NWEH received over £60m of funding from ERDF and matched funding sources and invests via its sub-fund in commercial development projects in the North West of England</w:t>
      </w:r>
      <w:r w:rsidRPr="0075175B">
        <w:rPr>
          <w:rFonts w:ascii="Arial" w:hAnsi="Arial" w:cs="Arial"/>
          <w:sz w:val="24"/>
          <w:szCs w:val="24"/>
        </w:rPr>
        <w:t>.</w:t>
      </w:r>
      <w:r>
        <w:rPr>
          <w:rFonts w:ascii="Arial" w:hAnsi="Arial" w:cs="Arial"/>
          <w:sz w:val="24"/>
          <w:szCs w:val="24"/>
        </w:rPr>
        <w:t xml:space="preserve"> </w:t>
      </w:r>
      <w:r w:rsidRPr="0007572B">
        <w:rPr>
          <w:rFonts w:ascii="Arial" w:hAnsi="Arial" w:cs="Arial"/>
          <w:b/>
          <w:sz w:val="24"/>
          <w:szCs w:val="24"/>
        </w:rPr>
        <w:t>NWEH will continue to be included</w:t>
      </w:r>
      <w:r w:rsidRPr="0007572B">
        <w:rPr>
          <w:rFonts w:ascii="Arial" w:hAnsi="Arial" w:cs="Arial"/>
          <w:sz w:val="24"/>
          <w:szCs w:val="24"/>
        </w:rPr>
        <w:t xml:space="preserve"> in the Authority’s group accounts.</w:t>
      </w:r>
    </w:p>
    <w:p w14:paraId="1D1FFDC5" w14:textId="16E856F7" w:rsidR="00655E4C" w:rsidRDefault="00655E4C" w:rsidP="006F1659">
      <w:pPr>
        <w:pStyle w:val="Normal0"/>
        <w:autoSpaceDE w:val="0"/>
        <w:autoSpaceDN w:val="0"/>
        <w:adjustRightInd w:val="0"/>
        <w:spacing w:line="360" w:lineRule="auto"/>
        <w:rPr>
          <w:rFonts w:ascii="Arial" w:hAnsi="Arial" w:cs="Arial"/>
          <w:sz w:val="24"/>
          <w:szCs w:val="24"/>
        </w:rPr>
      </w:pPr>
    </w:p>
    <w:p w14:paraId="231FF18F" w14:textId="3F06237A" w:rsidR="00FE41DD" w:rsidRPr="005B26A1" w:rsidRDefault="00FE41DD" w:rsidP="006F1659">
      <w:pPr>
        <w:pStyle w:val="Heading4bold"/>
        <w:spacing w:line="360" w:lineRule="auto"/>
      </w:pPr>
      <w:r w:rsidRPr="00431F6F">
        <w:t>Greater Manchester Evergreen 2 Limited Partnership</w:t>
      </w:r>
      <w:r w:rsidR="00123E80">
        <w:t xml:space="preserve"> (</w:t>
      </w:r>
      <w:r w:rsidR="00D361AD">
        <w:t>GM</w:t>
      </w:r>
      <w:r w:rsidR="00123E80">
        <w:t>E2LP)</w:t>
      </w:r>
    </w:p>
    <w:p w14:paraId="6A5D0683" w14:textId="320B3169" w:rsidR="00FE41DD" w:rsidRDefault="00FE41DD" w:rsidP="006F1659">
      <w:pPr>
        <w:pStyle w:val="Normal0"/>
        <w:autoSpaceDE w:val="0"/>
        <w:autoSpaceDN w:val="0"/>
        <w:adjustRightInd w:val="0"/>
        <w:spacing w:line="360" w:lineRule="auto"/>
        <w:rPr>
          <w:rFonts w:ascii="Arial" w:hAnsi="Arial" w:cs="Arial"/>
          <w:sz w:val="24"/>
          <w:szCs w:val="24"/>
        </w:rPr>
      </w:pPr>
      <w:r w:rsidRPr="00FE41DD">
        <w:rPr>
          <w:rFonts w:ascii="Arial" w:hAnsi="Arial" w:cs="Arial"/>
          <w:sz w:val="24"/>
          <w:szCs w:val="24"/>
        </w:rPr>
        <w:t xml:space="preserve">Evergreen 2 was incorporated on 20 February 2017 under England's 2014-20 </w:t>
      </w:r>
      <w:r w:rsidR="005B26A1">
        <w:rPr>
          <w:rFonts w:ascii="Arial" w:hAnsi="Arial" w:cs="Arial"/>
          <w:sz w:val="24"/>
          <w:szCs w:val="24"/>
        </w:rPr>
        <w:t xml:space="preserve">ERDF </w:t>
      </w:r>
      <w:r w:rsidRPr="00FE41DD">
        <w:rPr>
          <w:rFonts w:ascii="Arial" w:hAnsi="Arial" w:cs="Arial"/>
          <w:sz w:val="24"/>
          <w:szCs w:val="24"/>
        </w:rPr>
        <w:t xml:space="preserve">Operational Programme and is solely a Greater Manchester fund. The Company registration number is LP017867. It has been decided that the </w:t>
      </w:r>
      <w:r w:rsidRPr="00431F6F">
        <w:rPr>
          <w:rFonts w:ascii="Arial" w:hAnsi="Arial" w:cs="Arial"/>
          <w:b/>
          <w:bCs/>
          <w:sz w:val="24"/>
          <w:szCs w:val="24"/>
        </w:rPr>
        <w:t xml:space="preserve">GM Evergreen 2 LP will </w:t>
      </w:r>
      <w:r w:rsidR="000A6E69">
        <w:rPr>
          <w:rFonts w:ascii="Arial" w:hAnsi="Arial" w:cs="Arial"/>
          <w:b/>
          <w:bCs/>
          <w:sz w:val="24"/>
          <w:szCs w:val="24"/>
        </w:rPr>
        <w:t xml:space="preserve">continue to </w:t>
      </w:r>
      <w:r w:rsidRPr="00431F6F">
        <w:rPr>
          <w:rFonts w:ascii="Arial" w:hAnsi="Arial" w:cs="Arial"/>
          <w:b/>
          <w:bCs/>
          <w:sz w:val="24"/>
          <w:szCs w:val="24"/>
        </w:rPr>
        <w:t>be Included</w:t>
      </w:r>
      <w:r w:rsidRPr="00FE41DD">
        <w:rPr>
          <w:rFonts w:ascii="Arial" w:hAnsi="Arial" w:cs="Arial"/>
          <w:sz w:val="24"/>
          <w:szCs w:val="24"/>
        </w:rPr>
        <w:t xml:space="preserve"> in the group accounts.</w:t>
      </w:r>
    </w:p>
    <w:p w14:paraId="3C14128F" w14:textId="7E885FAD" w:rsidR="00FE41DD" w:rsidRDefault="00FE41DD" w:rsidP="006F1659">
      <w:pPr>
        <w:pStyle w:val="Normal0"/>
        <w:autoSpaceDE w:val="0"/>
        <w:autoSpaceDN w:val="0"/>
        <w:adjustRightInd w:val="0"/>
        <w:spacing w:line="360" w:lineRule="auto"/>
        <w:rPr>
          <w:rFonts w:ascii="Arial" w:hAnsi="Arial" w:cs="Arial"/>
          <w:sz w:val="24"/>
          <w:szCs w:val="24"/>
        </w:rPr>
      </w:pPr>
    </w:p>
    <w:p w14:paraId="7A0558FA" w14:textId="12646601" w:rsidR="00FE41DD" w:rsidRPr="00FE41DD" w:rsidRDefault="00FE41DD" w:rsidP="006F1659">
      <w:pPr>
        <w:pStyle w:val="Heading4bold"/>
        <w:spacing w:line="360" w:lineRule="auto"/>
      </w:pPr>
      <w:r w:rsidRPr="00FE41DD">
        <w:t>Greater Manchester Low Carbon UDF Limited Partnership</w:t>
      </w:r>
      <w:r w:rsidR="00123E80">
        <w:t xml:space="preserve"> </w:t>
      </w:r>
    </w:p>
    <w:p w14:paraId="50CB5F31" w14:textId="3B7907BE" w:rsidR="00FE41DD" w:rsidRDefault="00FE41DD" w:rsidP="006F1659">
      <w:pPr>
        <w:pStyle w:val="Normal0"/>
        <w:autoSpaceDE w:val="0"/>
        <w:autoSpaceDN w:val="0"/>
        <w:adjustRightInd w:val="0"/>
        <w:spacing w:line="360" w:lineRule="auto"/>
        <w:rPr>
          <w:rFonts w:ascii="Arial" w:hAnsi="Arial" w:cs="Arial"/>
          <w:sz w:val="24"/>
          <w:szCs w:val="24"/>
        </w:rPr>
      </w:pPr>
      <w:r w:rsidRPr="00FE41DD">
        <w:rPr>
          <w:rFonts w:ascii="Arial" w:hAnsi="Arial" w:cs="Arial"/>
          <w:sz w:val="24"/>
          <w:szCs w:val="24"/>
        </w:rPr>
        <w:t xml:space="preserve">The GM Low Carbon UDF LP </w:t>
      </w:r>
      <w:r w:rsidRPr="008111AE">
        <w:rPr>
          <w:rFonts w:ascii="Arial" w:hAnsi="Arial" w:cs="Arial"/>
          <w:sz w:val="24"/>
          <w:szCs w:val="24"/>
        </w:rPr>
        <w:t>was incorporated on 20 February 2017, Company registration number LP017868</w:t>
      </w:r>
      <w:r w:rsidRPr="003613C0">
        <w:rPr>
          <w:rFonts w:ascii="Arial" w:hAnsi="Arial" w:cs="Arial"/>
          <w:sz w:val="24"/>
          <w:szCs w:val="24"/>
        </w:rPr>
        <w:t>. The GM FOF LP is supplying a loan facility of £15m to the GM Low Carbon UDF LP under a Contingent Loan Facility. The GM</w:t>
      </w:r>
      <w:r w:rsidRPr="008111AE">
        <w:rPr>
          <w:rFonts w:ascii="Arial" w:hAnsi="Arial" w:cs="Arial"/>
          <w:sz w:val="24"/>
          <w:szCs w:val="24"/>
        </w:rPr>
        <w:t xml:space="preserve"> Low Carbon UDF LP is to use the funds to increase small scale renewable energy schemes.</w:t>
      </w:r>
      <w:r w:rsidRPr="00FE41DD">
        <w:rPr>
          <w:rFonts w:ascii="Arial" w:hAnsi="Arial" w:cs="Arial"/>
          <w:sz w:val="24"/>
          <w:szCs w:val="24"/>
        </w:rPr>
        <w:t xml:space="preserve"> On the grounds of immateriality, it has been decided that the </w:t>
      </w:r>
      <w:r w:rsidRPr="00431F6F">
        <w:rPr>
          <w:rFonts w:ascii="Arial" w:hAnsi="Arial" w:cs="Arial"/>
          <w:b/>
          <w:bCs/>
          <w:sz w:val="24"/>
          <w:szCs w:val="24"/>
        </w:rPr>
        <w:t>GM Low Carbon UDF LP will not be Included</w:t>
      </w:r>
      <w:r w:rsidRPr="00FE41DD">
        <w:rPr>
          <w:rFonts w:ascii="Arial" w:hAnsi="Arial" w:cs="Arial"/>
          <w:sz w:val="24"/>
          <w:szCs w:val="24"/>
        </w:rPr>
        <w:t xml:space="preserve"> in the group accounts</w:t>
      </w:r>
      <w:r w:rsidR="006D5A30">
        <w:rPr>
          <w:rFonts w:ascii="Arial" w:hAnsi="Arial" w:cs="Arial"/>
          <w:sz w:val="24"/>
          <w:szCs w:val="24"/>
        </w:rPr>
        <w:t>.</w:t>
      </w:r>
    </w:p>
    <w:p w14:paraId="725D7BBF" w14:textId="77777777" w:rsidR="00FE41DD" w:rsidRPr="0007572B" w:rsidRDefault="00FE41DD" w:rsidP="006F1659">
      <w:pPr>
        <w:pStyle w:val="Normal0"/>
        <w:autoSpaceDE w:val="0"/>
        <w:autoSpaceDN w:val="0"/>
        <w:adjustRightInd w:val="0"/>
        <w:spacing w:line="360" w:lineRule="auto"/>
        <w:rPr>
          <w:rFonts w:ascii="Arial" w:hAnsi="Arial" w:cs="Arial"/>
          <w:sz w:val="24"/>
          <w:szCs w:val="24"/>
        </w:rPr>
      </w:pPr>
    </w:p>
    <w:p w14:paraId="6F5736A5" w14:textId="77777777" w:rsidR="00655E4C" w:rsidRPr="00431F6F" w:rsidRDefault="00655E4C" w:rsidP="006F1659">
      <w:pPr>
        <w:pStyle w:val="Heading4bold"/>
        <w:spacing w:line="360" w:lineRule="auto"/>
        <w:rPr>
          <w:b w:val="0"/>
          <w:bCs w:val="0"/>
        </w:rPr>
      </w:pPr>
      <w:r w:rsidRPr="0007572B">
        <w:t>NW Fire Control Company</w:t>
      </w:r>
    </w:p>
    <w:p w14:paraId="7FD84E1A" w14:textId="3FC8F733" w:rsidR="00655E4C" w:rsidRPr="0007572B" w:rsidRDefault="00B66F43" w:rsidP="006F1659">
      <w:pPr>
        <w:pStyle w:val="Normal0"/>
        <w:autoSpaceDE w:val="0"/>
        <w:autoSpaceDN w:val="0"/>
        <w:adjustRightInd w:val="0"/>
        <w:spacing w:line="360" w:lineRule="auto"/>
        <w:rPr>
          <w:rFonts w:ascii="Arial" w:hAnsi="Arial" w:cs="Arial"/>
          <w:sz w:val="24"/>
          <w:szCs w:val="24"/>
        </w:rPr>
      </w:pPr>
      <w:r>
        <w:rPr>
          <w:rFonts w:ascii="Arial" w:hAnsi="Arial" w:cs="Arial"/>
          <w:sz w:val="24"/>
          <w:szCs w:val="24"/>
        </w:rPr>
        <w:t>NW</w:t>
      </w:r>
      <w:r w:rsidRPr="00B66F43">
        <w:rPr>
          <w:rFonts w:ascii="Arial" w:hAnsi="Arial" w:cs="Arial"/>
          <w:sz w:val="24"/>
          <w:szCs w:val="24"/>
        </w:rPr>
        <w:t xml:space="preserve"> Fire Control Limited (NWFCC) is a Company limited by Guarantee with the responsibility for Fire and Rescue services mobilisation for the North West Region. The Company registration number is 06314891</w:t>
      </w:r>
      <w:r>
        <w:rPr>
          <w:rFonts w:ascii="Arial" w:hAnsi="Arial" w:cs="Arial"/>
          <w:sz w:val="24"/>
          <w:szCs w:val="24"/>
        </w:rPr>
        <w:t>.</w:t>
      </w:r>
      <w:r w:rsidR="00655E4C" w:rsidRPr="0007572B">
        <w:rPr>
          <w:rFonts w:ascii="Arial" w:hAnsi="Arial" w:cs="Arial"/>
          <w:sz w:val="24"/>
          <w:szCs w:val="24"/>
        </w:rPr>
        <w:t xml:space="preserve"> The company has four equal partners namely: </w:t>
      </w:r>
      <w:r w:rsidR="00336C9F">
        <w:rPr>
          <w:rFonts w:ascii="Arial" w:hAnsi="Arial" w:cs="Arial"/>
          <w:sz w:val="24"/>
          <w:szCs w:val="24"/>
        </w:rPr>
        <w:t>GMCA</w:t>
      </w:r>
      <w:r w:rsidR="00655E4C" w:rsidRPr="0007572B">
        <w:rPr>
          <w:rFonts w:ascii="Arial" w:hAnsi="Arial" w:cs="Arial"/>
          <w:sz w:val="24"/>
          <w:szCs w:val="24"/>
        </w:rPr>
        <w:t>, Cheshire, Cumbria County Council and Lancashire Fire and Rescue Authorities</w:t>
      </w:r>
      <w:r w:rsidR="0040773A">
        <w:rPr>
          <w:rFonts w:ascii="Arial" w:hAnsi="Arial" w:cs="Arial"/>
          <w:sz w:val="24"/>
          <w:szCs w:val="24"/>
        </w:rPr>
        <w:t xml:space="preserve"> (the FRAs)</w:t>
      </w:r>
      <w:r w:rsidR="00655E4C" w:rsidRPr="0007572B">
        <w:rPr>
          <w:rFonts w:ascii="Arial" w:hAnsi="Arial" w:cs="Arial"/>
          <w:sz w:val="24"/>
          <w:szCs w:val="24"/>
        </w:rPr>
        <w:t>.</w:t>
      </w:r>
    </w:p>
    <w:p w14:paraId="28392685" w14:textId="77777777" w:rsidR="00655E4C" w:rsidRPr="0007572B" w:rsidRDefault="00655E4C" w:rsidP="006F1659">
      <w:pPr>
        <w:pStyle w:val="Normal0"/>
        <w:autoSpaceDE w:val="0"/>
        <w:autoSpaceDN w:val="0"/>
        <w:adjustRightInd w:val="0"/>
        <w:spacing w:line="360" w:lineRule="auto"/>
        <w:rPr>
          <w:rFonts w:ascii="Arial" w:hAnsi="Arial" w:cs="Arial"/>
          <w:sz w:val="24"/>
          <w:szCs w:val="24"/>
        </w:rPr>
      </w:pPr>
    </w:p>
    <w:p w14:paraId="58C7EF69" w14:textId="77777777" w:rsidR="00FE41DD" w:rsidRPr="00FE41DD" w:rsidRDefault="00FE41DD" w:rsidP="006F1659">
      <w:pPr>
        <w:pStyle w:val="Normal0"/>
        <w:autoSpaceDE w:val="0"/>
        <w:autoSpaceDN w:val="0"/>
        <w:adjustRightInd w:val="0"/>
        <w:spacing w:line="360" w:lineRule="auto"/>
        <w:rPr>
          <w:rFonts w:ascii="Arial" w:eastAsia="Times New Roman" w:hAnsi="Arial" w:cs="Arial"/>
          <w:sz w:val="24"/>
          <w:szCs w:val="24"/>
          <w:lang w:val="en-GB"/>
        </w:rPr>
      </w:pPr>
      <w:r w:rsidRPr="00FE41DD">
        <w:rPr>
          <w:rFonts w:ascii="Arial" w:eastAsia="Times New Roman" w:hAnsi="Arial" w:cs="Arial"/>
          <w:sz w:val="24"/>
          <w:szCs w:val="24"/>
          <w:lang w:val="en-GB"/>
        </w:rPr>
        <w:t xml:space="preserve">NWFCC became operational during 2014/15 and it meets with the definition of a Joint Operation for group accounts purposes. The Company is governing by unanimous consent for all key decisions, with each member having equal voting rights. The liability of each member in the event of the company being wound up is limited and shall not exceed £1. Each member of the company has the right to appoint two directors, who are Councillors appointed to their respective FRAs. In 2014 all four services transferred their </w:t>
      </w:r>
      <w:r w:rsidRPr="00FE41DD">
        <w:rPr>
          <w:rFonts w:ascii="Arial" w:eastAsia="Times New Roman" w:hAnsi="Arial" w:cs="Arial"/>
          <w:sz w:val="24"/>
          <w:szCs w:val="24"/>
          <w:lang w:val="en-GB"/>
        </w:rPr>
        <w:lastRenderedPageBreak/>
        <w:t>Control Room functions into the regionalised service provided by NW Fire Control Limited. The cost of the service is charged out to the four FRAs on an agreed pro rata basis set out in a Service Level Agreement.</w:t>
      </w:r>
    </w:p>
    <w:p w14:paraId="09388469" w14:textId="77777777" w:rsidR="00FE41DD" w:rsidRPr="00FE41DD" w:rsidRDefault="00FE41DD" w:rsidP="006F1659">
      <w:pPr>
        <w:pStyle w:val="Normal0"/>
        <w:autoSpaceDE w:val="0"/>
        <w:autoSpaceDN w:val="0"/>
        <w:adjustRightInd w:val="0"/>
        <w:spacing w:line="360" w:lineRule="auto"/>
        <w:rPr>
          <w:rFonts w:ascii="Arial" w:eastAsia="Times New Roman" w:hAnsi="Arial" w:cs="Arial"/>
          <w:sz w:val="24"/>
          <w:szCs w:val="24"/>
          <w:lang w:val="en-GB"/>
        </w:rPr>
      </w:pPr>
    </w:p>
    <w:p w14:paraId="583C6DE2" w14:textId="72734C47" w:rsidR="00FE41DD" w:rsidRPr="00FE41DD" w:rsidRDefault="00FE41DD" w:rsidP="006F1659">
      <w:pPr>
        <w:pStyle w:val="Normal0"/>
        <w:autoSpaceDE w:val="0"/>
        <w:autoSpaceDN w:val="0"/>
        <w:adjustRightInd w:val="0"/>
        <w:spacing w:line="360" w:lineRule="auto"/>
        <w:rPr>
          <w:rFonts w:ascii="Arial" w:eastAsia="Times New Roman" w:hAnsi="Arial" w:cs="Arial"/>
          <w:sz w:val="24"/>
          <w:szCs w:val="24"/>
          <w:lang w:val="en-GB"/>
        </w:rPr>
      </w:pPr>
      <w:r w:rsidRPr="00FE41DD">
        <w:rPr>
          <w:rFonts w:ascii="Arial" w:eastAsia="Times New Roman" w:hAnsi="Arial" w:cs="Arial"/>
          <w:sz w:val="24"/>
          <w:szCs w:val="24"/>
          <w:lang w:val="en-GB"/>
        </w:rPr>
        <w:t xml:space="preserve">However, on the grounds of immateriality </w:t>
      </w:r>
      <w:r w:rsidRPr="00431F6F">
        <w:rPr>
          <w:rFonts w:ascii="Arial" w:eastAsia="Times New Roman" w:hAnsi="Arial" w:cs="Arial"/>
          <w:b/>
          <w:bCs/>
          <w:sz w:val="24"/>
          <w:szCs w:val="24"/>
          <w:lang w:val="en-GB"/>
        </w:rPr>
        <w:t>NWFCC will not be Included</w:t>
      </w:r>
      <w:r w:rsidRPr="00FE41DD">
        <w:rPr>
          <w:rFonts w:ascii="Arial" w:eastAsia="Times New Roman" w:hAnsi="Arial" w:cs="Arial"/>
          <w:sz w:val="24"/>
          <w:szCs w:val="24"/>
          <w:lang w:val="en-GB"/>
        </w:rPr>
        <w:t xml:space="preserve"> the group accounts</w:t>
      </w:r>
      <w:r w:rsidR="000A6E69">
        <w:rPr>
          <w:rFonts w:ascii="Arial" w:eastAsia="Times New Roman" w:hAnsi="Arial" w:cs="Arial"/>
          <w:sz w:val="24"/>
          <w:szCs w:val="24"/>
          <w:lang w:val="en-GB"/>
        </w:rPr>
        <w:t>.</w:t>
      </w:r>
    </w:p>
    <w:p w14:paraId="21506AB8" w14:textId="77777777" w:rsidR="00FE41DD" w:rsidRPr="00FE41DD" w:rsidRDefault="00FE41DD" w:rsidP="006F1659">
      <w:pPr>
        <w:pStyle w:val="Normal0"/>
        <w:autoSpaceDE w:val="0"/>
        <w:autoSpaceDN w:val="0"/>
        <w:adjustRightInd w:val="0"/>
        <w:spacing w:line="360" w:lineRule="auto"/>
        <w:rPr>
          <w:rFonts w:ascii="Arial" w:eastAsia="Times New Roman" w:hAnsi="Arial" w:cs="Arial"/>
          <w:sz w:val="24"/>
          <w:szCs w:val="24"/>
          <w:lang w:val="en-GB"/>
        </w:rPr>
      </w:pPr>
    </w:p>
    <w:p w14:paraId="65CBB7E1" w14:textId="7AB56EC5" w:rsidR="00FE41DD" w:rsidRPr="0007572B" w:rsidRDefault="00FE41DD" w:rsidP="006F1659">
      <w:pPr>
        <w:pStyle w:val="Normal0"/>
        <w:autoSpaceDE w:val="0"/>
        <w:autoSpaceDN w:val="0"/>
        <w:adjustRightInd w:val="0"/>
        <w:spacing w:line="360" w:lineRule="auto"/>
        <w:rPr>
          <w:rFonts w:ascii="Arial" w:hAnsi="Arial" w:cs="Arial"/>
          <w:sz w:val="24"/>
          <w:szCs w:val="24"/>
        </w:rPr>
      </w:pPr>
      <w:r w:rsidRPr="006D5A30">
        <w:rPr>
          <w:rFonts w:ascii="Arial" w:hAnsi="Arial" w:cs="Arial"/>
          <w:sz w:val="24"/>
          <w:szCs w:val="24"/>
        </w:rPr>
        <w:t>For information, details of transactions with NWFCC will be included within the related parties note.</w:t>
      </w:r>
    </w:p>
    <w:p w14:paraId="711A2AE9" w14:textId="77777777" w:rsidR="00655E4C" w:rsidRPr="0007572B" w:rsidRDefault="00655E4C" w:rsidP="006F1659">
      <w:pPr>
        <w:spacing w:line="360" w:lineRule="auto"/>
        <w:rPr>
          <w:rFonts w:ascii="Arial" w:eastAsiaTheme="minorHAnsi" w:hAnsi="Arial" w:cs="Arial"/>
          <w:b/>
          <w:lang w:val="en-US"/>
        </w:rPr>
      </w:pPr>
    </w:p>
    <w:p w14:paraId="13ED268E" w14:textId="77777777" w:rsidR="00655E4C" w:rsidRPr="0007572B" w:rsidRDefault="00655E4C" w:rsidP="006F1659">
      <w:pPr>
        <w:pStyle w:val="Heading4bold"/>
        <w:spacing w:line="360" w:lineRule="auto"/>
      </w:pPr>
      <w:r w:rsidRPr="0007572B">
        <w:t xml:space="preserve">Greater Manchester Accessible Transport Limited </w:t>
      </w:r>
      <w:bookmarkStart w:id="88" w:name="_Hlk138758328"/>
      <w:r w:rsidRPr="0007572B">
        <w:t>(GMATL)</w:t>
      </w:r>
      <w:bookmarkEnd w:id="88"/>
    </w:p>
    <w:p w14:paraId="0BECDD72" w14:textId="2927A1B0" w:rsidR="00655E4C" w:rsidRPr="0007572B" w:rsidRDefault="00655E4C" w:rsidP="006F1659">
      <w:pPr>
        <w:pStyle w:val="Normal0"/>
        <w:autoSpaceDE w:val="0"/>
        <w:autoSpaceDN w:val="0"/>
        <w:adjustRightInd w:val="0"/>
        <w:spacing w:line="360" w:lineRule="auto"/>
        <w:rPr>
          <w:rFonts w:ascii="Arial" w:hAnsi="Arial" w:cs="Arial"/>
          <w:sz w:val="24"/>
          <w:szCs w:val="24"/>
        </w:rPr>
      </w:pPr>
      <w:r w:rsidRPr="0007572B">
        <w:rPr>
          <w:rFonts w:ascii="Arial" w:hAnsi="Arial" w:cs="Arial"/>
          <w:sz w:val="24"/>
          <w:szCs w:val="24"/>
        </w:rPr>
        <w:t xml:space="preserve">GMATL is a private company limited by guarantee without share capital. </w:t>
      </w:r>
      <w:r w:rsidR="00FE41DD" w:rsidRPr="00FE41DD">
        <w:rPr>
          <w:rFonts w:ascii="Arial" w:hAnsi="Arial" w:cs="Arial"/>
          <w:sz w:val="24"/>
          <w:szCs w:val="24"/>
        </w:rPr>
        <w:t>The Company registration number is 02483763</w:t>
      </w:r>
      <w:r w:rsidR="00FE41DD">
        <w:rPr>
          <w:rFonts w:ascii="Arial" w:hAnsi="Arial" w:cs="Arial"/>
          <w:sz w:val="24"/>
          <w:szCs w:val="24"/>
        </w:rPr>
        <w:t xml:space="preserve">. </w:t>
      </w:r>
      <w:r w:rsidRPr="0007572B">
        <w:rPr>
          <w:rFonts w:ascii="Arial" w:hAnsi="Arial" w:cs="Arial"/>
          <w:sz w:val="24"/>
          <w:szCs w:val="24"/>
        </w:rPr>
        <w:t>The Authority is the person with significant control and has previously included GMATL in its group accounts.</w:t>
      </w:r>
      <w:r w:rsidR="00A131D4">
        <w:rPr>
          <w:rFonts w:ascii="Arial" w:hAnsi="Arial" w:cs="Arial"/>
          <w:sz w:val="24"/>
          <w:szCs w:val="24"/>
        </w:rPr>
        <w:t xml:space="preserve"> </w:t>
      </w:r>
      <w:r w:rsidRPr="0007572B">
        <w:rPr>
          <w:rFonts w:ascii="Arial" w:hAnsi="Arial" w:cs="Arial"/>
          <w:sz w:val="24"/>
          <w:szCs w:val="24"/>
        </w:rPr>
        <w:t xml:space="preserve">On the grounds of immateriality, it has been decided that </w:t>
      </w:r>
      <w:r w:rsidRPr="0007572B">
        <w:rPr>
          <w:rFonts w:ascii="Arial" w:hAnsi="Arial" w:cs="Arial"/>
          <w:b/>
          <w:sz w:val="24"/>
          <w:szCs w:val="24"/>
        </w:rPr>
        <w:t>GMATL will not be included</w:t>
      </w:r>
      <w:r w:rsidRPr="0007572B">
        <w:rPr>
          <w:rFonts w:ascii="Arial" w:hAnsi="Arial" w:cs="Arial"/>
          <w:sz w:val="24"/>
          <w:szCs w:val="24"/>
        </w:rPr>
        <w:t xml:space="preserve"> in the group accounts. </w:t>
      </w:r>
    </w:p>
    <w:p w14:paraId="18F8194F" w14:textId="77777777" w:rsidR="00655E4C" w:rsidRPr="0007572B" w:rsidRDefault="00655E4C" w:rsidP="006F1659">
      <w:pPr>
        <w:pStyle w:val="BodyText3"/>
        <w:spacing w:line="360" w:lineRule="auto"/>
        <w:rPr>
          <w:rFonts w:ascii="Arial" w:hAnsi="Arial" w:cs="Arial"/>
          <w:b/>
          <w:sz w:val="24"/>
          <w:szCs w:val="24"/>
        </w:rPr>
      </w:pPr>
    </w:p>
    <w:p w14:paraId="00EFBCB3" w14:textId="77777777" w:rsidR="00655E4C" w:rsidRPr="0007572B" w:rsidRDefault="00655E4C" w:rsidP="006F1659">
      <w:pPr>
        <w:pStyle w:val="Heading4bold"/>
        <w:spacing w:line="360" w:lineRule="auto"/>
      </w:pPr>
      <w:r w:rsidRPr="0007572B">
        <w:t>Manchester Investment and Development Agency Service (MIDAS)</w:t>
      </w:r>
    </w:p>
    <w:p w14:paraId="0826E012" w14:textId="44864143" w:rsidR="00655E4C" w:rsidRDefault="00655E4C" w:rsidP="006F1659">
      <w:pPr>
        <w:pStyle w:val="BodyText3"/>
        <w:spacing w:after="0" w:line="360" w:lineRule="auto"/>
        <w:rPr>
          <w:rFonts w:ascii="Arial" w:hAnsi="Arial" w:cs="Arial"/>
          <w:sz w:val="24"/>
          <w:szCs w:val="24"/>
        </w:rPr>
      </w:pPr>
      <w:r w:rsidRPr="0007572B">
        <w:rPr>
          <w:rFonts w:ascii="Arial" w:hAnsi="Arial" w:cs="Arial"/>
          <w:sz w:val="24"/>
          <w:szCs w:val="24"/>
        </w:rPr>
        <w:t>MIDAS is a private company limited by guarantee without share capital.</w:t>
      </w:r>
      <w:r w:rsidR="00FE41DD" w:rsidRPr="00FE41DD">
        <w:t xml:space="preserve"> </w:t>
      </w:r>
      <w:r w:rsidR="00FE41DD" w:rsidRPr="00FE41DD">
        <w:rPr>
          <w:rFonts w:ascii="Arial" w:hAnsi="Arial" w:cs="Arial"/>
          <w:sz w:val="24"/>
          <w:szCs w:val="24"/>
        </w:rPr>
        <w:t>The Company registration number is 03323710</w:t>
      </w:r>
      <w:r w:rsidR="00FE41DD">
        <w:rPr>
          <w:rFonts w:ascii="Arial" w:hAnsi="Arial" w:cs="Arial"/>
          <w:sz w:val="24"/>
          <w:szCs w:val="24"/>
        </w:rPr>
        <w:t xml:space="preserve">. </w:t>
      </w:r>
      <w:r w:rsidRPr="0007572B">
        <w:rPr>
          <w:rFonts w:ascii="Arial" w:hAnsi="Arial" w:cs="Arial"/>
          <w:sz w:val="24"/>
          <w:szCs w:val="24"/>
        </w:rPr>
        <w:t xml:space="preserve">The Authority is the </w:t>
      </w:r>
      <w:r w:rsidRPr="00337A59">
        <w:rPr>
          <w:rFonts w:ascii="Arial" w:hAnsi="Arial" w:cs="Arial"/>
          <w:sz w:val="24"/>
          <w:szCs w:val="24"/>
        </w:rPr>
        <w:t xml:space="preserve">person with significant control and has previously </w:t>
      </w:r>
      <w:r w:rsidRPr="00A30A73">
        <w:rPr>
          <w:rFonts w:ascii="Arial" w:hAnsi="Arial" w:cs="Arial"/>
          <w:sz w:val="24"/>
          <w:szCs w:val="24"/>
        </w:rPr>
        <w:t>included MIDAS in its group accounts. The balance sheet value is approximately £</w:t>
      </w:r>
      <w:r w:rsidR="00337A59" w:rsidRPr="00A30A73">
        <w:rPr>
          <w:rFonts w:ascii="Arial" w:hAnsi="Arial" w:cs="Arial"/>
          <w:sz w:val="24"/>
          <w:szCs w:val="24"/>
        </w:rPr>
        <w:t>0.</w:t>
      </w:r>
      <w:r w:rsidR="00A30A73" w:rsidRPr="00A30A73">
        <w:rPr>
          <w:rFonts w:ascii="Arial" w:hAnsi="Arial" w:cs="Arial"/>
          <w:sz w:val="24"/>
          <w:szCs w:val="24"/>
        </w:rPr>
        <w:t>7</w:t>
      </w:r>
      <w:r w:rsidRPr="00A30A73">
        <w:rPr>
          <w:rFonts w:ascii="Arial" w:hAnsi="Arial" w:cs="Arial"/>
          <w:sz w:val="24"/>
          <w:szCs w:val="24"/>
        </w:rPr>
        <w:t>m. On</w:t>
      </w:r>
      <w:r w:rsidRPr="0007572B">
        <w:rPr>
          <w:rFonts w:ascii="Arial" w:hAnsi="Arial" w:cs="Arial"/>
          <w:sz w:val="24"/>
          <w:szCs w:val="24"/>
        </w:rPr>
        <w:t xml:space="preserve"> the grounds of immateriality, it has been decided that </w:t>
      </w:r>
      <w:r w:rsidRPr="0007572B">
        <w:rPr>
          <w:rFonts w:ascii="Arial" w:hAnsi="Arial" w:cs="Arial"/>
          <w:b/>
          <w:sz w:val="24"/>
          <w:szCs w:val="24"/>
        </w:rPr>
        <w:t xml:space="preserve">MIDAS will not be included </w:t>
      </w:r>
      <w:r w:rsidRPr="0007572B">
        <w:rPr>
          <w:rFonts w:ascii="Arial" w:hAnsi="Arial" w:cs="Arial"/>
          <w:sz w:val="24"/>
          <w:szCs w:val="24"/>
        </w:rPr>
        <w:t xml:space="preserve">in the group accounts. </w:t>
      </w:r>
    </w:p>
    <w:p w14:paraId="322DD1FA" w14:textId="52CA4939" w:rsidR="00FE41DD" w:rsidRDefault="00FE41DD" w:rsidP="006F1659">
      <w:pPr>
        <w:pStyle w:val="BodyText3"/>
        <w:spacing w:after="0" w:line="360" w:lineRule="auto"/>
        <w:rPr>
          <w:rFonts w:ascii="Arial" w:hAnsi="Arial" w:cs="Arial"/>
          <w:sz w:val="24"/>
          <w:szCs w:val="24"/>
        </w:rPr>
      </w:pPr>
    </w:p>
    <w:p w14:paraId="3075D926" w14:textId="12DA36EE" w:rsidR="00990F1E" w:rsidRDefault="00FE41DD" w:rsidP="006F1659">
      <w:pPr>
        <w:pStyle w:val="BodyText3"/>
        <w:spacing w:after="0" w:line="360" w:lineRule="auto"/>
        <w:rPr>
          <w:rFonts w:ascii="Arial" w:hAnsi="Arial" w:cs="Arial"/>
          <w:sz w:val="24"/>
          <w:szCs w:val="24"/>
        </w:rPr>
      </w:pPr>
      <w:r w:rsidRPr="00FE41DD">
        <w:rPr>
          <w:rFonts w:ascii="Arial" w:hAnsi="Arial" w:cs="Arial"/>
          <w:sz w:val="24"/>
          <w:szCs w:val="24"/>
        </w:rPr>
        <w:t>For information, details of transactions with MIDAS will be included within the related parties note</w:t>
      </w:r>
      <w:r w:rsidR="000A6E69">
        <w:rPr>
          <w:rFonts w:ascii="Arial" w:hAnsi="Arial" w:cs="Arial"/>
          <w:sz w:val="24"/>
          <w:szCs w:val="24"/>
        </w:rPr>
        <w:t>.</w:t>
      </w:r>
    </w:p>
    <w:p w14:paraId="5A755B5A" w14:textId="77777777" w:rsidR="00616CD8" w:rsidRPr="00616CD8" w:rsidRDefault="00616CD8" w:rsidP="00616CD8">
      <w:pPr>
        <w:spacing w:line="360" w:lineRule="auto"/>
        <w:rPr>
          <w:rFonts w:ascii="Arial" w:hAnsi="Arial" w:cs="Arial"/>
        </w:rPr>
      </w:pPr>
    </w:p>
    <w:p w14:paraId="70C0FADE" w14:textId="6DE07987" w:rsidR="00655E4C" w:rsidRPr="0007572B" w:rsidRDefault="00655E4C" w:rsidP="006F1659">
      <w:pPr>
        <w:pStyle w:val="Heading4bold"/>
        <w:spacing w:line="360" w:lineRule="auto"/>
      </w:pPr>
      <w:r w:rsidRPr="0007572B">
        <w:t xml:space="preserve">HIVE Homes </w:t>
      </w:r>
    </w:p>
    <w:p w14:paraId="4683C672" w14:textId="633E6143" w:rsidR="00616CD8" w:rsidRDefault="00655E4C" w:rsidP="006F1659">
      <w:pPr>
        <w:pStyle w:val="BodyText3"/>
        <w:spacing w:line="360" w:lineRule="auto"/>
        <w:rPr>
          <w:rFonts w:ascii="Arial" w:hAnsi="Arial" w:cs="Arial"/>
          <w:sz w:val="24"/>
          <w:szCs w:val="24"/>
        </w:rPr>
      </w:pPr>
      <w:r w:rsidRPr="0007572B">
        <w:rPr>
          <w:rFonts w:ascii="Arial" w:hAnsi="Arial" w:cs="Arial"/>
          <w:sz w:val="24"/>
          <w:szCs w:val="24"/>
        </w:rPr>
        <w:t xml:space="preserve">HIVE Homes is a joint venture with </w:t>
      </w:r>
      <w:r w:rsidR="006A7A2D">
        <w:rPr>
          <w:rFonts w:ascii="Arial" w:hAnsi="Arial" w:cs="Arial"/>
          <w:sz w:val="24"/>
          <w:szCs w:val="24"/>
        </w:rPr>
        <w:t>ten</w:t>
      </w:r>
      <w:r w:rsidRPr="0007572B">
        <w:rPr>
          <w:rFonts w:ascii="Arial" w:hAnsi="Arial" w:cs="Arial"/>
          <w:sz w:val="24"/>
          <w:szCs w:val="24"/>
        </w:rPr>
        <w:t xml:space="preserve"> Registered Housing providers and has been incorporated to acquire sites in </w:t>
      </w:r>
      <w:r w:rsidR="00336C9F">
        <w:rPr>
          <w:rFonts w:ascii="Arial" w:hAnsi="Arial" w:cs="Arial"/>
          <w:sz w:val="24"/>
          <w:szCs w:val="24"/>
        </w:rPr>
        <w:t>GM</w:t>
      </w:r>
      <w:r w:rsidRPr="0007572B">
        <w:rPr>
          <w:rFonts w:ascii="Arial" w:hAnsi="Arial" w:cs="Arial"/>
          <w:sz w:val="24"/>
          <w:szCs w:val="24"/>
        </w:rPr>
        <w:t xml:space="preserve"> and then develop them for sale as residential use. </w:t>
      </w:r>
      <w:r w:rsidR="00FE41DD" w:rsidRPr="00FE41DD">
        <w:rPr>
          <w:rFonts w:ascii="Arial" w:hAnsi="Arial" w:cs="Arial"/>
          <w:sz w:val="24"/>
          <w:szCs w:val="24"/>
        </w:rPr>
        <w:t>The Company registration number is OC425196</w:t>
      </w:r>
      <w:r w:rsidR="00FE41DD">
        <w:rPr>
          <w:rFonts w:ascii="Arial" w:hAnsi="Arial" w:cs="Arial"/>
          <w:sz w:val="24"/>
          <w:szCs w:val="24"/>
        </w:rPr>
        <w:t xml:space="preserve">. </w:t>
      </w:r>
      <w:r w:rsidRPr="00BB4FA3">
        <w:rPr>
          <w:rFonts w:ascii="Arial" w:hAnsi="Arial" w:cs="Arial"/>
          <w:sz w:val="24"/>
          <w:szCs w:val="24"/>
        </w:rPr>
        <w:t xml:space="preserve">From March 2019 the Authority has a 20% share within the </w:t>
      </w:r>
      <w:r w:rsidRPr="003D0973">
        <w:rPr>
          <w:rFonts w:ascii="Arial" w:hAnsi="Arial" w:cs="Arial"/>
          <w:sz w:val="24"/>
          <w:szCs w:val="24"/>
        </w:rPr>
        <w:t>company, and £2m has been invested to date. On</w:t>
      </w:r>
      <w:r w:rsidRPr="0007572B">
        <w:rPr>
          <w:rFonts w:ascii="Arial" w:hAnsi="Arial" w:cs="Arial"/>
          <w:sz w:val="24"/>
          <w:szCs w:val="24"/>
        </w:rPr>
        <w:t xml:space="preserve"> the grounds of </w:t>
      </w:r>
      <w:r w:rsidRPr="0007572B">
        <w:rPr>
          <w:rFonts w:ascii="Arial" w:hAnsi="Arial" w:cs="Arial"/>
          <w:sz w:val="24"/>
          <w:szCs w:val="24"/>
        </w:rPr>
        <w:lastRenderedPageBreak/>
        <w:t xml:space="preserve">immateriality, it has been decided that </w:t>
      </w:r>
      <w:r w:rsidRPr="0007572B">
        <w:rPr>
          <w:rFonts w:ascii="Arial" w:hAnsi="Arial" w:cs="Arial"/>
          <w:b/>
          <w:sz w:val="24"/>
          <w:szCs w:val="24"/>
        </w:rPr>
        <w:t>HIVE Homes will not be included</w:t>
      </w:r>
      <w:r w:rsidRPr="0007572B">
        <w:rPr>
          <w:rFonts w:ascii="Arial" w:hAnsi="Arial" w:cs="Arial"/>
          <w:sz w:val="24"/>
          <w:szCs w:val="24"/>
        </w:rPr>
        <w:t xml:space="preserve"> in the group accounts.</w:t>
      </w:r>
    </w:p>
    <w:p w14:paraId="2A317A26" w14:textId="77777777" w:rsidR="00616CD8" w:rsidRPr="0007572B" w:rsidRDefault="00616CD8" w:rsidP="00616CD8">
      <w:pPr>
        <w:spacing w:line="360" w:lineRule="auto"/>
        <w:rPr>
          <w:rFonts w:ascii="Arial" w:hAnsi="Arial" w:cs="Arial"/>
        </w:rPr>
      </w:pPr>
    </w:p>
    <w:p w14:paraId="66934731" w14:textId="77777777" w:rsidR="00FE41DD" w:rsidRPr="00431F6F" w:rsidRDefault="00FE41DD" w:rsidP="006F1659">
      <w:pPr>
        <w:pStyle w:val="Heading4bold"/>
        <w:spacing w:line="360" w:lineRule="auto"/>
      </w:pPr>
      <w:r w:rsidRPr="00431F6F">
        <w:t>Resonance Supported Homes Fund Limited Partnership</w:t>
      </w:r>
    </w:p>
    <w:p w14:paraId="47F341DE" w14:textId="4B6346D8" w:rsidR="00990F1E" w:rsidRDefault="00FE41DD" w:rsidP="006F1659">
      <w:pPr>
        <w:spacing w:line="360" w:lineRule="auto"/>
        <w:rPr>
          <w:rFonts w:ascii="Arial" w:hAnsi="Arial" w:cs="Arial"/>
          <w:color w:val="000000"/>
          <w:lang w:val="en-US"/>
        </w:rPr>
      </w:pPr>
      <w:r w:rsidRPr="00431F6F">
        <w:rPr>
          <w:rFonts w:ascii="Arial" w:hAnsi="Arial" w:cs="Arial"/>
          <w:color w:val="000000"/>
          <w:lang w:val="en-US"/>
        </w:rPr>
        <w:t xml:space="preserve">Resonance Supported Homes Fund was incorporated in July 2020 to house adults with learning disabilities, autism and mental health issues living in inappropriate housing such as </w:t>
      </w:r>
      <w:r w:rsidR="000B7231" w:rsidRPr="00431F6F">
        <w:rPr>
          <w:rFonts w:ascii="Arial" w:hAnsi="Arial" w:cs="Arial"/>
          <w:color w:val="000000"/>
          <w:lang w:val="en-US"/>
        </w:rPr>
        <w:t>long</w:t>
      </w:r>
      <w:r w:rsidR="000B7231">
        <w:rPr>
          <w:rFonts w:ascii="Arial" w:hAnsi="Arial" w:cs="Arial"/>
          <w:color w:val="000000"/>
          <w:lang w:val="en-US"/>
        </w:rPr>
        <w:t>-term</w:t>
      </w:r>
      <w:r w:rsidRPr="00431F6F">
        <w:rPr>
          <w:rFonts w:ascii="Arial" w:hAnsi="Arial" w:cs="Arial"/>
          <w:color w:val="000000"/>
          <w:lang w:val="en-US"/>
        </w:rPr>
        <w:t xml:space="preserve"> hospital inpatient facilities, or on long waiting lists awaiting the right housing for their needs. The Company registration number is LP021031. </w:t>
      </w:r>
      <w:r w:rsidR="003D0AA7">
        <w:rPr>
          <w:rFonts w:ascii="Arial" w:hAnsi="Arial" w:cs="Arial"/>
          <w:color w:val="000000"/>
          <w:lang w:val="en-US"/>
        </w:rPr>
        <w:t xml:space="preserve">The GMCA is a limited Partner and as such </w:t>
      </w:r>
      <w:r w:rsidR="003D0AA7" w:rsidRPr="003E27B6">
        <w:rPr>
          <w:rFonts w:ascii="Arial" w:hAnsi="Arial" w:cs="Arial"/>
          <w:color w:val="000000"/>
          <w:lang w:val="en-US"/>
        </w:rPr>
        <w:t>does not have the authority to legal</w:t>
      </w:r>
      <w:r w:rsidR="003D0AA7">
        <w:rPr>
          <w:rFonts w:ascii="Arial" w:hAnsi="Arial" w:cs="Arial"/>
          <w:color w:val="000000"/>
          <w:lang w:val="en-US"/>
        </w:rPr>
        <w:t>ly</w:t>
      </w:r>
      <w:r w:rsidR="003D0AA7" w:rsidRPr="003E27B6">
        <w:rPr>
          <w:rFonts w:ascii="Arial" w:hAnsi="Arial" w:cs="Arial"/>
          <w:color w:val="000000"/>
          <w:lang w:val="en-US"/>
        </w:rPr>
        <w:t xml:space="preserve"> bind the partnership</w:t>
      </w:r>
      <w:r w:rsidR="003D0AA7">
        <w:rPr>
          <w:rFonts w:ascii="Arial" w:hAnsi="Arial" w:cs="Arial"/>
          <w:color w:val="000000"/>
          <w:lang w:val="en-US"/>
        </w:rPr>
        <w:t>.</w:t>
      </w:r>
      <w:r w:rsidR="003D0AA7" w:rsidRPr="003E27B6">
        <w:rPr>
          <w:rFonts w:ascii="Arial" w:hAnsi="Arial" w:cs="Arial"/>
          <w:color w:val="000000"/>
          <w:lang w:val="en-US"/>
        </w:rPr>
        <w:t xml:space="preserve"> </w:t>
      </w:r>
      <w:r w:rsidR="003D0AA7">
        <w:rPr>
          <w:rFonts w:ascii="Arial" w:hAnsi="Arial" w:cs="Arial"/>
          <w:color w:val="000000"/>
          <w:lang w:val="en-US"/>
        </w:rPr>
        <w:t>Due to a lack of control / significant influence and the partnership</w:t>
      </w:r>
      <w:r w:rsidR="00692F29">
        <w:rPr>
          <w:rFonts w:ascii="Arial" w:hAnsi="Arial" w:cs="Arial"/>
          <w:color w:val="000000"/>
          <w:lang w:val="en-US"/>
        </w:rPr>
        <w:t>’</w:t>
      </w:r>
      <w:r w:rsidR="003D0AA7">
        <w:rPr>
          <w:rFonts w:ascii="Arial" w:hAnsi="Arial" w:cs="Arial"/>
          <w:color w:val="000000"/>
          <w:lang w:val="en-US"/>
        </w:rPr>
        <w:t xml:space="preserve">s </w:t>
      </w:r>
      <w:r w:rsidR="003D0AA7" w:rsidRPr="00431F6F">
        <w:rPr>
          <w:rFonts w:ascii="Arial" w:hAnsi="Arial" w:cs="Arial"/>
          <w:color w:val="000000"/>
          <w:lang w:val="en-US"/>
        </w:rPr>
        <w:t xml:space="preserve">immateriality, it has been decided that </w:t>
      </w:r>
      <w:r w:rsidRPr="00431F6F">
        <w:rPr>
          <w:rFonts w:ascii="Arial" w:hAnsi="Arial" w:cs="Arial"/>
          <w:b/>
          <w:bCs/>
          <w:color w:val="000000"/>
          <w:lang w:val="en-US"/>
        </w:rPr>
        <w:t>Resonance Supported Homes Fund will not be included</w:t>
      </w:r>
      <w:r w:rsidRPr="00431F6F">
        <w:rPr>
          <w:rFonts w:ascii="Arial" w:hAnsi="Arial" w:cs="Arial"/>
          <w:color w:val="000000"/>
          <w:lang w:val="en-US"/>
        </w:rPr>
        <w:t xml:space="preserve"> in the group accounts.</w:t>
      </w:r>
    </w:p>
    <w:p w14:paraId="626F20C6" w14:textId="77777777" w:rsidR="00B7710C" w:rsidRPr="00431F6F" w:rsidRDefault="00B7710C" w:rsidP="006F1659">
      <w:pPr>
        <w:spacing w:line="360" w:lineRule="auto"/>
        <w:rPr>
          <w:rFonts w:ascii="Arial" w:hAnsi="Arial" w:cs="Arial"/>
          <w:color w:val="000000"/>
          <w:lang w:val="en-US"/>
        </w:rPr>
      </w:pPr>
    </w:p>
    <w:p w14:paraId="05256622" w14:textId="7D5AA38A" w:rsidR="00FE41DD" w:rsidRPr="008A465B" w:rsidRDefault="00FE41DD" w:rsidP="006F1659">
      <w:pPr>
        <w:pStyle w:val="Heading4bold"/>
        <w:spacing w:line="360" w:lineRule="auto"/>
      </w:pPr>
      <w:bookmarkStart w:id="89" w:name="_Toc92894874"/>
      <w:bookmarkStart w:id="90" w:name="_Toc92895178"/>
      <w:r w:rsidRPr="008A465B">
        <w:t>T</w:t>
      </w:r>
      <w:r>
        <w:t>he</w:t>
      </w:r>
      <w:r w:rsidRPr="008A465B">
        <w:t xml:space="preserve"> G</w:t>
      </w:r>
      <w:r>
        <w:t>M</w:t>
      </w:r>
      <w:r w:rsidRPr="008A465B">
        <w:t xml:space="preserve"> &amp; C</w:t>
      </w:r>
      <w:r>
        <w:t>heshire</w:t>
      </w:r>
      <w:r w:rsidRPr="008A465B">
        <w:t xml:space="preserve"> </w:t>
      </w:r>
      <w:r>
        <w:t>life Sciences Fund Limited Partnership</w:t>
      </w:r>
      <w:r w:rsidR="0075175B">
        <w:t xml:space="preserve"> (Life Science</w:t>
      </w:r>
      <w:r w:rsidR="00345FB8">
        <w:t xml:space="preserve"> 1)</w:t>
      </w:r>
    </w:p>
    <w:p w14:paraId="06CBD257" w14:textId="1FE4AF5B" w:rsidR="00FE41DD" w:rsidRDefault="00FE41DD" w:rsidP="006F1659">
      <w:pPr>
        <w:spacing w:line="360" w:lineRule="auto"/>
        <w:rPr>
          <w:rFonts w:ascii="Arial" w:hAnsi="Arial" w:cs="Arial"/>
          <w:color w:val="000000"/>
          <w:lang w:val="en-US"/>
        </w:rPr>
      </w:pPr>
      <w:r w:rsidRPr="003D0AA7">
        <w:rPr>
          <w:rFonts w:ascii="Arial" w:eastAsiaTheme="minorHAnsi" w:hAnsi="Arial" w:cs="Arial"/>
          <w:lang w:val="en-US"/>
        </w:rPr>
        <w:t>The GM &amp; Cheshire Life Sciences Fund was incorporated in September 2015 as a seed and early-stage venture capital</w:t>
      </w:r>
      <w:r w:rsidRPr="003D0AA7">
        <w:rPr>
          <w:rFonts w:ascii="Arial" w:hAnsi="Arial" w:cs="Arial"/>
          <w:color w:val="000000"/>
          <w:lang w:val="en-US"/>
        </w:rPr>
        <w:t xml:space="preserve"> fund for life sciences businesses located in the Greater Manchester and Cheshire </w:t>
      </w:r>
      <w:r w:rsidR="0040773A">
        <w:rPr>
          <w:rFonts w:ascii="Arial" w:hAnsi="Arial" w:cs="Arial"/>
          <w:color w:val="000000"/>
          <w:lang w:val="en-US"/>
        </w:rPr>
        <w:t>and</w:t>
      </w:r>
      <w:r w:rsidRPr="003D0AA7">
        <w:rPr>
          <w:rFonts w:ascii="Arial" w:hAnsi="Arial" w:cs="Arial"/>
          <w:color w:val="000000"/>
          <w:lang w:val="en-US"/>
        </w:rPr>
        <w:t xml:space="preserve"> Warrington region. The Fund came to the end of its new investment period in mid-2021, by which time it had made a range of seed, early-stage and growth investments into 42 companies. The Fund will continue to support its portfolio and carry out follow-on funding until at least 2030.</w:t>
      </w:r>
      <w:r w:rsidR="003E27B6" w:rsidRPr="003D0AA7">
        <w:rPr>
          <w:rFonts w:ascii="Arial" w:hAnsi="Arial" w:cs="Arial"/>
          <w:color w:val="000000"/>
          <w:lang w:val="en-US"/>
        </w:rPr>
        <w:t xml:space="preserve"> </w:t>
      </w:r>
      <w:bookmarkStart w:id="91" w:name="_Hlk139013754"/>
      <w:r w:rsidR="003D0AA7" w:rsidRPr="003D0AA7">
        <w:rPr>
          <w:rFonts w:ascii="Arial" w:hAnsi="Arial" w:cs="Arial"/>
          <w:color w:val="000000"/>
          <w:lang w:val="en-US"/>
        </w:rPr>
        <w:t>The</w:t>
      </w:r>
      <w:r w:rsidR="003D0AA7" w:rsidRPr="00431F6F">
        <w:rPr>
          <w:rFonts w:ascii="Arial" w:hAnsi="Arial" w:cs="Arial"/>
          <w:color w:val="000000"/>
          <w:lang w:val="en-US"/>
        </w:rPr>
        <w:t xml:space="preserve"> Company registration number is LP016834. </w:t>
      </w:r>
      <w:r w:rsidR="003E27B6">
        <w:rPr>
          <w:rFonts w:ascii="Arial" w:hAnsi="Arial" w:cs="Arial"/>
          <w:color w:val="000000"/>
          <w:lang w:val="en-US"/>
        </w:rPr>
        <w:t xml:space="preserve">The GMCA is a </w:t>
      </w:r>
      <w:r w:rsidR="003D0AA7">
        <w:rPr>
          <w:rFonts w:ascii="Arial" w:hAnsi="Arial" w:cs="Arial"/>
          <w:color w:val="000000"/>
          <w:lang w:val="en-US"/>
        </w:rPr>
        <w:t>L</w:t>
      </w:r>
      <w:r w:rsidR="003E27B6">
        <w:rPr>
          <w:rFonts w:ascii="Arial" w:hAnsi="Arial" w:cs="Arial"/>
          <w:color w:val="000000"/>
          <w:lang w:val="en-US"/>
        </w:rPr>
        <w:t xml:space="preserve">imited </w:t>
      </w:r>
      <w:r w:rsidR="003D0AA7">
        <w:rPr>
          <w:rFonts w:ascii="Arial" w:hAnsi="Arial" w:cs="Arial"/>
          <w:color w:val="000000"/>
          <w:lang w:val="en-US"/>
        </w:rPr>
        <w:t>P</w:t>
      </w:r>
      <w:r w:rsidR="003E27B6">
        <w:rPr>
          <w:rFonts w:ascii="Arial" w:hAnsi="Arial" w:cs="Arial"/>
          <w:color w:val="000000"/>
          <w:lang w:val="en-US"/>
        </w:rPr>
        <w:t>artner</w:t>
      </w:r>
      <w:r w:rsidR="003D0AA7">
        <w:rPr>
          <w:rFonts w:ascii="Arial" w:hAnsi="Arial" w:cs="Arial"/>
          <w:color w:val="000000"/>
          <w:lang w:val="en-US"/>
        </w:rPr>
        <w:t xml:space="preserve"> and as such </w:t>
      </w:r>
      <w:r w:rsidR="003E27B6" w:rsidRPr="003E27B6">
        <w:rPr>
          <w:rFonts w:ascii="Arial" w:hAnsi="Arial" w:cs="Arial"/>
          <w:color w:val="000000"/>
          <w:lang w:val="en-US"/>
        </w:rPr>
        <w:t>does not have the authority to legal</w:t>
      </w:r>
      <w:r w:rsidR="003D0AA7">
        <w:rPr>
          <w:rFonts w:ascii="Arial" w:hAnsi="Arial" w:cs="Arial"/>
          <w:color w:val="000000"/>
          <w:lang w:val="en-US"/>
        </w:rPr>
        <w:t>ly</w:t>
      </w:r>
      <w:r w:rsidR="003E27B6" w:rsidRPr="003E27B6">
        <w:rPr>
          <w:rFonts w:ascii="Arial" w:hAnsi="Arial" w:cs="Arial"/>
          <w:color w:val="000000"/>
          <w:lang w:val="en-US"/>
        </w:rPr>
        <w:t xml:space="preserve"> bind the partnership</w:t>
      </w:r>
      <w:r w:rsidR="003D0AA7">
        <w:rPr>
          <w:rFonts w:ascii="Arial" w:hAnsi="Arial" w:cs="Arial"/>
          <w:color w:val="000000"/>
          <w:lang w:val="en-US"/>
        </w:rPr>
        <w:t>.</w:t>
      </w:r>
      <w:r w:rsidR="003E27B6" w:rsidRPr="003E27B6">
        <w:rPr>
          <w:rFonts w:ascii="Arial" w:hAnsi="Arial" w:cs="Arial"/>
          <w:color w:val="000000"/>
          <w:lang w:val="en-US"/>
        </w:rPr>
        <w:t xml:space="preserve"> </w:t>
      </w:r>
      <w:r w:rsidR="003D0AA7">
        <w:rPr>
          <w:rFonts w:ascii="Arial" w:hAnsi="Arial" w:cs="Arial"/>
          <w:color w:val="000000"/>
          <w:lang w:val="en-US"/>
        </w:rPr>
        <w:t>Due to</w:t>
      </w:r>
      <w:r w:rsidR="00345FB8">
        <w:rPr>
          <w:rFonts w:ascii="Arial" w:hAnsi="Arial" w:cs="Arial"/>
          <w:color w:val="000000"/>
          <w:lang w:val="en-US"/>
        </w:rPr>
        <w:t xml:space="preserve"> a</w:t>
      </w:r>
      <w:r w:rsidR="003D0AA7">
        <w:rPr>
          <w:rFonts w:ascii="Arial" w:hAnsi="Arial" w:cs="Arial"/>
          <w:color w:val="000000"/>
          <w:lang w:val="en-US"/>
        </w:rPr>
        <w:t xml:space="preserve"> lack of control / significant influence and the partnership</w:t>
      </w:r>
      <w:r w:rsidR="00692F29">
        <w:rPr>
          <w:rFonts w:ascii="Arial" w:hAnsi="Arial" w:cs="Arial"/>
          <w:color w:val="000000"/>
          <w:lang w:val="en-US"/>
        </w:rPr>
        <w:t>’</w:t>
      </w:r>
      <w:r w:rsidR="003D0AA7">
        <w:rPr>
          <w:rFonts w:ascii="Arial" w:hAnsi="Arial" w:cs="Arial"/>
          <w:color w:val="000000"/>
          <w:lang w:val="en-US"/>
        </w:rPr>
        <w:t xml:space="preserve">s </w:t>
      </w:r>
      <w:r w:rsidRPr="00431F6F">
        <w:rPr>
          <w:rFonts w:ascii="Arial" w:hAnsi="Arial" w:cs="Arial"/>
          <w:color w:val="000000"/>
          <w:lang w:val="en-US"/>
        </w:rPr>
        <w:t xml:space="preserve">immateriality, it has been decided that </w:t>
      </w:r>
      <w:r w:rsidRPr="00431F6F">
        <w:rPr>
          <w:rFonts w:ascii="Arial" w:hAnsi="Arial" w:cs="Arial"/>
          <w:b/>
          <w:bCs/>
          <w:color w:val="000000"/>
          <w:lang w:val="en-US"/>
        </w:rPr>
        <w:t xml:space="preserve">The GM &amp; Cheshire Life Sciences Fund </w:t>
      </w:r>
      <w:r w:rsidR="00345FB8">
        <w:rPr>
          <w:rFonts w:ascii="Arial" w:hAnsi="Arial" w:cs="Arial"/>
          <w:b/>
          <w:bCs/>
          <w:color w:val="000000"/>
          <w:lang w:val="en-US"/>
        </w:rPr>
        <w:t xml:space="preserve">Limited Partnership </w:t>
      </w:r>
      <w:r w:rsidRPr="00431F6F">
        <w:rPr>
          <w:rFonts w:ascii="Arial" w:hAnsi="Arial" w:cs="Arial"/>
          <w:b/>
          <w:bCs/>
          <w:color w:val="000000"/>
          <w:lang w:val="en-US"/>
        </w:rPr>
        <w:t>will not be included</w:t>
      </w:r>
      <w:r w:rsidRPr="00431F6F">
        <w:rPr>
          <w:rFonts w:ascii="Arial" w:hAnsi="Arial" w:cs="Arial"/>
          <w:color w:val="000000"/>
          <w:lang w:val="en-US"/>
        </w:rPr>
        <w:t xml:space="preserve"> in the group accounts</w:t>
      </w:r>
      <w:bookmarkEnd w:id="91"/>
      <w:r w:rsidR="00767BDD">
        <w:rPr>
          <w:rFonts w:ascii="Arial" w:hAnsi="Arial" w:cs="Arial"/>
          <w:color w:val="000000"/>
          <w:lang w:val="en-US"/>
        </w:rPr>
        <w:t>.</w:t>
      </w:r>
    </w:p>
    <w:p w14:paraId="6CD48BC8" w14:textId="77777777" w:rsidR="00767BDD" w:rsidRDefault="00767BDD" w:rsidP="006F1659">
      <w:pPr>
        <w:spacing w:line="360" w:lineRule="auto"/>
        <w:rPr>
          <w:rFonts w:ascii="Arial" w:hAnsi="Arial" w:cs="Arial"/>
          <w:color w:val="000000"/>
          <w:lang w:val="en-US"/>
        </w:rPr>
      </w:pPr>
    </w:p>
    <w:p w14:paraId="45801839" w14:textId="4DF0FB14" w:rsidR="00990F1E" w:rsidRPr="00345FB8" w:rsidRDefault="0075175B" w:rsidP="006F1659">
      <w:pPr>
        <w:pStyle w:val="Heading4bold"/>
        <w:spacing w:line="360" w:lineRule="auto"/>
      </w:pPr>
      <w:r w:rsidRPr="0075175B">
        <w:t xml:space="preserve">GMC </w:t>
      </w:r>
      <w:r w:rsidR="00345FB8" w:rsidRPr="00345FB8">
        <w:t>Life Sciences Fund</w:t>
      </w:r>
      <w:r w:rsidRPr="0075175B">
        <w:t xml:space="preserve"> L</w:t>
      </w:r>
      <w:r w:rsidRPr="00345FB8">
        <w:t xml:space="preserve">imited Partnership (Life Sciences 2) </w:t>
      </w:r>
    </w:p>
    <w:p w14:paraId="3005C8F0" w14:textId="7E047D38" w:rsidR="00345FB8" w:rsidRDefault="00345FB8" w:rsidP="006F1659">
      <w:pPr>
        <w:spacing w:line="360" w:lineRule="auto"/>
        <w:rPr>
          <w:rFonts w:ascii="Arial" w:hAnsi="Arial" w:cs="Arial"/>
          <w:color w:val="000000"/>
          <w:lang w:val="en-US"/>
        </w:rPr>
      </w:pPr>
      <w:r>
        <w:rPr>
          <w:rFonts w:ascii="Arial" w:hAnsi="Arial" w:cs="Arial"/>
          <w:color w:val="000000"/>
          <w:lang w:val="en-US"/>
        </w:rPr>
        <w:t>GMC Life Sciences Fund Limited Partnership was incorporated in May 2022.</w:t>
      </w:r>
      <w:r w:rsidRPr="00345FB8">
        <w:rPr>
          <w:rFonts w:ascii="Arial" w:hAnsi="Arial" w:cs="Arial"/>
          <w:color w:val="000000"/>
          <w:lang w:val="en-US"/>
        </w:rPr>
        <w:t xml:space="preserve">The Company registration number is LP022594. </w:t>
      </w:r>
      <w:r w:rsidR="00CD00AF">
        <w:rPr>
          <w:rFonts w:ascii="Arial" w:hAnsi="Arial" w:cs="Arial"/>
          <w:color w:val="000000"/>
          <w:lang w:val="en-US"/>
        </w:rPr>
        <w:t xml:space="preserve">The Principal activity of this partnership is to invest in seed and early-stage life sciences businesses, located in or relocating to Greater Manchester and Cheshire &amp; Warrington. </w:t>
      </w:r>
      <w:r w:rsidRPr="00345FB8">
        <w:rPr>
          <w:rFonts w:ascii="Arial" w:hAnsi="Arial" w:cs="Arial"/>
          <w:color w:val="000000"/>
          <w:lang w:val="en-US"/>
        </w:rPr>
        <w:t xml:space="preserve">The GMCA is a Limited Partner and as such does not have the authority to legally bind the partnership. Due to </w:t>
      </w:r>
      <w:r>
        <w:rPr>
          <w:rFonts w:ascii="Arial" w:hAnsi="Arial" w:cs="Arial"/>
          <w:color w:val="000000"/>
          <w:lang w:val="en-US"/>
        </w:rPr>
        <w:t xml:space="preserve">a </w:t>
      </w:r>
      <w:r w:rsidRPr="00345FB8">
        <w:rPr>
          <w:rFonts w:ascii="Arial" w:hAnsi="Arial" w:cs="Arial"/>
          <w:color w:val="000000"/>
          <w:lang w:val="en-US"/>
        </w:rPr>
        <w:t>lack of control / significant influence and the partnership</w:t>
      </w:r>
      <w:r w:rsidR="00692F29">
        <w:rPr>
          <w:rFonts w:ascii="Arial" w:hAnsi="Arial" w:cs="Arial"/>
          <w:color w:val="000000"/>
          <w:lang w:val="en-US"/>
        </w:rPr>
        <w:t>’</w:t>
      </w:r>
      <w:r w:rsidRPr="00345FB8">
        <w:rPr>
          <w:rFonts w:ascii="Arial" w:hAnsi="Arial" w:cs="Arial"/>
          <w:color w:val="000000"/>
          <w:lang w:val="en-US"/>
        </w:rPr>
        <w:t xml:space="preserve">s immateriality, it has been decided that </w:t>
      </w:r>
      <w:r w:rsidRPr="00345FB8">
        <w:rPr>
          <w:rFonts w:ascii="Arial" w:hAnsi="Arial" w:cs="Arial"/>
          <w:b/>
          <w:bCs/>
          <w:color w:val="000000"/>
          <w:lang w:val="en-US"/>
        </w:rPr>
        <w:t xml:space="preserve">The </w:t>
      </w:r>
      <w:r w:rsidRPr="00345FB8">
        <w:rPr>
          <w:rFonts w:ascii="Arial" w:hAnsi="Arial" w:cs="Arial"/>
          <w:b/>
          <w:bCs/>
          <w:color w:val="000000"/>
          <w:lang w:val="en-US"/>
        </w:rPr>
        <w:lastRenderedPageBreak/>
        <w:t>GMC Life Sciences Fund Limited Partnership will not be included</w:t>
      </w:r>
      <w:r w:rsidRPr="00345FB8">
        <w:rPr>
          <w:rFonts w:ascii="Arial" w:hAnsi="Arial" w:cs="Arial"/>
          <w:color w:val="000000"/>
          <w:lang w:val="en-US"/>
        </w:rPr>
        <w:t xml:space="preserve"> in the group accounts.</w:t>
      </w:r>
    </w:p>
    <w:p w14:paraId="293B61B2" w14:textId="77777777" w:rsidR="00345FB8" w:rsidRDefault="00345FB8" w:rsidP="006F1659">
      <w:pPr>
        <w:spacing w:line="360" w:lineRule="auto"/>
        <w:rPr>
          <w:rFonts w:ascii="Arial" w:hAnsi="Arial" w:cs="Arial"/>
          <w:color w:val="000000"/>
          <w:lang w:val="en-US"/>
        </w:rPr>
      </w:pPr>
    </w:p>
    <w:p w14:paraId="2857D413" w14:textId="77777777" w:rsidR="00990F1E" w:rsidRPr="00431F6F" w:rsidRDefault="00990F1E" w:rsidP="006F1659">
      <w:pPr>
        <w:pStyle w:val="Heading4bold"/>
        <w:spacing w:line="360" w:lineRule="auto"/>
      </w:pPr>
      <w:r w:rsidRPr="00431F6F">
        <w:t>INTERCHANGE HOMES LLP</w:t>
      </w:r>
    </w:p>
    <w:p w14:paraId="4C6FA043" w14:textId="5002FAD6" w:rsidR="00990F1E" w:rsidRPr="00431F6F" w:rsidRDefault="00990F1E" w:rsidP="006F1659">
      <w:pPr>
        <w:spacing w:line="360" w:lineRule="auto"/>
        <w:rPr>
          <w:rFonts w:ascii="Arial" w:eastAsiaTheme="minorHAnsi" w:hAnsi="Arial" w:cs="Arial"/>
          <w:lang w:val="en-US"/>
        </w:rPr>
      </w:pPr>
      <w:r w:rsidRPr="00431F6F">
        <w:rPr>
          <w:rFonts w:ascii="Arial" w:eastAsiaTheme="minorHAnsi" w:hAnsi="Arial" w:cs="Arial"/>
          <w:lang w:val="en-US"/>
        </w:rPr>
        <w:t xml:space="preserve">Interchange Home LLP was incorporated in October 2021 as a special </w:t>
      </w:r>
      <w:r w:rsidR="00CD00AF" w:rsidRPr="00431F6F">
        <w:rPr>
          <w:rFonts w:ascii="Arial" w:eastAsiaTheme="minorHAnsi" w:hAnsi="Arial" w:cs="Arial"/>
          <w:lang w:val="en-US"/>
        </w:rPr>
        <w:t>purpos</w:t>
      </w:r>
      <w:r w:rsidR="00CD00AF">
        <w:rPr>
          <w:rFonts w:ascii="Arial" w:eastAsiaTheme="minorHAnsi" w:hAnsi="Arial" w:cs="Arial"/>
          <w:lang w:val="en-US"/>
        </w:rPr>
        <w:t>e</w:t>
      </w:r>
    </w:p>
    <w:p w14:paraId="71640F7E" w14:textId="77777777" w:rsidR="00990F1E" w:rsidRPr="00431F6F" w:rsidRDefault="00990F1E" w:rsidP="006F1659">
      <w:pPr>
        <w:spacing w:line="360" w:lineRule="auto"/>
        <w:rPr>
          <w:rFonts w:ascii="Arial" w:eastAsiaTheme="minorHAnsi" w:hAnsi="Arial" w:cs="Arial"/>
          <w:lang w:val="en-US"/>
        </w:rPr>
      </w:pPr>
      <w:r w:rsidRPr="00431F6F">
        <w:rPr>
          <w:rFonts w:ascii="Arial" w:eastAsiaTheme="minorHAnsi" w:hAnsi="Arial" w:cs="Arial"/>
          <w:lang w:val="en-US"/>
        </w:rPr>
        <w:t xml:space="preserve">vehicle (SPV) for the town centre residential accommodation development at </w:t>
      </w:r>
    </w:p>
    <w:p w14:paraId="33BE72F8" w14:textId="26B336DB" w:rsidR="00990F1E" w:rsidRPr="00431F6F" w:rsidRDefault="00990F1E" w:rsidP="006F1659">
      <w:pPr>
        <w:spacing w:line="360" w:lineRule="auto"/>
        <w:rPr>
          <w:rFonts w:ascii="Arial" w:eastAsiaTheme="minorHAnsi" w:hAnsi="Arial" w:cs="Arial"/>
          <w:lang w:val="en-US"/>
        </w:rPr>
      </w:pPr>
      <w:r w:rsidRPr="00431F6F">
        <w:rPr>
          <w:rFonts w:ascii="Arial" w:eastAsiaTheme="minorHAnsi" w:hAnsi="Arial" w:cs="Arial"/>
          <w:lang w:val="en-US"/>
        </w:rPr>
        <w:t xml:space="preserve">Stockport Interchange. The company registration number is OC439564. On the grounds of immateriality, it has been decided that </w:t>
      </w:r>
      <w:r w:rsidRPr="00431F6F">
        <w:rPr>
          <w:rFonts w:ascii="Arial" w:eastAsiaTheme="minorHAnsi" w:hAnsi="Arial" w:cs="Arial"/>
          <w:b/>
          <w:bCs/>
          <w:lang w:val="en-US"/>
        </w:rPr>
        <w:t>Interchanges Homes LLP will not be included</w:t>
      </w:r>
      <w:r w:rsidRPr="00431F6F">
        <w:rPr>
          <w:rFonts w:ascii="Arial" w:eastAsiaTheme="minorHAnsi" w:hAnsi="Arial" w:cs="Arial"/>
          <w:lang w:val="en-US"/>
        </w:rPr>
        <w:t xml:space="preserve"> in the group accounts.</w:t>
      </w:r>
    </w:p>
    <w:p w14:paraId="5C5DCFF7" w14:textId="77777777" w:rsidR="00AF0D29" w:rsidRDefault="00AF0D29" w:rsidP="006F1659">
      <w:pPr>
        <w:spacing w:line="360" w:lineRule="auto"/>
        <w:rPr>
          <w:rFonts w:ascii="Arial" w:eastAsia="Palatino Linotype" w:hAnsi="Arial" w:cs="Arial"/>
          <w:b/>
          <w:bCs/>
          <w:szCs w:val="28"/>
          <w:lang w:val="en-US"/>
        </w:rPr>
      </w:pPr>
      <w:r>
        <w:br w:type="page"/>
      </w:r>
    </w:p>
    <w:p w14:paraId="4EC3908C" w14:textId="0C3246B3" w:rsidR="00317E52" w:rsidRPr="000A0695" w:rsidRDefault="00317E52" w:rsidP="006F1659">
      <w:pPr>
        <w:pStyle w:val="Heading3greennumbered"/>
        <w:spacing w:line="360" w:lineRule="auto"/>
      </w:pPr>
      <w:bookmarkStart w:id="92" w:name="_Toc109922612"/>
      <w:r w:rsidRPr="000A0695">
        <w:lastRenderedPageBreak/>
        <w:t>3 Key Sources of Estimation and</w:t>
      </w:r>
      <w:r w:rsidRPr="000A0695">
        <w:rPr>
          <w:spacing w:val="-5"/>
        </w:rPr>
        <w:t xml:space="preserve"> </w:t>
      </w:r>
      <w:r w:rsidRPr="000A0695">
        <w:t>Uncertainty</w:t>
      </w:r>
      <w:bookmarkEnd w:id="89"/>
      <w:bookmarkEnd w:id="90"/>
      <w:bookmarkEnd w:id="92"/>
    </w:p>
    <w:p w14:paraId="3F8D1E2F" w14:textId="77777777" w:rsidR="00986BB0" w:rsidRPr="0007572B" w:rsidRDefault="00986BB0" w:rsidP="006F1659">
      <w:pPr>
        <w:autoSpaceDE w:val="0"/>
        <w:autoSpaceDN w:val="0"/>
        <w:adjustRightInd w:val="0"/>
        <w:spacing w:line="360" w:lineRule="auto"/>
        <w:jc w:val="both"/>
        <w:rPr>
          <w:rFonts w:ascii="Arial" w:hAnsi="Arial" w:cs="Arial"/>
          <w:color w:val="000000"/>
          <w:lang w:val="en-US"/>
        </w:rPr>
      </w:pPr>
    </w:p>
    <w:p w14:paraId="23CBBAF5" w14:textId="77777777" w:rsidR="009F03CF" w:rsidRPr="0007572B" w:rsidRDefault="002D2F17" w:rsidP="006F1659">
      <w:pPr>
        <w:pStyle w:val="Normal0"/>
        <w:spacing w:line="360" w:lineRule="auto"/>
        <w:rPr>
          <w:rFonts w:ascii="Arial" w:hAnsi="Arial" w:cs="Arial"/>
          <w:b/>
          <w:sz w:val="24"/>
          <w:szCs w:val="24"/>
        </w:rPr>
      </w:pPr>
      <w:r w:rsidRPr="0007572B">
        <w:rPr>
          <w:rFonts w:ascii="Arial" w:eastAsia="Arial" w:hAnsi="Arial" w:cs="Arial"/>
          <w:sz w:val="24"/>
          <w:szCs w:val="24"/>
          <w:lang w:val="en-GB" w:eastAsia="en-GB"/>
        </w:rPr>
        <w:t>In preparing the annual A</w:t>
      </w:r>
      <w:r w:rsidR="009F03CF" w:rsidRPr="0007572B">
        <w:rPr>
          <w:rFonts w:ascii="Arial" w:eastAsia="Arial" w:hAnsi="Arial" w:cs="Arial"/>
          <w:sz w:val="24"/>
          <w:szCs w:val="24"/>
          <w:lang w:val="en-GB" w:eastAsia="en-GB"/>
        </w:rPr>
        <w:t>ccounts there are areas where estimates are made. These include:</w:t>
      </w:r>
    </w:p>
    <w:p w14:paraId="59D0003A" w14:textId="77777777" w:rsidR="009F03CF" w:rsidRPr="0007572B" w:rsidRDefault="009F03CF" w:rsidP="006F1659">
      <w:pPr>
        <w:pStyle w:val="ListParagraph"/>
        <w:spacing w:line="360" w:lineRule="auto"/>
        <w:ind w:left="709"/>
        <w:rPr>
          <w:rFonts w:ascii="Arial" w:eastAsia="Arial" w:hAnsi="Arial" w:cs="Arial"/>
          <w:sz w:val="24"/>
          <w:szCs w:val="24"/>
        </w:rPr>
      </w:pPr>
    </w:p>
    <w:p w14:paraId="56F837FC" w14:textId="212431F7" w:rsidR="004D1A81" w:rsidRPr="004D1A81" w:rsidRDefault="004D1A81" w:rsidP="006F1659">
      <w:pPr>
        <w:pStyle w:val="Heading4bold"/>
        <w:spacing w:line="360" w:lineRule="auto"/>
        <w:rPr>
          <w:rFonts w:eastAsia="Arial"/>
        </w:rPr>
      </w:pPr>
      <w:r>
        <w:rPr>
          <w:rFonts w:eastAsia="Arial"/>
        </w:rPr>
        <w:t>3.1</w:t>
      </w:r>
      <w:r>
        <w:rPr>
          <w:rFonts w:eastAsia="Arial"/>
        </w:rPr>
        <w:tab/>
      </w:r>
      <w:bookmarkStart w:id="93" w:name="_Hlk109141531"/>
      <w:r>
        <w:rPr>
          <w:rFonts w:eastAsia="Arial"/>
        </w:rPr>
        <w:t>V</w:t>
      </w:r>
      <w:r w:rsidR="009F03CF" w:rsidRPr="004D1A81">
        <w:rPr>
          <w:rFonts w:eastAsia="Arial"/>
        </w:rPr>
        <w:t xml:space="preserve">aluation of </w:t>
      </w:r>
      <w:r w:rsidR="00FE3696">
        <w:rPr>
          <w:rFonts w:eastAsia="Arial"/>
        </w:rPr>
        <w:t>PPE</w:t>
      </w:r>
    </w:p>
    <w:p w14:paraId="2A6B60A1" w14:textId="2CBE7CB1" w:rsidR="00FE3696" w:rsidRPr="00FE3696" w:rsidRDefault="00FE3696" w:rsidP="006F1659">
      <w:pPr>
        <w:spacing w:line="360" w:lineRule="auto"/>
        <w:ind w:left="720"/>
        <w:rPr>
          <w:rFonts w:ascii="Arial" w:eastAsia="Arial" w:hAnsi="Arial" w:cs="Arial"/>
        </w:rPr>
      </w:pPr>
      <w:r w:rsidRPr="00431F6F">
        <w:rPr>
          <w:rFonts w:ascii="Arial" w:eastAsia="Arial" w:hAnsi="Arial" w:cs="Arial"/>
          <w:lang w:eastAsia="en-GB"/>
        </w:rPr>
        <w:t xml:space="preserve">The valuation of GMCA’s Property, Plant and Equipment (PPE) is a significant area of estimation uncertainty. There is a risk of material adjustment to the carrying value of PPE within the next financial year, if the actual values differ from the assumptions used to value PPE. A reduction in estimated valuation would result in a reduction to the Revaluation Reserve and/or a loss in the Comprehensive Income and Expenditure Statement. An increase in estimation valuation would result in an increase in the Revaluation Reserve and/or gain in the </w:t>
      </w:r>
      <w:r w:rsidRPr="00044139">
        <w:rPr>
          <w:rFonts w:ascii="Arial" w:eastAsia="Arial" w:hAnsi="Arial" w:cs="Arial"/>
          <w:lang w:eastAsia="en-GB"/>
        </w:rPr>
        <w:t>Comprehensive Income and Expenditure Statement. For instance, the impact of a 10% change in the valuation of GMCA’s operational land and buildings would be £5</w:t>
      </w:r>
      <w:r w:rsidR="00044139" w:rsidRPr="00044139">
        <w:rPr>
          <w:rFonts w:ascii="Arial" w:eastAsia="Arial" w:hAnsi="Arial" w:cs="Arial"/>
          <w:lang w:eastAsia="en-GB"/>
        </w:rPr>
        <w:t>7</w:t>
      </w:r>
      <w:r w:rsidRPr="00044139">
        <w:rPr>
          <w:rFonts w:ascii="Arial" w:eastAsia="Arial" w:hAnsi="Arial" w:cs="Arial"/>
          <w:lang w:eastAsia="en-GB"/>
        </w:rPr>
        <w:t>m.</w:t>
      </w:r>
      <w:r w:rsidRPr="00431F6F">
        <w:rPr>
          <w:rFonts w:ascii="Arial" w:eastAsia="Arial" w:hAnsi="Arial" w:cs="Arial"/>
          <w:lang w:eastAsia="en-GB"/>
        </w:rPr>
        <w:t xml:space="preserve"> Note 20 to the accounts sets out the </w:t>
      </w:r>
      <w:r>
        <w:rPr>
          <w:rFonts w:ascii="Arial" w:eastAsia="Arial" w:hAnsi="Arial" w:cs="Arial"/>
          <w:lang w:eastAsia="en-GB"/>
        </w:rPr>
        <w:t>Authority’s</w:t>
      </w:r>
      <w:r w:rsidRPr="00431F6F">
        <w:rPr>
          <w:rFonts w:ascii="Arial" w:eastAsia="Arial" w:hAnsi="Arial" w:cs="Arial"/>
          <w:lang w:eastAsia="en-GB"/>
        </w:rPr>
        <w:t xml:space="preserve"> approach to the valuation of its PPE.</w:t>
      </w:r>
    </w:p>
    <w:bookmarkEnd w:id="93"/>
    <w:p w14:paraId="661790A9" w14:textId="00B62CFA" w:rsidR="004D1A81" w:rsidRPr="00FE3696" w:rsidRDefault="004D1A81" w:rsidP="006F1659">
      <w:pPr>
        <w:spacing w:line="360" w:lineRule="auto"/>
        <w:ind w:left="720"/>
        <w:rPr>
          <w:rFonts w:ascii="Arial" w:eastAsia="Arial" w:hAnsi="Arial" w:cs="Arial"/>
        </w:rPr>
      </w:pPr>
    </w:p>
    <w:p w14:paraId="3AE61833" w14:textId="396E4B6B" w:rsidR="000767F9" w:rsidRPr="00093337" w:rsidRDefault="004D1A81" w:rsidP="006F1659">
      <w:pPr>
        <w:pStyle w:val="Heading4bold"/>
        <w:spacing w:line="360" w:lineRule="auto"/>
        <w:ind w:left="709" w:hanging="709"/>
        <w:rPr>
          <w:rFonts w:eastAsia="Arial"/>
        </w:rPr>
      </w:pPr>
      <w:r>
        <w:rPr>
          <w:rFonts w:eastAsia="Arial"/>
        </w:rPr>
        <w:t>3.2</w:t>
      </w:r>
      <w:bookmarkStart w:id="94" w:name="_Hlk109141825"/>
      <w:r>
        <w:rPr>
          <w:rFonts w:eastAsia="Arial"/>
        </w:rPr>
        <w:tab/>
      </w:r>
      <w:bookmarkEnd w:id="94"/>
      <w:r w:rsidR="00093337">
        <w:rPr>
          <w:rFonts w:eastAsia="Arial"/>
        </w:rPr>
        <w:t>T</w:t>
      </w:r>
      <w:r w:rsidR="009F03CF" w:rsidRPr="00093337">
        <w:rPr>
          <w:rFonts w:eastAsia="Arial"/>
        </w:rPr>
        <w:t>he liability for future pension payments which is estimated by qualified actuaries</w:t>
      </w:r>
    </w:p>
    <w:p w14:paraId="0D723558" w14:textId="66E98892" w:rsidR="006418CF" w:rsidRDefault="00555E68" w:rsidP="006F1659">
      <w:pPr>
        <w:pStyle w:val="ListParagraph"/>
        <w:autoSpaceDE w:val="0"/>
        <w:autoSpaceDN w:val="0"/>
        <w:adjustRightInd w:val="0"/>
        <w:spacing w:line="360" w:lineRule="auto"/>
        <w:rPr>
          <w:rFonts w:ascii="Arial" w:hAnsi="Arial" w:cs="Arial"/>
          <w:color w:val="000000"/>
          <w:sz w:val="24"/>
          <w:szCs w:val="24"/>
          <w:lang w:val="en-US"/>
        </w:rPr>
      </w:pPr>
      <w:r>
        <w:rPr>
          <w:rFonts w:ascii="Arial" w:hAnsi="Arial" w:cs="Arial"/>
          <w:color w:val="000000"/>
          <w:sz w:val="24"/>
          <w:szCs w:val="24"/>
          <w:lang w:val="en-US"/>
        </w:rPr>
        <w:t>This is estimated by the actuary and a sensitivity analysis undertaken by them for the firefighters</w:t>
      </w:r>
      <w:r w:rsidR="00FE3696">
        <w:rPr>
          <w:rFonts w:ascii="Arial" w:hAnsi="Arial" w:cs="Arial"/>
          <w:color w:val="000000"/>
          <w:sz w:val="24"/>
          <w:szCs w:val="24"/>
          <w:lang w:val="en-US"/>
        </w:rPr>
        <w:t>’</w:t>
      </w:r>
      <w:r>
        <w:rPr>
          <w:rFonts w:ascii="Arial" w:hAnsi="Arial" w:cs="Arial"/>
          <w:color w:val="000000"/>
          <w:sz w:val="24"/>
          <w:szCs w:val="24"/>
          <w:lang w:val="en-US"/>
        </w:rPr>
        <w:t xml:space="preserve"> pension scheme and local government pension scheme</w:t>
      </w:r>
      <w:r w:rsidR="00FE3696">
        <w:rPr>
          <w:rFonts w:ascii="Arial" w:hAnsi="Arial" w:cs="Arial"/>
          <w:color w:val="000000"/>
          <w:sz w:val="24"/>
          <w:szCs w:val="24"/>
          <w:lang w:val="en-US"/>
        </w:rPr>
        <w:t>. Details can be</w:t>
      </w:r>
      <w:r>
        <w:rPr>
          <w:rFonts w:ascii="Arial" w:hAnsi="Arial" w:cs="Arial"/>
          <w:color w:val="000000"/>
          <w:sz w:val="24"/>
          <w:szCs w:val="24"/>
          <w:lang w:val="en-US"/>
        </w:rPr>
        <w:t xml:space="preserve"> found in</w:t>
      </w:r>
      <w:r w:rsidR="00616CD8" w:rsidRPr="00616CD8">
        <w:rPr>
          <w:rFonts w:ascii="Arial" w:hAnsi="Arial" w:cs="Arial"/>
          <w:color w:val="000000"/>
          <w:sz w:val="24"/>
          <w:szCs w:val="24"/>
          <w:lang w:val="en-US"/>
        </w:rPr>
        <w:t xml:space="preserve"> </w:t>
      </w:r>
      <w:r w:rsidR="00616CD8">
        <w:rPr>
          <w:rFonts w:ascii="Arial" w:hAnsi="Arial" w:cs="Arial"/>
          <w:color w:val="000000"/>
          <w:sz w:val="24"/>
          <w:szCs w:val="24"/>
          <w:lang w:val="en-US"/>
        </w:rPr>
        <w:t>Note 33 – Defined Benefit Pension Schemes.</w:t>
      </w:r>
    </w:p>
    <w:p w14:paraId="2660735D" w14:textId="77777777" w:rsidR="006E7062" w:rsidRDefault="006E7062" w:rsidP="006F1659">
      <w:pPr>
        <w:pStyle w:val="ListParagraph"/>
        <w:autoSpaceDE w:val="0"/>
        <w:autoSpaceDN w:val="0"/>
        <w:adjustRightInd w:val="0"/>
        <w:spacing w:line="360" w:lineRule="auto"/>
        <w:rPr>
          <w:rFonts w:ascii="Arial" w:hAnsi="Arial" w:cs="Arial"/>
          <w:color w:val="000000"/>
          <w:sz w:val="24"/>
          <w:szCs w:val="24"/>
          <w:lang w:val="en-US"/>
        </w:rPr>
      </w:pPr>
    </w:p>
    <w:p w14:paraId="46F310AF" w14:textId="0D659B13" w:rsidR="00AF0D29" w:rsidRDefault="00AF0D29" w:rsidP="006F1659">
      <w:pPr>
        <w:spacing w:line="360" w:lineRule="auto"/>
        <w:rPr>
          <w:rFonts w:ascii="Arial" w:eastAsia="Palatino Linotype" w:hAnsi="Arial" w:cs="Arial"/>
          <w:b/>
          <w:bCs/>
          <w:szCs w:val="28"/>
          <w:lang w:val="en-US"/>
        </w:rPr>
      </w:pPr>
      <w:bookmarkStart w:id="95" w:name="_Toc92894875"/>
      <w:bookmarkStart w:id="96" w:name="_Toc92895179"/>
    </w:p>
    <w:p w14:paraId="00799EA8" w14:textId="2EF5790E" w:rsidR="00317E52" w:rsidRPr="0007572B" w:rsidRDefault="00317E52" w:rsidP="006F1659">
      <w:pPr>
        <w:pStyle w:val="Heading3greennumbered"/>
        <w:spacing w:line="360" w:lineRule="auto"/>
      </w:pPr>
      <w:bookmarkStart w:id="97" w:name="_Toc109922613"/>
      <w:r w:rsidRPr="0007572B">
        <w:t>4 Impact of Accounting Standards issued b</w:t>
      </w:r>
      <w:r w:rsidRPr="0007572B">
        <w:rPr>
          <w:spacing w:val="-2"/>
        </w:rPr>
        <w:t>ut not y</w:t>
      </w:r>
      <w:r w:rsidRPr="0007572B">
        <w:t>et</w:t>
      </w:r>
      <w:r w:rsidRPr="0007572B">
        <w:rPr>
          <w:spacing w:val="5"/>
        </w:rPr>
        <w:t xml:space="preserve"> </w:t>
      </w:r>
      <w:r w:rsidRPr="0007572B">
        <w:t>Adopted</w:t>
      </w:r>
      <w:bookmarkEnd w:id="95"/>
      <w:bookmarkEnd w:id="96"/>
      <w:bookmarkEnd w:id="97"/>
    </w:p>
    <w:p w14:paraId="16CB025F" w14:textId="77777777" w:rsidR="005403AF" w:rsidRDefault="005403AF" w:rsidP="006F1659">
      <w:pPr>
        <w:autoSpaceDE w:val="0"/>
        <w:autoSpaceDN w:val="0"/>
        <w:adjustRightInd w:val="0"/>
        <w:spacing w:line="360" w:lineRule="auto"/>
        <w:rPr>
          <w:rFonts w:ascii="Arial" w:eastAsia="Arial" w:hAnsi="Arial" w:cs="Arial"/>
          <w:lang w:eastAsia="en-GB"/>
        </w:rPr>
      </w:pPr>
    </w:p>
    <w:p w14:paraId="4788A5A6" w14:textId="29752622" w:rsidR="00B0753F" w:rsidRDefault="00A106AE" w:rsidP="00B0753F">
      <w:pPr>
        <w:autoSpaceDE w:val="0"/>
        <w:autoSpaceDN w:val="0"/>
        <w:adjustRightInd w:val="0"/>
        <w:spacing w:line="360" w:lineRule="auto"/>
        <w:rPr>
          <w:rFonts w:ascii="Arial" w:eastAsia="Arial" w:hAnsi="Arial" w:cs="Arial"/>
          <w:lang w:eastAsia="en-GB"/>
        </w:rPr>
      </w:pPr>
      <w:bookmarkStart w:id="98" w:name="_Hlk63924033"/>
      <w:r w:rsidRPr="00A856B7">
        <w:rPr>
          <w:rFonts w:ascii="Arial" w:eastAsia="Arial" w:hAnsi="Arial" w:cs="Arial"/>
          <w:lang w:eastAsia="en-GB"/>
        </w:rPr>
        <w:t xml:space="preserve">The Code of Practice on Local Authority Accounting in the United Kingdom (the Code) requires the </w:t>
      </w:r>
      <w:r w:rsidR="001D5484">
        <w:rPr>
          <w:rFonts w:ascii="Arial" w:eastAsia="Arial" w:hAnsi="Arial" w:cs="Arial"/>
          <w:lang w:eastAsia="en-GB"/>
        </w:rPr>
        <w:t>Authority</w:t>
      </w:r>
      <w:r w:rsidRPr="00A856B7">
        <w:rPr>
          <w:rFonts w:ascii="Arial" w:eastAsia="Arial" w:hAnsi="Arial" w:cs="Arial"/>
          <w:lang w:eastAsia="en-GB"/>
        </w:rPr>
        <w:t xml:space="preserve"> to disclose information relating to the expected impact of an accounting change that will be required by a new standard which has been issued but is yet to be adopted by the Code. </w:t>
      </w:r>
    </w:p>
    <w:p w14:paraId="36753386" w14:textId="77777777" w:rsidR="00B0753F" w:rsidRDefault="00B0753F" w:rsidP="00B0753F">
      <w:pPr>
        <w:autoSpaceDE w:val="0"/>
        <w:autoSpaceDN w:val="0"/>
        <w:adjustRightInd w:val="0"/>
        <w:spacing w:line="360" w:lineRule="auto"/>
        <w:rPr>
          <w:rFonts w:ascii="Arial" w:eastAsia="Arial" w:hAnsi="Arial" w:cs="Arial"/>
          <w:lang w:eastAsia="en-GB"/>
        </w:rPr>
      </w:pPr>
    </w:p>
    <w:p w14:paraId="5C381AF7" w14:textId="501AA51E" w:rsidR="00B0753F" w:rsidRPr="00B0753F" w:rsidRDefault="00B0753F" w:rsidP="00B0753F">
      <w:pPr>
        <w:autoSpaceDE w:val="0"/>
        <w:autoSpaceDN w:val="0"/>
        <w:adjustRightInd w:val="0"/>
        <w:spacing w:line="360" w:lineRule="auto"/>
        <w:rPr>
          <w:rFonts w:ascii="Arial" w:eastAsia="Arial" w:hAnsi="Arial" w:cs="Arial"/>
          <w:lang w:eastAsia="en-GB"/>
        </w:rPr>
      </w:pPr>
      <w:r w:rsidRPr="00B0753F">
        <w:rPr>
          <w:rFonts w:ascii="Arial" w:eastAsia="Arial" w:hAnsi="Arial" w:cs="Arial"/>
          <w:lang w:eastAsia="en-GB"/>
        </w:rPr>
        <w:t>The standards introduced by the 2024/25 Code where disclosures are required in the</w:t>
      </w:r>
      <w:r>
        <w:rPr>
          <w:rFonts w:ascii="Arial" w:eastAsia="Arial" w:hAnsi="Arial" w:cs="Arial"/>
          <w:lang w:eastAsia="en-GB"/>
        </w:rPr>
        <w:t xml:space="preserve"> </w:t>
      </w:r>
      <w:r w:rsidRPr="00B0753F">
        <w:rPr>
          <w:rFonts w:ascii="Arial" w:eastAsia="Arial" w:hAnsi="Arial" w:cs="Arial"/>
          <w:lang w:eastAsia="en-GB"/>
        </w:rPr>
        <w:t xml:space="preserve">2023/24 financial statements, in accordance with the requirements of paragraph 3.3.4.3 </w:t>
      </w:r>
    </w:p>
    <w:p w14:paraId="6F6F6ED0" w14:textId="77777777" w:rsidR="00B0753F" w:rsidRDefault="00B0753F" w:rsidP="00B0753F">
      <w:pPr>
        <w:autoSpaceDE w:val="0"/>
        <w:autoSpaceDN w:val="0"/>
        <w:adjustRightInd w:val="0"/>
        <w:spacing w:line="360" w:lineRule="auto"/>
        <w:rPr>
          <w:rFonts w:ascii="Arial" w:eastAsia="Arial" w:hAnsi="Arial" w:cs="Arial"/>
          <w:lang w:eastAsia="en-GB"/>
        </w:rPr>
      </w:pPr>
      <w:r w:rsidRPr="00B0753F">
        <w:rPr>
          <w:rFonts w:ascii="Arial" w:eastAsia="Arial" w:hAnsi="Arial" w:cs="Arial"/>
          <w:lang w:eastAsia="en-GB"/>
        </w:rPr>
        <w:t>of the Code, are:</w:t>
      </w:r>
    </w:p>
    <w:p w14:paraId="17B333BD" w14:textId="77777777" w:rsidR="00B0753F" w:rsidRPr="00B0753F" w:rsidRDefault="00B0753F" w:rsidP="00B0753F">
      <w:pPr>
        <w:autoSpaceDE w:val="0"/>
        <w:autoSpaceDN w:val="0"/>
        <w:adjustRightInd w:val="0"/>
        <w:spacing w:line="360" w:lineRule="auto"/>
        <w:rPr>
          <w:rFonts w:ascii="Arial" w:eastAsia="Arial" w:hAnsi="Arial" w:cs="Arial"/>
          <w:lang w:eastAsia="en-GB"/>
        </w:rPr>
      </w:pPr>
    </w:p>
    <w:p w14:paraId="5A994CFD" w14:textId="4E478220" w:rsidR="00B0753F" w:rsidRPr="00B0753F" w:rsidRDefault="00B0753F" w:rsidP="00D15D90">
      <w:pPr>
        <w:pStyle w:val="ListParagraph"/>
        <w:numPr>
          <w:ilvl w:val="0"/>
          <w:numId w:val="81"/>
        </w:numPr>
        <w:autoSpaceDE w:val="0"/>
        <w:autoSpaceDN w:val="0"/>
        <w:adjustRightInd w:val="0"/>
        <w:spacing w:line="360" w:lineRule="auto"/>
        <w:rPr>
          <w:rFonts w:ascii="Arial" w:hAnsi="Arial" w:cs="Arial"/>
          <w:sz w:val="24"/>
          <w:szCs w:val="24"/>
        </w:rPr>
      </w:pPr>
      <w:r w:rsidRPr="00B0753F">
        <w:rPr>
          <w:rFonts w:ascii="Arial" w:hAnsi="Arial" w:cs="Arial"/>
          <w:sz w:val="24"/>
          <w:szCs w:val="24"/>
        </w:rPr>
        <w:t>IFRS 16 Leases issued in January 2016</w:t>
      </w:r>
      <w:r w:rsidR="001D5484">
        <w:rPr>
          <w:rFonts w:ascii="Arial" w:hAnsi="Arial" w:cs="Arial"/>
          <w:sz w:val="24"/>
          <w:szCs w:val="24"/>
        </w:rPr>
        <w:t>.</w:t>
      </w:r>
    </w:p>
    <w:p w14:paraId="36638F4F" w14:textId="77777777" w:rsidR="00B0753F" w:rsidRPr="00B0753F" w:rsidRDefault="00B0753F" w:rsidP="00D15D90">
      <w:pPr>
        <w:pStyle w:val="ListParagraph"/>
        <w:numPr>
          <w:ilvl w:val="0"/>
          <w:numId w:val="81"/>
        </w:numPr>
        <w:autoSpaceDE w:val="0"/>
        <w:autoSpaceDN w:val="0"/>
        <w:adjustRightInd w:val="0"/>
        <w:spacing w:line="360" w:lineRule="auto"/>
        <w:rPr>
          <w:rFonts w:ascii="Arial" w:hAnsi="Arial" w:cs="Arial"/>
          <w:sz w:val="24"/>
          <w:szCs w:val="24"/>
        </w:rPr>
      </w:pPr>
      <w:r w:rsidRPr="00B0753F">
        <w:rPr>
          <w:rFonts w:ascii="Arial" w:hAnsi="Arial" w:cs="Arial"/>
          <w:sz w:val="24"/>
          <w:szCs w:val="24"/>
        </w:rPr>
        <w:t>Classification of Liabilities as Current or Non-current (Amendments to IAS 1) issued in January 2020. The amendments:</w:t>
      </w:r>
    </w:p>
    <w:p w14:paraId="30A04548" w14:textId="72641857" w:rsidR="00B0753F" w:rsidRPr="00B0753F" w:rsidRDefault="00B0753F" w:rsidP="00D15D90">
      <w:pPr>
        <w:pStyle w:val="ListParagraph"/>
        <w:numPr>
          <w:ilvl w:val="1"/>
          <w:numId w:val="81"/>
        </w:numPr>
        <w:autoSpaceDE w:val="0"/>
        <w:autoSpaceDN w:val="0"/>
        <w:adjustRightInd w:val="0"/>
        <w:spacing w:line="360" w:lineRule="auto"/>
        <w:rPr>
          <w:rFonts w:ascii="Arial" w:hAnsi="Arial" w:cs="Arial"/>
          <w:sz w:val="24"/>
          <w:szCs w:val="24"/>
        </w:rPr>
      </w:pPr>
      <w:r w:rsidRPr="00B0753F">
        <w:rPr>
          <w:rFonts w:ascii="Arial" w:hAnsi="Arial" w:cs="Arial"/>
          <w:sz w:val="24"/>
          <w:szCs w:val="24"/>
        </w:rPr>
        <w:t>specify that an entity’s right to defer settlement must exist at the end of the reporting period</w:t>
      </w:r>
    </w:p>
    <w:p w14:paraId="70581117" w14:textId="2D428B4D" w:rsidR="00B0753F" w:rsidRPr="00B0753F" w:rsidRDefault="00B0753F" w:rsidP="00D15D90">
      <w:pPr>
        <w:pStyle w:val="ListParagraph"/>
        <w:numPr>
          <w:ilvl w:val="1"/>
          <w:numId w:val="81"/>
        </w:numPr>
        <w:autoSpaceDE w:val="0"/>
        <w:autoSpaceDN w:val="0"/>
        <w:adjustRightInd w:val="0"/>
        <w:spacing w:line="360" w:lineRule="auto"/>
        <w:rPr>
          <w:rFonts w:ascii="Arial" w:hAnsi="Arial" w:cs="Arial"/>
          <w:sz w:val="24"/>
          <w:szCs w:val="24"/>
        </w:rPr>
      </w:pPr>
      <w:r w:rsidRPr="00B0753F">
        <w:rPr>
          <w:rFonts w:ascii="Arial" w:hAnsi="Arial" w:cs="Arial"/>
          <w:sz w:val="24"/>
          <w:szCs w:val="24"/>
        </w:rPr>
        <w:t>clarify that classification is unaffected by management’s intentions or expectations about whether the entity will exercise its right to defer settlement</w:t>
      </w:r>
    </w:p>
    <w:p w14:paraId="7D949E21" w14:textId="1D7F14CC" w:rsidR="00B0753F" w:rsidRPr="00B0753F" w:rsidRDefault="00B0753F" w:rsidP="00D15D90">
      <w:pPr>
        <w:pStyle w:val="ListParagraph"/>
        <w:numPr>
          <w:ilvl w:val="1"/>
          <w:numId w:val="81"/>
        </w:numPr>
        <w:autoSpaceDE w:val="0"/>
        <w:autoSpaceDN w:val="0"/>
        <w:adjustRightInd w:val="0"/>
        <w:spacing w:line="360" w:lineRule="auto"/>
        <w:rPr>
          <w:rFonts w:ascii="Arial" w:hAnsi="Arial" w:cs="Arial"/>
          <w:sz w:val="24"/>
          <w:szCs w:val="24"/>
        </w:rPr>
      </w:pPr>
      <w:r w:rsidRPr="00B0753F">
        <w:rPr>
          <w:rFonts w:ascii="Arial" w:hAnsi="Arial" w:cs="Arial"/>
          <w:sz w:val="24"/>
          <w:szCs w:val="24"/>
        </w:rPr>
        <w:t>clarify how lending conditions affect classification, and</w:t>
      </w:r>
    </w:p>
    <w:p w14:paraId="50C98B4E" w14:textId="200E96E9" w:rsidR="00B0753F" w:rsidRPr="00B0753F" w:rsidRDefault="00B0753F" w:rsidP="00D15D90">
      <w:pPr>
        <w:pStyle w:val="ListParagraph"/>
        <w:numPr>
          <w:ilvl w:val="1"/>
          <w:numId w:val="81"/>
        </w:numPr>
        <w:autoSpaceDE w:val="0"/>
        <w:autoSpaceDN w:val="0"/>
        <w:adjustRightInd w:val="0"/>
        <w:spacing w:line="360" w:lineRule="auto"/>
        <w:rPr>
          <w:rFonts w:ascii="Arial" w:hAnsi="Arial" w:cs="Arial"/>
          <w:sz w:val="24"/>
          <w:szCs w:val="24"/>
        </w:rPr>
      </w:pPr>
      <w:r w:rsidRPr="00B0753F">
        <w:rPr>
          <w:rFonts w:ascii="Arial" w:hAnsi="Arial" w:cs="Arial"/>
          <w:sz w:val="24"/>
          <w:szCs w:val="24"/>
        </w:rPr>
        <w:t>clarify requirements for classifying liabilities an entity will or may settle by issuing its own equity instruments.</w:t>
      </w:r>
    </w:p>
    <w:p w14:paraId="2B080960" w14:textId="5DC26249" w:rsidR="00B0753F" w:rsidRPr="00B0753F" w:rsidRDefault="00B0753F" w:rsidP="00D15D90">
      <w:pPr>
        <w:pStyle w:val="ListParagraph"/>
        <w:numPr>
          <w:ilvl w:val="0"/>
          <w:numId w:val="81"/>
        </w:numPr>
        <w:autoSpaceDE w:val="0"/>
        <w:autoSpaceDN w:val="0"/>
        <w:adjustRightInd w:val="0"/>
        <w:spacing w:line="360" w:lineRule="auto"/>
        <w:rPr>
          <w:rFonts w:ascii="Arial" w:hAnsi="Arial" w:cs="Arial"/>
          <w:sz w:val="24"/>
          <w:szCs w:val="24"/>
        </w:rPr>
      </w:pPr>
      <w:r w:rsidRPr="00B0753F">
        <w:rPr>
          <w:rFonts w:ascii="Arial" w:hAnsi="Arial" w:cs="Arial"/>
          <w:sz w:val="24"/>
          <w:szCs w:val="24"/>
        </w:rPr>
        <w:t>Lease Liability in a Sale and Leaseback (Amendments to IFRS 16) issued in September 2022. The amendments to IFRS 16 add subsequent measurement requirements for sale and leaseback transactions.</w:t>
      </w:r>
    </w:p>
    <w:p w14:paraId="3D976522" w14:textId="33969AF0" w:rsidR="00B0753F" w:rsidRPr="00B0753F" w:rsidRDefault="00B0753F" w:rsidP="00D15D90">
      <w:pPr>
        <w:pStyle w:val="ListParagraph"/>
        <w:numPr>
          <w:ilvl w:val="0"/>
          <w:numId w:val="81"/>
        </w:numPr>
        <w:autoSpaceDE w:val="0"/>
        <w:autoSpaceDN w:val="0"/>
        <w:adjustRightInd w:val="0"/>
        <w:spacing w:line="360" w:lineRule="auto"/>
        <w:rPr>
          <w:rFonts w:ascii="Arial" w:hAnsi="Arial" w:cs="Arial"/>
          <w:sz w:val="24"/>
          <w:szCs w:val="24"/>
        </w:rPr>
      </w:pPr>
      <w:r w:rsidRPr="00B0753F">
        <w:rPr>
          <w:rFonts w:ascii="Arial" w:hAnsi="Arial" w:cs="Arial"/>
          <w:sz w:val="24"/>
          <w:szCs w:val="24"/>
        </w:rPr>
        <w:t>Non-current Liabilities with Covenants (Amendments to IAS 1) issued in October 2022. The amendments improved the information an entity provides when its right to defer settlement of a liability for at least 12 months is subject to compliance with covenants.</w:t>
      </w:r>
    </w:p>
    <w:p w14:paraId="01BD4089" w14:textId="293D4432" w:rsidR="00B0753F" w:rsidRPr="00B0753F" w:rsidRDefault="00B0753F" w:rsidP="00D15D90">
      <w:pPr>
        <w:pStyle w:val="ListParagraph"/>
        <w:numPr>
          <w:ilvl w:val="0"/>
          <w:numId w:val="81"/>
        </w:numPr>
        <w:autoSpaceDE w:val="0"/>
        <w:autoSpaceDN w:val="0"/>
        <w:adjustRightInd w:val="0"/>
        <w:spacing w:line="360" w:lineRule="auto"/>
        <w:rPr>
          <w:rFonts w:ascii="Arial" w:hAnsi="Arial" w:cs="Arial"/>
          <w:sz w:val="24"/>
          <w:szCs w:val="24"/>
        </w:rPr>
      </w:pPr>
      <w:r w:rsidRPr="00B0753F">
        <w:rPr>
          <w:rFonts w:ascii="Arial" w:hAnsi="Arial" w:cs="Arial"/>
          <w:sz w:val="24"/>
          <w:szCs w:val="24"/>
        </w:rPr>
        <w:t>International Tax Reform: Pillar Two Model Rules (Amendments to IAS 12) issued in May 2023. Pillar Two applies to multinational groups with a minimum level of turnover. The amendments introduced</w:t>
      </w:r>
      <w:r>
        <w:rPr>
          <w:rFonts w:ascii="Arial" w:hAnsi="Arial" w:cs="Arial"/>
          <w:sz w:val="24"/>
          <w:szCs w:val="24"/>
        </w:rPr>
        <w:t>:</w:t>
      </w:r>
    </w:p>
    <w:p w14:paraId="20908915" w14:textId="40DB36DB" w:rsidR="00B0753F" w:rsidRPr="00B0753F" w:rsidRDefault="00B0753F" w:rsidP="00D15D90">
      <w:pPr>
        <w:pStyle w:val="ListParagraph"/>
        <w:numPr>
          <w:ilvl w:val="1"/>
          <w:numId w:val="81"/>
        </w:numPr>
        <w:autoSpaceDE w:val="0"/>
        <w:autoSpaceDN w:val="0"/>
        <w:adjustRightInd w:val="0"/>
        <w:spacing w:line="360" w:lineRule="auto"/>
        <w:rPr>
          <w:rFonts w:ascii="Arial" w:hAnsi="Arial" w:cs="Arial"/>
          <w:sz w:val="24"/>
          <w:szCs w:val="24"/>
        </w:rPr>
      </w:pPr>
      <w:r w:rsidRPr="00B0753F">
        <w:rPr>
          <w:rFonts w:ascii="Arial" w:hAnsi="Arial" w:cs="Arial"/>
          <w:sz w:val="24"/>
          <w:szCs w:val="24"/>
        </w:rPr>
        <w:t>a temporary exception to the requirements to recognise and disclose information about deferred tax assets and liabilities related to Pillar Two income taxes, and </w:t>
      </w:r>
    </w:p>
    <w:p w14:paraId="153715C1" w14:textId="1E024DD5" w:rsidR="00A106AE" w:rsidRDefault="00B0753F" w:rsidP="00D15D90">
      <w:pPr>
        <w:pStyle w:val="ListParagraph"/>
        <w:numPr>
          <w:ilvl w:val="1"/>
          <w:numId w:val="81"/>
        </w:numPr>
        <w:autoSpaceDE w:val="0"/>
        <w:autoSpaceDN w:val="0"/>
        <w:adjustRightInd w:val="0"/>
        <w:spacing w:line="360" w:lineRule="auto"/>
        <w:rPr>
          <w:rFonts w:ascii="Arial" w:hAnsi="Arial" w:cs="Arial"/>
          <w:sz w:val="24"/>
          <w:szCs w:val="24"/>
        </w:rPr>
      </w:pPr>
      <w:r w:rsidRPr="00B0753F">
        <w:rPr>
          <w:rFonts w:ascii="Arial" w:hAnsi="Arial" w:cs="Arial"/>
          <w:sz w:val="24"/>
          <w:szCs w:val="24"/>
        </w:rPr>
        <w:t>targeted disclosure requirements for affected entities.</w:t>
      </w:r>
    </w:p>
    <w:p w14:paraId="174BB56A" w14:textId="77777777" w:rsidR="00B0753F" w:rsidRPr="00B0753F" w:rsidRDefault="00B0753F" w:rsidP="00D15D90">
      <w:pPr>
        <w:pStyle w:val="ListParagraph"/>
        <w:numPr>
          <w:ilvl w:val="0"/>
          <w:numId w:val="81"/>
        </w:numPr>
        <w:autoSpaceDE w:val="0"/>
        <w:autoSpaceDN w:val="0"/>
        <w:adjustRightInd w:val="0"/>
        <w:spacing w:line="360" w:lineRule="auto"/>
        <w:rPr>
          <w:rFonts w:ascii="Arial" w:hAnsi="Arial" w:cs="Arial"/>
          <w:sz w:val="24"/>
          <w:szCs w:val="24"/>
        </w:rPr>
      </w:pPr>
      <w:r w:rsidRPr="00B0753F">
        <w:rPr>
          <w:rFonts w:ascii="Arial" w:hAnsi="Arial" w:cs="Arial"/>
          <w:sz w:val="24"/>
          <w:szCs w:val="24"/>
        </w:rPr>
        <w:t>Supplier Finance Arrangements (Amendments to IAS 7 and IFRS 7) issued in</w:t>
      </w:r>
      <w:r>
        <w:rPr>
          <w:rFonts w:ascii="Arial" w:hAnsi="Arial" w:cs="Arial"/>
          <w:sz w:val="24"/>
          <w:szCs w:val="24"/>
        </w:rPr>
        <w:t xml:space="preserve"> </w:t>
      </w:r>
      <w:r w:rsidRPr="00B0753F">
        <w:rPr>
          <w:rFonts w:ascii="Arial" w:hAnsi="Arial" w:cs="Arial"/>
          <w:sz w:val="24"/>
          <w:szCs w:val="24"/>
        </w:rPr>
        <w:t>May 2023. The amendments require an entity to provide additional disclosures about its</w:t>
      </w:r>
      <w:r w:rsidRPr="00B0753F">
        <w:rPr>
          <w:rFonts w:ascii="Arial" w:hAnsi="Arial" w:cs="Arial"/>
        </w:rPr>
        <w:t xml:space="preserve"> </w:t>
      </w:r>
      <w:r w:rsidRPr="00B0753F">
        <w:rPr>
          <w:rFonts w:ascii="Arial" w:hAnsi="Arial" w:cs="Arial"/>
          <w:sz w:val="24"/>
          <w:szCs w:val="24"/>
        </w:rPr>
        <w:t xml:space="preserve">supplier finance arrangements. The IASB developed the new </w:t>
      </w:r>
      <w:r w:rsidRPr="00B0753F">
        <w:rPr>
          <w:rFonts w:ascii="Arial" w:hAnsi="Arial" w:cs="Arial"/>
          <w:sz w:val="24"/>
          <w:szCs w:val="24"/>
        </w:rPr>
        <w:lastRenderedPageBreak/>
        <w:t>requirements to provide users of financial statements with information to enable them to:</w:t>
      </w:r>
    </w:p>
    <w:p w14:paraId="53B9989A" w14:textId="77777777" w:rsidR="00B0753F" w:rsidRPr="00B0753F" w:rsidRDefault="00B0753F" w:rsidP="00D15D90">
      <w:pPr>
        <w:pStyle w:val="ListParagraph"/>
        <w:numPr>
          <w:ilvl w:val="1"/>
          <w:numId w:val="81"/>
        </w:numPr>
        <w:autoSpaceDE w:val="0"/>
        <w:autoSpaceDN w:val="0"/>
        <w:adjustRightInd w:val="0"/>
        <w:spacing w:line="360" w:lineRule="auto"/>
        <w:rPr>
          <w:rFonts w:ascii="Arial" w:hAnsi="Arial" w:cs="Arial"/>
          <w:sz w:val="24"/>
          <w:szCs w:val="24"/>
        </w:rPr>
      </w:pPr>
      <w:r w:rsidRPr="00B0753F">
        <w:rPr>
          <w:rFonts w:ascii="Arial" w:hAnsi="Arial" w:cs="Arial"/>
          <w:sz w:val="24"/>
          <w:szCs w:val="24"/>
        </w:rPr>
        <w:t>assess how supplier finance arrangements affect an entity’s liabilities and cash flows, and</w:t>
      </w:r>
    </w:p>
    <w:p w14:paraId="4B0C5F5C" w14:textId="1A09AC01" w:rsidR="00B0753F" w:rsidRPr="00B0753F" w:rsidRDefault="00B0753F" w:rsidP="00D15D90">
      <w:pPr>
        <w:pStyle w:val="ListParagraph"/>
        <w:numPr>
          <w:ilvl w:val="1"/>
          <w:numId w:val="81"/>
        </w:numPr>
        <w:autoSpaceDE w:val="0"/>
        <w:autoSpaceDN w:val="0"/>
        <w:adjustRightInd w:val="0"/>
        <w:spacing w:line="360" w:lineRule="auto"/>
        <w:rPr>
          <w:rFonts w:ascii="Arial" w:hAnsi="Arial" w:cs="Arial"/>
          <w:sz w:val="24"/>
          <w:szCs w:val="24"/>
        </w:rPr>
      </w:pPr>
      <w:r w:rsidRPr="00B0753F">
        <w:rPr>
          <w:rFonts w:ascii="Arial" w:hAnsi="Arial" w:cs="Arial"/>
          <w:sz w:val="24"/>
          <w:szCs w:val="24"/>
        </w:rPr>
        <w:t>understand the effect of supplier finance arrangements on an entity’s exposure to liquidity risk and how the entity might be affected if the arrangements were no longer available to it.</w:t>
      </w:r>
    </w:p>
    <w:p w14:paraId="7D4A484E" w14:textId="77777777" w:rsidR="00A106AE" w:rsidRPr="0007572B" w:rsidRDefault="00A106AE" w:rsidP="006F1659">
      <w:pPr>
        <w:autoSpaceDE w:val="0"/>
        <w:autoSpaceDN w:val="0"/>
        <w:adjustRightInd w:val="0"/>
        <w:spacing w:line="360" w:lineRule="auto"/>
        <w:rPr>
          <w:rFonts w:ascii="Arial" w:hAnsi="Arial" w:cs="Arial"/>
          <w:color w:val="000000"/>
          <w:lang w:val="en-US"/>
        </w:rPr>
      </w:pPr>
      <w:r w:rsidRPr="00B0753F">
        <w:rPr>
          <w:rFonts w:ascii="Arial" w:eastAsia="Arial" w:hAnsi="Arial" w:cs="Arial"/>
          <w:lang w:eastAsia="en-GB"/>
        </w:rPr>
        <w:t>These changes are not expected to have a material impact on the Authority’s single entity or group accounts.</w:t>
      </w:r>
    </w:p>
    <w:p w14:paraId="12782568" w14:textId="531DB341" w:rsidR="00A106AE" w:rsidRDefault="00A106AE" w:rsidP="006F1659">
      <w:pPr>
        <w:autoSpaceDE w:val="0"/>
        <w:autoSpaceDN w:val="0"/>
        <w:adjustRightInd w:val="0"/>
        <w:spacing w:line="360" w:lineRule="auto"/>
        <w:jc w:val="both"/>
        <w:rPr>
          <w:rFonts w:ascii="Arial" w:hAnsi="Arial" w:cs="Arial"/>
          <w:color w:val="000000"/>
          <w:sz w:val="22"/>
          <w:szCs w:val="22"/>
          <w:lang w:val="en-US"/>
        </w:rPr>
      </w:pPr>
    </w:p>
    <w:p w14:paraId="3572A2CD" w14:textId="77777777" w:rsidR="00A106AE" w:rsidRPr="0007572B" w:rsidRDefault="00A106AE" w:rsidP="006F1659">
      <w:pPr>
        <w:autoSpaceDE w:val="0"/>
        <w:autoSpaceDN w:val="0"/>
        <w:adjustRightInd w:val="0"/>
        <w:spacing w:line="360" w:lineRule="auto"/>
        <w:jc w:val="both"/>
        <w:rPr>
          <w:rFonts w:ascii="Arial" w:hAnsi="Arial" w:cs="Arial"/>
          <w:color w:val="000000"/>
          <w:sz w:val="22"/>
          <w:szCs w:val="22"/>
          <w:lang w:val="en-US"/>
        </w:rPr>
      </w:pPr>
    </w:p>
    <w:p w14:paraId="4F099D0A" w14:textId="3F099721" w:rsidR="00317E52" w:rsidRPr="0007572B" w:rsidRDefault="00B51D3A" w:rsidP="006F1659">
      <w:pPr>
        <w:pStyle w:val="Heading3greennumbered"/>
        <w:spacing w:line="360" w:lineRule="auto"/>
      </w:pPr>
      <w:bookmarkStart w:id="99" w:name="_Toc92894876"/>
      <w:bookmarkStart w:id="100" w:name="_Toc92895180"/>
      <w:bookmarkStart w:id="101" w:name="_Toc109922614"/>
      <w:r w:rsidRPr="0007572B">
        <w:t xml:space="preserve">5 Events After the </w:t>
      </w:r>
      <w:r w:rsidR="000008C1" w:rsidRPr="0007572B">
        <w:t>Reporting Period</w:t>
      </w:r>
      <w:bookmarkEnd w:id="99"/>
      <w:bookmarkEnd w:id="100"/>
      <w:bookmarkEnd w:id="101"/>
    </w:p>
    <w:p w14:paraId="554C04F1" w14:textId="77777777" w:rsidR="005403AF" w:rsidRDefault="005403AF" w:rsidP="006F1659">
      <w:pPr>
        <w:autoSpaceDE w:val="0"/>
        <w:autoSpaceDN w:val="0"/>
        <w:adjustRightInd w:val="0"/>
        <w:spacing w:line="360" w:lineRule="auto"/>
        <w:rPr>
          <w:rFonts w:ascii="Arial" w:hAnsi="Arial" w:cs="Arial"/>
          <w:lang w:eastAsia="en-GB"/>
        </w:rPr>
      </w:pPr>
    </w:p>
    <w:p w14:paraId="2698D59F" w14:textId="53FABDB1" w:rsidR="00C75439" w:rsidRPr="0007572B" w:rsidRDefault="00C75439" w:rsidP="006F1659">
      <w:pPr>
        <w:autoSpaceDE w:val="0"/>
        <w:autoSpaceDN w:val="0"/>
        <w:adjustRightInd w:val="0"/>
        <w:spacing w:line="360" w:lineRule="auto"/>
        <w:rPr>
          <w:rFonts w:ascii="Arial" w:hAnsi="Arial" w:cs="Arial"/>
          <w:lang w:eastAsia="en-GB"/>
        </w:rPr>
      </w:pPr>
      <w:r w:rsidRPr="0007572B">
        <w:rPr>
          <w:rFonts w:ascii="Arial" w:hAnsi="Arial" w:cs="Arial"/>
          <w:lang w:eastAsia="en-GB"/>
        </w:rPr>
        <w:t>Events after the Balance Sheet date are those events, both favourable and unfavourable, that occur between the end of the reporting period and the date when the Statement of Accounts is authorised for issue. Two types of events can be identified:</w:t>
      </w:r>
    </w:p>
    <w:p w14:paraId="270658E3" w14:textId="77777777" w:rsidR="00C75439" w:rsidRPr="0007572B" w:rsidRDefault="00C75439" w:rsidP="006F1659">
      <w:pPr>
        <w:autoSpaceDE w:val="0"/>
        <w:autoSpaceDN w:val="0"/>
        <w:adjustRightInd w:val="0"/>
        <w:spacing w:line="360" w:lineRule="auto"/>
        <w:rPr>
          <w:rFonts w:ascii="Arial" w:hAnsi="Arial" w:cs="Arial"/>
          <w:lang w:eastAsia="en-GB"/>
        </w:rPr>
      </w:pPr>
    </w:p>
    <w:p w14:paraId="78CBD0FE" w14:textId="0D44BD97" w:rsidR="00C75439" w:rsidRPr="0007572B" w:rsidRDefault="00C75439" w:rsidP="006F1659">
      <w:pPr>
        <w:pStyle w:val="ListParagraph"/>
        <w:widowControl w:val="0"/>
        <w:numPr>
          <w:ilvl w:val="0"/>
          <w:numId w:val="41"/>
        </w:numPr>
        <w:tabs>
          <w:tab w:val="left" w:pos="8789"/>
        </w:tabs>
        <w:autoSpaceDE w:val="0"/>
        <w:autoSpaceDN w:val="0"/>
        <w:adjustRightInd w:val="0"/>
        <w:spacing w:before="72" w:line="360" w:lineRule="auto"/>
        <w:ind w:right="226"/>
        <w:rPr>
          <w:rFonts w:ascii="Arial" w:eastAsia="Verdana" w:hAnsi="Arial" w:cs="Arial"/>
          <w:sz w:val="24"/>
          <w:szCs w:val="24"/>
        </w:rPr>
      </w:pPr>
      <w:r w:rsidRPr="0007572B">
        <w:rPr>
          <w:rFonts w:ascii="Arial" w:hAnsi="Arial" w:cs="Arial"/>
          <w:sz w:val="24"/>
          <w:szCs w:val="24"/>
        </w:rPr>
        <w:t>those that provide evidence of conditions that existed at the end of the reporting period – the Statement of Accounts is adjusted to reflect such events</w:t>
      </w:r>
      <w:r w:rsidR="00692F29">
        <w:rPr>
          <w:rFonts w:ascii="Arial" w:hAnsi="Arial" w:cs="Arial"/>
          <w:sz w:val="24"/>
          <w:szCs w:val="24"/>
        </w:rPr>
        <w:t>;</w:t>
      </w:r>
    </w:p>
    <w:p w14:paraId="5E09481F" w14:textId="5828F99F" w:rsidR="00C75439" w:rsidRPr="00C4332C" w:rsidRDefault="00C75439" w:rsidP="006F1659">
      <w:pPr>
        <w:pStyle w:val="ListParagraph"/>
        <w:numPr>
          <w:ilvl w:val="0"/>
          <w:numId w:val="41"/>
        </w:numPr>
        <w:autoSpaceDE w:val="0"/>
        <w:autoSpaceDN w:val="0"/>
        <w:adjustRightInd w:val="0"/>
        <w:spacing w:line="360" w:lineRule="auto"/>
        <w:rPr>
          <w:rFonts w:ascii="Arial" w:hAnsi="Arial" w:cs="Arial"/>
          <w:sz w:val="24"/>
          <w:szCs w:val="24"/>
        </w:rPr>
      </w:pPr>
      <w:r w:rsidRPr="0007572B">
        <w:rPr>
          <w:rFonts w:ascii="Arial" w:hAnsi="Arial" w:cs="Arial"/>
          <w:sz w:val="24"/>
          <w:szCs w:val="24"/>
        </w:rPr>
        <w:t xml:space="preserve">those that are indicative of conditions that arose after the reporting period – the Statement of Accounts is not adjusted to reflect such events, but where a category of events would have a material effect, disclosure is made in the notes </w:t>
      </w:r>
      <w:r w:rsidRPr="00C4332C">
        <w:rPr>
          <w:rFonts w:ascii="Arial" w:hAnsi="Arial" w:cs="Arial"/>
          <w:sz w:val="24"/>
          <w:szCs w:val="24"/>
        </w:rPr>
        <w:t>of the nature of the events and their estimated financial effect.</w:t>
      </w:r>
    </w:p>
    <w:p w14:paraId="15954298" w14:textId="2BAFC3BA" w:rsidR="00541790" w:rsidRDefault="00541790" w:rsidP="006F1659">
      <w:pPr>
        <w:widowControl w:val="0"/>
        <w:tabs>
          <w:tab w:val="left" w:pos="8789"/>
        </w:tabs>
        <w:spacing w:before="72" w:line="360" w:lineRule="auto"/>
        <w:ind w:right="226"/>
        <w:rPr>
          <w:rFonts w:ascii="Arial" w:hAnsi="Arial" w:cs="Arial"/>
          <w:lang w:eastAsia="en-GB"/>
        </w:rPr>
      </w:pPr>
      <w:r w:rsidRPr="00C4332C">
        <w:rPr>
          <w:rFonts w:ascii="Arial" w:hAnsi="Arial" w:cs="Arial"/>
          <w:lang w:eastAsia="en-GB"/>
        </w:rPr>
        <w:t xml:space="preserve">There are no events </w:t>
      </w:r>
      <w:r w:rsidR="00A26C10" w:rsidRPr="00C4332C">
        <w:rPr>
          <w:rFonts w:ascii="Arial" w:hAnsi="Arial" w:cs="Arial"/>
          <w:lang w:eastAsia="en-GB"/>
        </w:rPr>
        <w:t xml:space="preserve">after </w:t>
      </w:r>
      <w:r w:rsidRPr="00C4332C">
        <w:rPr>
          <w:rFonts w:ascii="Arial" w:hAnsi="Arial" w:cs="Arial"/>
          <w:lang w:eastAsia="en-GB"/>
        </w:rPr>
        <w:t xml:space="preserve">the end of </w:t>
      </w:r>
      <w:r w:rsidR="00A26C10" w:rsidRPr="00C4332C">
        <w:rPr>
          <w:rFonts w:ascii="Arial" w:hAnsi="Arial" w:cs="Arial"/>
          <w:lang w:eastAsia="en-GB"/>
        </w:rPr>
        <w:t xml:space="preserve">the </w:t>
      </w:r>
      <w:r w:rsidRPr="00C4332C">
        <w:rPr>
          <w:rFonts w:ascii="Arial" w:hAnsi="Arial" w:cs="Arial"/>
          <w:lang w:eastAsia="en-GB"/>
        </w:rPr>
        <w:t xml:space="preserve">reporting period and </w:t>
      </w:r>
      <w:r w:rsidR="00A26C10" w:rsidRPr="00C4332C">
        <w:rPr>
          <w:rFonts w:ascii="Arial" w:hAnsi="Arial" w:cs="Arial"/>
          <w:lang w:eastAsia="en-GB"/>
        </w:rPr>
        <w:t xml:space="preserve">up to the </w:t>
      </w:r>
      <w:r w:rsidRPr="00C4332C">
        <w:rPr>
          <w:rFonts w:ascii="Arial" w:hAnsi="Arial" w:cs="Arial"/>
          <w:lang w:eastAsia="en-GB"/>
        </w:rPr>
        <w:t xml:space="preserve">date of authorisation </w:t>
      </w:r>
      <w:r w:rsidR="00A26C10" w:rsidRPr="00C4332C">
        <w:rPr>
          <w:rFonts w:ascii="Arial" w:hAnsi="Arial" w:cs="Arial"/>
          <w:lang w:eastAsia="en-GB"/>
        </w:rPr>
        <w:t xml:space="preserve">for issue of the </w:t>
      </w:r>
      <w:r w:rsidR="000C0ECB" w:rsidRPr="00C4332C">
        <w:rPr>
          <w:rFonts w:ascii="Arial" w:hAnsi="Arial" w:cs="Arial"/>
          <w:lang w:eastAsia="en-GB"/>
        </w:rPr>
        <w:t xml:space="preserve">draft </w:t>
      </w:r>
      <w:r w:rsidR="00A26C10" w:rsidRPr="00C4332C">
        <w:rPr>
          <w:rFonts w:ascii="Arial" w:hAnsi="Arial" w:cs="Arial"/>
          <w:lang w:eastAsia="en-GB"/>
        </w:rPr>
        <w:t>Statement of Accounts.</w:t>
      </w:r>
      <w:r w:rsidR="00A26C10" w:rsidRPr="0007572B">
        <w:rPr>
          <w:rFonts w:ascii="Arial" w:hAnsi="Arial" w:cs="Arial"/>
          <w:lang w:eastAsia="en-GB"/>
        </w:rPr>
        <w:t xml:space="preserve"> </w:t>
      </w:r>
    </w:p>
    <w:p w14:paraId="10F46EC5" w14:textId="77777777" w:rsidR="00FD05A1" w:rsidRPr="0007572B" w:rsidRDefault="00FD05A1" w:rsidP="006F1659">
      <w:pPr>
        <w:widowControl w:val="0"/>
        <w:tabs>
          <w:tab w:val="left" w:pos="8789"/>
        </w:tabs>
        <w:spacing w:before="72" w:line="360" w:lineRule="auto"/>
        <w:ind w:right="226"/>
        <w:rPr>
          <w:rFonts w:ascii="Arial" w:hAnsi="Arial" w:cs="Arial"/>
          <w:lang w:eastAsia="en-GB"/>
        </w:rPr>
      </w:pPr>
    </w:p>
    <w:p w14:paraId="7C6BCAAB" w14:textId="2799E15E" w:rsidR="00AC4453" w:rsidRDefault="00AC4453" w:rsidP="006F1659">
      <w:pPr>
        <w:spacing w:line="360" w:lineRule="auto"/>
        <w:rPr>
          <w:rFonts w:ascii="Arial" w:eastAsia="Palatino Linotype" w:hAnsi="Arial" w:cs="Arial"/>
          <w:b/>
          <w:bCs/>
          <w:szCs w:val="28"/>
          <w:lang w:val="en-US"/>
        </w:rPr>
      </w:pPr>
      <w:bookmarkStart w:id="102" w:name="_Toc92894877"/>
      <w:bookmarkStart w:id="103" w:name="_Toc92895181"/>
      <w:bookmarkEnd w:id="98"/>
    </w:p>
    <w:p w14:paraId="3CE6880B" w14:textId="6C25D16A" w:rsidR="00B266FC" w:rsidRPr="0007572B" w:rsidRDefault="00B266FC" w:rsidP="006F1659">
      <w:pPr>
        <w:pStyle w:val="Heading3greennumbered"/>
        <w:spacing w:line="360" w:lineRule="auto"/>
      </w:pPr>
      <w:bookmarkStart w:id="104" w:name="_Toc109922615"/>
      <w:r w:rsidRPr="0007572B">
        <w:t xml:space="preserve">6 Authorisation for </w:t>
      </w:r>
      <w:r w:rsidR="00475816" w:rsidRPr="0007572B">
        <w:t xml:space="preserve">the </w:t>
      </w:r>
      <w:r w:rsidRPr="0007572B">
        <w:t>Issue of the Statement of</w:t>
      </w:r>
      <w:r w:rsidRPr="0007572B">
        <w:rPr>
          <w:spacing w:val="2"/>
        </w:rPr>
        <w:t xml:space="preserve"> </w:t>
      </w:r>
      <w:r w:rsidRPr="0007572B">
        <w:t>Accounts</w:t>
      </w:r>
      <w:bookmarkEnd w:id="102"/>
      <w:bookmarkEnd w:id="103"/>
      <w:bookmarkEnd w:id="104"/>
    </w:p>
    <w:p w14:paraId="5DF10D3A" w14:textId="77777777" w:rsidR="005403AF" w:rsidRDefault="005403AF" w:rsidP="006F1659">
      <w:pPr>
        <w:widowControl w:val="0"/>
        <w:spacing w:before="72" w:line="360" w:lineRule="auto"/>
        <w:ind w:right="220"/>
        <w:rPr>
          <w:rFonts w:ascii="Arial" w:eastAsia="Palatino Linotype" w:hAnsi="Arial" w:cs="Arial"/>
          <w:lang w:val="en-US"/>
        </w:rPr>
      </w:pPr>
    </w:p>
    <w:p w14:paraId="7CAFC3F0" w14:textId="6235842C" w:rsidR="006A156C" w:rsidRPr="00CF14A1" w:rsidRDefault="00B266FC" w:rsidP="00CF14A1">
      <w:pPr>
        <w:widowControl w:val="0"/>
        <w:spacing w:before="72" w:line="360" w:lineRule="auto"/>
        <w:ind w:right="220"/>
        <w:rPr>
          <w:rFonts w:ascii="Arial" w:eastAsia="Palatino Linotype" w:hAnsi="Arial" w:cs="Arial"/>
          <w:lang w:val="en-US"/>
        </w:rPr>
      </w:pPr>
      <w:r w:rsidRPr="0007572B">
        <w:rPr>
          <w:rFonts w:ascii="Arial" w:eastAsia="Palatino Linotype" w:hAnsi="Arial" w:cs="Arial"/>
          <w:lang w:val="en-US"/>
        </w:rPr>
        <w:t>The</w:t>
      </w:r>
      <w:r w:rsidRPr="0007572B">
        <w:rPr>
          <w:rFonts w:ascii="Arial" w:eastAsia="Palatino Linotype" w:hAnsi="Arial" w:cs="Arial"/>
          <w:spacing w:val="16"/>
          <w:lang w:val="en-US"/>
        </w:rPr>
        <w:t xml:space="preserve"> </w:t>
      </w:r>
      <w:r w:rsidR="00D1125B">
        <w:rPr>
          <w:rFonts w:ascii="Arial" w:eastAsia="Palatino Linotype" w:hAnsi="Arial" w:cs="Arial"/>
          <w:lang w:val="en-US"/>
        </w:rPr>
        <w:t>2023/24</w:t>
      </w:r>
      <w:r w:rsidRPr="0007572B">
        <w:rPr>
          <w:rFonts w:ascii="Arial" w:eastAsia="Palatino Linotype" w:hAnsi="Arial" w:cs="Arial"/>
          <w:spacing w:val="17"/>
          <w:lang w:val="en-US"/>
        </w:rPr>
        <w:t xml:space="preserve"> </w:t>
      </w:r>
      <w:r w:rsidR="006A156C" w:rsidRPr="00680EB5">
        <w:rPr>
          <w:rFonts w:ascii="Arial" w:eastAsia="Palatino Linotype" w:hAnsi="Arial" w:cs="Arial"/>
          <w:lang w:val="en-US"/>
        </w:rPr>
        <w:t>Unaudited</w:t>
      </w:r>
      <w:r w:rsidR="006A156C" w:rsidRPr="00680EB5">
        <w:rPr>
          <w:rFonts w:ascii="Arial" w:eastAsia="Palatino Linotype" w:hAnsi="Arial" w:cs="Arial"/>
          <w:spacing w:val="17"/>
          <w:lang w:val="en-US"/>
        </w:rPr>
        <w:t xml:space="preserve"> </w:t>
      </w:r>
      <w:r w:rsidRPr="00680EB5">
        <w:rPr>
          <w:rFonts w:ascii="Arial" w:eastAsia="Palatino Linotype" w:hAnsi="Arial" w:cs="Arial"/>
          <w:lang w:val="en-US"/>
        </w:rPr>
        <w:t>Statement</w:t>
      </w:r>
      <w:r w:rsidRPr="00680EB5">
        <w:rPr>
          <w:rFonts w:ascii="Arial" w:eastAsia="Palatino Linotype" w:hAnsi="Arial" w:cs="Arial"/>
          <w:spacing w:val="18"/>
          <w:lang w:val="en-US"/>
        </w:rPr>
        <w:t xml:space="preserve"> </w:t>
      </w:r>
      <w:r w:rsidRPr="00680EB5">
        <w:rPr>
          <w:rFonts w:ascii="Arial" w:eastAsia="Palatino Linotype" w:hAnsi="Arial" w:cs="Arial"/>
          <w:lang w:val="en-US"/>
        </w:rPr>
        <w:t>of</w:t>
      </w:r>
      <w:r w:rsidRPr="00680EB5">
        <w:rPr>
          <w:rFonts w:ascii="Arial" w:eastAsia="Palatino Linotype" w:hAnsi="Arial" w:cs="Arial"/>
          <w:spacing w:val="20"/>
          <w:lang w:val="en-US"/>
        </w:rPr>
        <w:t xml:space="preserve"> </w:t>
      </w:r>
      <w:r w:rsidRPr="00680EB5">
        <w:rPr>
          <w:rFonts w:ascii="Arial" w:eastAsia="Palatino Linotype" w:hAnsi="Arial" w:cs="Arial"/>
          <w:lang w:val="en-US"/>
        </w:rPr>
        <w:t>Accounts</w:t>
      </w:r>
      <w:r w:rsidRPr="00680EB5">
        <w:rPr>
          <w:rFonts w:ascii="Arial" w:eastAsia="Palatino Linotype" w:hAnsi="Arial" w:cs="Arial"/>
          <w:spacing w:val="17"/>
          <w:lang w:val="en-US"/>
        </w:rPr>
        <w:t xml:space="preserve"> </w:t>
      </w:r>
      <w:r w:rsidRPr="00680EB5">
        <w:rPr>
          <w:rFonts w:ascii="Arial" w:eastAsia="Palatino Linotype" w:hAnsi="Arial" w:cs="Arial"/>
          <w:lang w:val="en-US"/>
        </w:rPr>
        <w:t>w</w:t>
      </w:r>
      <w:r w:rsidR="005D6366" w:rsidRPr="00680EB5">
        <w:rPr>
          <w:rFonts w:ascii="Arial" w:eastAsia="Palatino Linotype" w:hAnsi="Arial" w:cs="Arial"/>
          <w:lang w:val="en-US"/>
        </w:rPr>
        <w:t>ere</w:t>
      </w:r>
      <w:r w:rsidRPr="00680EB5">
        <w:rPr>
          <w:rFonts w:ascii="Arial" w:eastAsia="Palatino Linotype" w:hAnsi="Arial" w:cs="Arial"/>
          <w:spacing w:val="17"/>
          <w:lang w:val="en-US"/>
        </w:rPr>
        <w:t xml:space="preserve"> </w:t>
      </w:r>
      <w:r w:rsidRPr="00680EB5">
        <w:rPr>
          <w:rFonts w:ascii="Arial" w:eastAsia="Palatino Linotype" w:hAnsi="Arial" w:cs="Arial"/>
          <w:lang w:val="en-US"/>
        </w:rPr>
        <w:t>authorised</w:t>
      </w:r>
      <w:r w:rsidRPr="00680EB5">
        <w:rPr>
          <w:rFonts w:ascii="Arial" w:eastAsia="Palatino Linotype" w:hAnsi="Arial" w:cs="Arial"/>
          <w:spacing w:val="14"/>
          <w:lang w:val="en-US"/>
        </w:rPr>
        <w:t xml:space="preserve"> </w:t>
      </w:r>
      <w:r w:rsidRPr="00680EB5">
        <w:rPr>
          <w:rFonts w:ascii="Arial" w:eastAsia="Palatino Linotype" w:hAnsi="Arial" w:cs="Arial"/>
          <w:lang w:val="en-US"/>
        </w:rPr>
        <w:t>for</w:t>
      </w:r>
      <w:r w:rsidRPr="00680EB5">
        <w:rPr>
          <w:rFonts w:ascii="Arial" w:eastAsia="Palatino Linotype" w:hAnsi="Arial" w:cs="Arial"/>
          <w:spacing w:val="17"/>
          <w:lang w:val="en-US"/>
        </w:rPr>
        <w:t xml:space="preserve"> </w:t>
      </w:r>
      <w:r w:rsidRPr="00680EB5">
        <w:rPr>
          <w:rFonts w:ascii="Arial" w:eastAsia="Palatino Linotype" w:hAnsi="Arial" w:cs="Arial"/>
          <w:lang w:val="en-US"/>
        </w:rPr>
        <w:t>issue</w:t>
      </w:r>
      <w:r w:rsidRPr="00680EB5">
        <w:rPr>
          <w:rFonts w:ascii="Arial" w:eastAsia="Palatino Linotype" w:hAnsi="Arial" w:cs="Arial"/>
          <w:spacing w:val="16"/>
          <w:lang w:val="en-US"/>
        </w:rPr>
        <w:t xml:space="preserve"> </w:t>
      </w:r>
      <w:r w:rsidRPr="00680EB5">
        <w:rPr>
          <w:rFonts w:ascii="Arial" w:eastAsia="Palatino Linotype" w:hAnsi="Arial" w:cs="Arial"/>
          <w:lang w:val="en-US"/>
        </w:rPr>
        <w:t>by</w:t>
      </w:r>
      <w:r w:rsidRPr="00680EB5">
        <w:rPr>
          <w:rFonts w:ascii="Arial" w:eastAsia="Palatino Linotype" w:hAnsi="Arial" w:cs="Arial"/>
          <w:spacing w:val="14"/>
          <w:lang w:val="en-US"/>
        </w:rPr>
        <w:t xml:space="preserve"> </w:t>
      </w:r>
      <w:r w:rsidRPr="00680EB5">
        <w:rPr>
          <w:rFonts w:ascii="Arial" w:eastAsia="Palatino Linotype" w:hAnsi="Arial" w:cs="Arial"/>
          <w:lang w:val="en-US"/>
        </w:rPr>
        <w:t>the</w:t>
      </w:r>
      <w:r w:rsidRPr="00680EB5">
        <w:rPr>
          <w:rFonts w:ascii="Arial" w:eastAsia="Palatino Linotype" w:hAnsi="Arial" w:cs="Arial"/>
          <w:spacing w:val="16"/>
          <w:lang w:val="en-US"/>
        </w:rPr>
        <w:t xml:space="preserve"> </w:t>
      </w:r>
      <w:r w:rsidRPr="00680EB5">
        <w:rPr>
          <w:rFonts w:ascii="Arial" w:eastAsia="Palatino Linotype" w:hAnsi="Arial" w:cs="Arial"/>
          <w:lang w:val="en-US"/>
        </w:rPr>
        <w:t>Treasurer on</w:t>
      </w:r>
      <w:r w:rsidR="00E672DC" w:rsidRPr="00680EB5">
        <w:rPr>
          <w:rFonts w:ascii="Arial" w:eastAsia="Palatino Linotype" w:hAnsi="Arial" w:cs="Arial"/>
          <w:lang w:val="en-US"/>
        </w:rPr>
        <w:t xml:space="preserve"> the</w:t>
      </w:r>
      <w:r w:rsidR="00F4401C" w:rsidRPr="00680EB5">
        <w:rPr>
          <w:rFonts w:ascii="Arial" w:eastAsia="Palatino Linotype" w:hAnsi="Arial" w:cs="Arial"/>
          <w:lang w:val="en-US"/>
        </w:rPr>
        <w:t xml:space="preserve"> </w:t>
      </w:r>
      <w:r w:rsidR="00680EB5" w:rsidRPr="00680EB5">
        <w:rPr>
          <w:rFonts w:ascii="Arial" w:eastAsia="Palatino Linotype" w:hAnsi="Arial" w:cs="Arial"/>
          <w:lang w:val="en-US"/>
        </w:rPr>
        <w:t>0</w:t>
      </w:r>
      <w:r w:rsidR="00B17E52">
        <w:rPr>
          <w:rFonts w:ascii="Arial" w:eastAsia="Palatino Linotype" w:hAnsi="Arial" w:cs="Arial"/>
          <w:lang w:val="en-US"/>
        </w:rPr>
        <w:t>9</w:t>
      </w:r>
      <w:r w:rsidR="00C4332C" w:rsidRPr="00680EB5">
        <w:rPr>
          <w:rFonts w:ascii="Arial" w:eastAsia="Palatino Linotype" w:hAnsi="Arial" w:cs="Arial"/>
          <w:lang w:val="en-US"/>
        </w:rPr>
        <w:t xml:space="preserve"> August</w:t>
      </w:r>
      <w:r w:rsidR="00D20EBF" w:rsidRPr="00680EB5">
        <w:rPr>
          <w:rFonts w:ascii="Arial" w:eastAsia="Palatino Linotype" w:hAnsi="Arial" w:cs="Arial"/>
          <w:lang w:val="en-US"/>
        </w:rPr>
        <w:t xml:space="preserve"> 202</w:t>
      </w:r>
      <w:r w:rsidR="00225E28" w:rsidRPr="00680EB5">
        <w:rPr>
          <w:rFonts w:ascii="Arial" w:eastAsia="Palatino Linotype" w:hAnsi="Arial" w:cs="Arial"/>
          <w:lang w:val="en-US"/>
        </w:rPr>
        <w:t>4</w:t>
      </w:r>
      <w:r w:rsidR="00B13566" w:rsidRPr="00680EB5">
        <w:rPr>
          <w:rFonts w:ascii="Arial" w:eastAsia="Palatino Linotype" w:hAnsi="Arial" w:cs="Arial"/>
          <w:lang w:val="en-US"/>
        </w:rPr>
        <w:t>.</w:t>
      </w:r>
      <w:r w:rsidR="00D2614D">
        <w:rPr>
          <w:rFonts w:ascii="Arial" w:eastAsia="Palatino Linotype" w:hAnsi="Arial" w:cs="Arial"/>
          <w:lang w:val="en-US"/>
        </w:rPr>
        <w:t xml:space="preserve"> </w:t>
      </w:r>
      <w:bookmarkStart w:id="105" w:name="_Toc92894878"/>
      <w:bookmarkStart w:id="106" w:name="_Toc92895182"/>
      <w:bookmarkStart w:id="107" w:name="_Toc109922616"/>
    </w:p>
    <w:p w14:paraId="4B328ED5" w14:textId="684A125F" w:rsidR="004C7E94" w:rsidRPr="0007572B" w:rsidRDefault="00FC62F7" w:rsidP="006F1659">
      <w:pPr>
        <w:pStyle w:val="Heading3greennumbered"/>
        <w:spacing w:line="360" w:lineRule="auto"/>
      </w:pPr>
      <w:r w:rsidRPr="0007572B">
        <w:lastRenderedPageBreak/>
        <w:t xml:space="preserve">7a </w:t>
      </w:r>
      <w:r w:rsidR="004E11FD" w:rsidRPr="0007572B">
        <w:t>Expenditure and Funding Analysis</w:t>
      </w:r>
      <w:bookmarkEnd w:id="105"/>
      <w:bookmarkEnd w:id="106"/>
      <w:bookmarkEnd w:id="107"/>
    </w:p>
    <w:p w14:paraId="2EE94785" w14:textId="77777777" w:rsidR="005403AF" w:rsidRDefault="005403AF" w:rsidP="006F1659">
      <w:pPr>
        <w:spacing w:line="360" w:lineRule="auto"/>
        <w:rPr>
          <w:rFonts w:ascii="Arial" w:hAnsi="Arial" w:cs="Arial"/>
        </w:rPr>
      </w:pPr>
    </w:p>
    <w:p w14:paraId="726B5EFE" w14:textId="5684145C" w:rsidR="00CB19DF" w:rsidRDefault="004E552A" w:rsidP="006F1659">
      <w:pPr>
        <w:spacing w:line="360" w:lineRule="auto"/>
        <w:rPr>
          <w:rFonts w:ascii="Arial" w:hAnsi="Arial" w:cs="Arial"/>
        </w:rPr>
      </w:pPr>
      <w:r w:rsidRPr="0007572B">
        <w:rPr>
          <w:rFonts w:ascii="Arial" w:hAnsi="Arial" w:cs="Arial"/>
        </w:rPr>
        <w:t xml:space="preserve">The Expenditure and Funding Analysis shows how annual expenditure is used and funded from resources by the Authority in comparison to those resources consumed or earned by the Authority in accordance with generally accepted accounting practices. It also shows how the expenditure is allocated between </w:t>
      </w:r>
      <w:r w:rsidR="00FB1945">
        <w:rPr>
          <w:rFonts w:ascii="Arial" w:hAnsi="Arial" w:cs="Arial"/>
        </w:rPr>
        <w:t>s</w:t>
      </w:r>
      <w:r w:rsidRPr="0007572B">
        <w:rPr>
          <w:rFonts w:ascii="Arial" w:hAnsi="Arial" w:cs="Arial"/>
        </w:rPr>
        <w:t>ervices. Income and expenditure accounted for under generally accepted accounting practice is presented more fully in the Comprehensive Income and Expenditure Statement.</w:t>
      </w:r>
    </w:p>
    <w:p w14:paraId="611DC1A0" w14:textId="17199578" w:rsidR="00A106AE" w:rsidRDefault="00A106AE" w:rsidP="006F1659">
      <w:pPr>
        <w:spacing w:line="360" w:lineRule="auto"/>
        <w:rPr>
          <w:rFonts w:ascii="Arial" w:hAnsi="Arial" w:cs="Arial"/>
        </w:rPr>
      </w:pPr>
    </w:p>
    <w:p w14:paraId="3FFB9E04" w14:textId="1311FEF9" w:rsidR="00CF14A1" w:rsidRDefault="00CF14A1" w:rsidP="006F1659">
      <w:pPr>
        <w:spacing w:line="360" w:lineRule="auto"/>
        <w:rPr>
          <w:rFonts w:ascii="Arial" w:hAnsi="Arial" w:cs="Arial"/>
        </w:rPr>
      </w:pPr>
      <w:r w:rsidRPr="00CF14A1">
        <w:rPr>
          <w:noProof/>
        </w:rPr>
        <w:drawing>
          <wp:inline distT="0" distB="0" distL="0" distR="0" wp14:anchorId="43C330E9" wp14:editId="6B47C2A8">
            <wp:extent cx="5975350" cy="2835910"/>
            <wp:effectExtent l="0" t="0" r="6350" b="2540"/>
            <wp:docPr id="598457363"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457363" name="Picture 7">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5350" cy="2835910"/>
                    </a:xfrm>
                    <a:prstGeom prst="rect">
                      <a:avLst/>
                    </a:prstGeom>
                    <a:noFill/>
                    <a:ln>
                      <a:noFill/>
                    </a:ln>
                  </pic:spPr>
                </pic:pic>
              </a:graphicData>
            </a:graphic>
          </wp:inline>
        </w:drawing>
      </w:r>
    </w:p>
    <w:p w14:paraId="7EDE7564" w14:textId="77777777" w:rsidR="00CF14A1" w:rsidRDefault="00CF14A1" w:rsidP="006F1659">
      <w:pPr>
        <w:spacing w:line="360" w:lineRule="auto"/>
        <w:rPr>
          <w:rFonts w:ascii="Arial" w:hAnsi="Arial" w:cs="Arial"/>
        </w:rPr>
      </w:pPr>
    </w:p>
    <w:p w14:paraId="4C3E12F6" w14:textId="77777777" w:rsidR="00CF14A1" w:rsidRPr="00A106AE" w:rsidRDefault="00CF14A1" w:rsidP="006F1659">
      <w:pPr>
        <w:spacing w:line="360" w:lineRule="auto"/>
        <w:rPr>
          <w:rFonts w:ascii="Arial" w:hAnsi="Arial" w:cs="Arial"/>
        </w:rPr>
      </w:pPr>
    </w:p>
    <w:p w14:paraId="6BA06E53" w14:textId="610047FB" w:rsidR="00F2757F" w:rsidRPr="0007572B" w:rsidRDefault="00FC62F7" w:rsidP="006F1659">
      <w:pPr>
        <w:pStyle w:val="Heading3greennumbered"/>
        <w:spacing w:line="360" w:lineRule="auto"/>
      </w:pPr>
      <w:bookmarkStart w:id="108" w:name="_Toc109922617"/>
      <w:r w:rsidRPr="0007572B">
        <w:t xml:space="preserve">7b </w:t>
      </w:r>
      <w:r w:rsidR="00F2757F" w:rsidRPr="0007572B">
        <w:t>Note to the Expenditure and Funding Analysi</w:t>
      </w:r>
      <w:bookmarkEnd w:id="108"/>
      <w:r w:rsidR="00724DE4">
        <w:t>s</w:t>
      </w:r>
    </w:p>
    <w:p w14:paraId="14C35EC9" w14:textId="6EB11A84" w:rsidR="002E56A4" w:rsidRDefault="002E56A4" w:rsidP="006F1659">
      <w:pPr>
        <w:keepNext/>
        <w:spacing w:line="360" w:lineRule="auto"/>
        <w:rPr>
          <w:rFonts w:ascii="Arial" w:hAnsi="Arial" w:cs="Arial"/>
          <w:b/>
          <w:sz w:val="22"/>
          <w:szCs w:val="22"/>
        </w:rPr>
      </w:pPr>
    </w:p>
    <w:p w14:paraId="6403C857" w14:textId="2E623369" w:rsidR="002E56A4" w:rsidRDefault="00DD3623" w:rsidP="006F1659">
      <w:pPr>
        <w:spacing w:line="360" w:lineRule="auto"/>
        <w:jc w:val="both"/>
        <w:rPr>
          <w:rFonts w:ascii="Arial" w:hAnsi="Arial" w:cs="Arial"/>
          <w:sz w:val="22"/>
          <w:szCs w:val="22"/>
        </w:rPr>
      </w:pPr>
      <w:r w:rsidRPr="00DD3623">
        <w:rPr>
          <w:noProof/>
        </w:rPr>
        <w:drawing>
          <wp:inline distT="0" distB="0" distL="0" distR="0" wp14:anchorId="4FB48671" wp14:editId="3B038D29">
            <wp:extent cx="5975350" cy="2084070"/>
            <wp:effectExtent l="0" t="0" r="6350" b="0"/>
            <wp:docPr id="73579846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798460" name="Picture 5">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75350" cy="2084070"/>
                    </a:xfrm>
                    <a:prstGeom prst="rect">
                      <a:avLst/>
                    </a:prstGeom>
                    <a:noFill/>
                    <a:ln>
                      <a:noFill/>
                    </a:ln>
                  </pic:spPr>
                </pic:pic>
              </a:graphicData>
            </a:graphic>
          </wp:inline>
        </w:drawing>
      </w:r>
    </w:p>
    <w:p w14:paraId="50FAF143" w14:textId="77777777" w:rsidR="00CF14A1" w:rsidRDefault="00CF14A1" w:rsidP="006F1659">
      <w:pPr>
        <w:spacing w:line="360" w:lineRule="auto"/>
        <w:jc w:val="both"/>
        <w:rPr>
          <w:rFonts w:ascii="Arial" w:hAnsi="Arial" w:cs="Arial"/>
          <w:sz w:val="22"/>
          <w:szCs w:val="22"/>
        </w:rPr>
      </w:pPr>
    </w:p>
    <w:p w14:paraId="40CA62DA" w14:textId="37204113" w:rsidR="004E552A" w:rsidRPr="0007572B" w:rsidRDefault="00A334F6" w:rsidP="006F1659">
      <w:pPr>
        <w:pStyle w:val="Normal0"/>
        <w:spacing w:after="160" w:line="360" w:lineRule="auto"/>
        <w:ind w:left="720" w:hanging="720"/>
        <w:rPr>
          <w:rFonts w:ascii="Arial" w:hAnsi="Arial" w:cs="Arial"/>
          <w:sz w:val="24"/>
          <w:szCs w:val="24"/>
          <w:lang w:val="en-GB"/>
        </w:rPr>
      </w:pPr>
      <w:r w:rsidRPr="0007572B">
        <w:rPr>
          <w:rFonts w:ascii="Arial" w:hAnsi="Arial" w:cs="Arial"/>
          <w:sz w:val="24"/>
          <w:szCs w:val="24"/>
        </w:rPr>
        <w:lastRenderedPageBreak/>
        <w:t>a)</w:t>
      </w:r>
      <w:r w:rsidRPr="0007572B">
        <w:rPr>
          <w:rFonts w:ascii="Arial" w:hAnsi="Arial" w:cs="Arial"/>
          <w:sz w:val="24"/>
          <w:szCs w:val="24"/>
        </w:rPr>
        <w:tab/>
      </w:r>
      <w:r w:rsidR="004E552A" w:rsidRPr="0007572B">
        <w:rPr>
          <w:rFonts w:ascii="Arial" w:hAnsi="Arial" w:cs="Arial"/>
          <w:sz w:val="24"/>
          <w:szCs w:val="24"/>
          <w:lang w:val="en-GB"/>
        </w:rPr>
        <w:t>Adjustments for capital purposes – this column adds in depreciation and impairment and revaluation gains and losses in</w:t>
      </w:r>
      <w:r w:rsidR="000C2D30" w:rsidRPr="0007572B">
        <w:rPr>
          <w:rFonts w:ascii="Arial" w:hAnsi="Arial" w:cs="Arial"/>
          <w:sz w:val="24"/>
          <w:szCs w:val="24"/>
          <w:lang w:val="en-GB"/>
        </w:rPr>
        <w:t xml:space="preserve"> the services line, and for:</w:t>
      </w:r>
    </w:p>
    <w:p w14:paraId="2F3F2C73" w14:textId="77777777" w:rsidR="004E552A" w:rsidRPr="0007572B" w:rsidRDefault="004E552A" w:rsidP="006F1659">
      <w:pPr>
        <w:pStyle w:val="Normal0"/>
        <w:spacing w:after="160" w:line="360" w:lineRule="auto"/>
        <w:ind w:left="1440"/>
        <w:rPr>
          <w:rFonts w:ascii="Arial" w:hAnsi="Arial" w:cs="Arial"/>
          <w:sz w:val="24"/>
          <w:szCs w:val="24"/>
          <w:lang w:val="en-GB"/>
        </w:rPr>
      </w:pPr>
      <w:r w:rsidRPr="0007572B">
        <w:rPr>
          <w:rFonts w:ascii="Arial" w:hAnsi="Arial" w:cs="Arial"/>
          <w:sz w:val="24"/>
          <w:szCs w:val="24"/>
          <w:lang w:val="en-GB"/>
        </w:rPr>
        <w:t>- Other operating expenditure – adjusts for capital disposals with a transfer of income on disposal of assets and the amounts wr</w:t>
      </w:r>
      <w:r w:rsidR="000C2D30" w:rsidRPr="0007572B">
        <w:rPr>
          <w:rFonts w:ascii="Arial" w:hAnsi="Arial" w:cs="Arial"/>
          <w:sz w:val="24"/>
          <w:szCs w:val="24"/>
          <w:lang w:val="en-GB"/>
        </w:rPr>
        <w:t>itten off for those assets.</w:t>
      </w:r>
    </w:p>
    <w:p w14:paraId="2598F6CB" w14:textId="77777777" w:rsidR="004E552A" w:rsidRPr="0007572B" w:rsidRDefault="004E552A" w:rsidP="006F1659">
      <w:pPr>
        <w:pStyle w:val="Normal0"/>
        <w:spacing w:after="160" w:line="360" w:lineRule="auto"/>
        <w:ind w:left="1440"/>
        <w:rPr>
          <w:rFonts w:ascii="Arial" w:hAnsi="Arial" w:cs="Arial"/>
          <w:sz w:val="24"/>
          <w:szCs w:val="24"/>
          <w:lang w:val="en-GB"/>
        </w:rPr>
      </w:pPr>
      <w:r w:rsidRPr="0007572B">
        <w:rPr>
          <w:rFonts w:ascii="Arial" w:hAnsi="Arial" w:cs="Arial"/>
          <w:sz w:val="24"/>
          <w:szCs w:val="24"/>
          <w:lang w:val="en-GB"/>
        </w:rPr>
        <w:t>- Financing and investment income and expenditure – the statutory charges for capital financing i</w:t>
      </w:r>
      <w:r w:rsidR="000C2D30" w:rsidRPr="0007572B">
        <w:rPr>
          <w:rFonts w:ascii="Arial" w:hAnsi="Arial" w:cs="Arial"/>
          <w:sz w:val="24"/>
          <w:szCs w:val="24"/>
          <w:lang w:val="en-GB"/>
        </w:rPr>
        <w:t>.</w:t>
      </w:r>
      <w:r w:rsidRPr="0007572B">
        <w:rPr>
          <w:rFonts w:ascii="Arial" w:hAnsi="Arial" w:cs="Arial"/>
          <w:sz w:val="24"/>
          <w:szCs w:val="24"/>
          <w:lang w:val="en-GB"/>
        </w:rPr>
        <w:t>e</w:t>
      </w:r>
      <w:r w:rsidR="000C2D30" w:rsidRPr="0007572B">
        <w:rPr>
          <w:rFonts w:ascii="Arial" w:hAnsi="Arial" w:cs="Arial"/>
          <w:sz w:val="24"/>
          <w:szCs w:val="24"/>
          <w:lang w:val="en-GB"/>
        </w:rPr>
        <w:t>.</w:t>
      </w:r>
      <w:r w:rsidRPr="0007572B">
        <w:rPr>
          <w:rFonts w:ascii="Arial" w:hAnsi="Arial" w:cs="Arial"/>
          <w:sz w:val="24"/>
          <w:szCs w:val="24"/>
          <w:lang w:val="en-GB"/>
        </w:rPr>
        <w:t xml:space="preserve"> Minimum Revenue Provision and other revenue contributions are deducted from other income and expenditure as these are not chargeable under generally acc</w:t>
      </w:r>
      <w:r w:rsidR="000C2D30" w:rsidRPr="0007572B">
        <w:rPr>
          <w:rFonts w:ascii="Arial" w:hAnsi="Arial" w:cs="Arial"/>
          <w:sz w:val="24"/>
          <w:szCs w:val="24"/>
          <w:lang w:val="en-GB"/>
        </w:rPr>
        <w:t>epted accounting practices.</w:t>
      </w:r>
    </w:p>
    <w:p w14:paraId="78409A5E" w14:textId="39C59360" w:rsidR="00A334F6" w:rsidRPr="0007572B" w:rsidRDefault="004E552A" w:rsidP="006F1659">
      <w:pPr>
        <w:spacing w:line="360" w:lineRule="auto"/>
        <w:ind w:left="1440"/>
        <w:rPr>
          <w:rFonts w:ascii="Arial" w:hAnsi="Arial" w:cs="Arial"/>
        </w:rPr>
      </w:pPr>
      <w:r w:rsidRPr="0007572B">
        <w:rPr>
          <w:rFonts w:ascii="Arial" w:hAnsi="Arial" w:cs="Arial"/>
        </w:rPr>
        <w:t>- Taxation and non-specific grant income and expenditure – capital grants are adjusted for income not chargeable under generally accepted accounting practices. Revenue grants are adjusted from those receivable in the year to those receivable without conditions or for which conditions were satisfied throughout the year. The Taxation and Non</w:t>
      </w:r>
      <w:r w:rsidR="000C364F" w:rsidRPr="0007572B">
        <w:rPr>
          <w:rFonts w:ascii="Arial" w:hAnsi="Arial" w:cs="Arial"/>
        </w:rPr>
        <w:t>-</w:t>
      </w:r>
      <w:r w:rsidRPr="0007572B">
        <w:rPr>
          <w:rFonts w:ascii="Arial" w:hAnsi="Arial" w:cs="Arial"/>
        </w:rPr>
        <w:t>Specific Grant Income and Expenditure line is credited with capital grants receivable in the year without conditions or for which conditions were satisfied in the year.</w:t>
      </w:r>
    </w:p>
    <w:p w14:paraId="616EF312" w14:textId="77777777" w:rsidR="00A334F6" w:rsidRPr="0007572B" w:rsidRDefault="00A334F6" w:rsidP="006F1659">
      <w:pPr>
        <w:spacing w:line="360" w:lineRule="auto"/>
        <w:ind w:left="720" w:hanging="720"/>
        <w:rPr>
          <w:rFonts w:ascii="Arial" w:hAnsi="Arial" w:cs="Arial"/>
        </w:rPr>
      </w:pPr>
    </w:p>
    <w:p w14:paraId="786FDB2B" w14:textId="77777777" w:rsidR="000C2D30" w:rsidRPr="0007572B" w:rsidRDefault="00A334F6" w:rsidP="006F1659">
      <w:pPr>
        <w:pStyle w:val="Normal0"/>
        <w:spacing w:after="160" w:line="360" w:lineRule="auto"/>
        <w:ind w:left="720" w:hanging="720"/>
        <w:rPr>
          <w:rFonts w:ascii="Arial" w:hAnsi="Arial" w:cs="Arial"/>
          <w:sz w:val="24"/>
          <w:szCs w:val="24"/>
          <w:lang w:val="en-GB"/>
        </w:rPr>
      </w:pPr>
      <w:r w:rsidRPr="0007572B">
        <w:rPr>
          <w:rFonts w:ascii="Arial" w:hAnsi="Arial" w:cs="Arial"/>
          <w:sz w:val="24"/>
          <w:szCs w:val="24"/>
        </w:rPr>
        <w:t>b)</w:t>
      </w:r>
      <w:r w:rsidRPr="0007572B">
        <w:rPr>
          <w:rFonts w:ascii="Arial" w:hAnsi="Arial" w:cs="Arial"/>
          <w:sz w:val="24"/>
          <w:szCs w:val="24"/>
        </w:rPr>
        <w:tab/>
      </w:r>
      <w:r w:rsidR="000C2D30" w:rsidRPr="0007572B">
        <w:rPr>
          <w:rFonts w:ascii="Arial" w:hAnsi="Arial" w:cs="Arial"/>
          <w:sz w:val="24"/>
          <w:szCs w:val="24"/>
          <w:lang w:val="en-GB"/>
        </w:rPr>
        <w:t xml:space="preserve">Net Change for the Pensions Adjustments - Net change for the removal of pension contributions and the addition of IAS 19 Employee Benefits pension related expenditure and income: </w:t>
      </w:r>
    </w:p>
    <w:p w14:paraId="7637F475" w14:textId="0C136A1B" w:rsidR="000C2D30" w:rsidRPr="0007572B" w:rsidRDefault="000C2D30" w:rsidP="006F1659">
      <w:pPr>
        <w:pStyle w:val="Normal0"/>
        <w:spacing w:after="160" w:line="360" w:lineRule="auto"/>
        <w:ind w:left="1440"/>
        <w:rPr>
          <w:rFonts w:ascii="Arial" w:hAnsi="Arial" w:cs="Arial"/>
          <w:sz w:val="24"/>
          <w:szCs w:val="24"/>
          <w:lang w:val="en-GB"/>
        </w:rPr>
      </w:pPr>
      <w:r w:rsidRPr="0007572B">
        <w:rPr>
          <w:rFonts w:ascii="Arial" w:hAnsi="Arial" w:cs="Arial"/>
          <w:sz w:val="24"/>
          <w:szCs w:val="24"/>
          <w:lang w:val="en-GB"/>
        </w:rPr>
        <w:t xml:space="preserve">- For services this represents the removal of the employer pension contributions made by the </w:t>
      </w:r>
      <w:r w:rsidR="000713CE" w:rsidRPr="0007572B">
        <w:rPr>
          <w:rFonts w:ascii="Arial" w:hAnsi="Arial" w:cs="Arial"/>
          <w:sz w:val="24"/>
          <w:szCs w:val="24"/>
          <w:lang w:val="en-GB"/>
        </w:rPr>
        <w:t>A</w:t>
      </w:r>
      <w:r w:rsidRPr="0007572B">
        <w:rPr>
          <w:rFonts w:ascii="Arial" w:hAnsi="Arial" w:cs="Arial"/>
          <w:sz w:val="24"/>
          <w:szCs w:val="24"/>
          <w:lang w:val="en-GB"/>
        </w:rPr>
        <w:t>uthority as allowed by statute and the replacement with current service costs and past service costs.</w:t>
      </w:r>
    </w:p>
    <w:p w14:paraId="5BAA25D0" w14:textId="0BCFA349" w:rsidR="00A334F6" w:rsidRPr="0007572B" w:rsidRDefault="000C2D30" w:rsidP="006F1659">
      <w:pPr>
        <w:spacing w:line="360" w:lineRule="auto"/>
        <w:ind w:left="1440"/>
        <w:rPr>
          <w:rFonts w:ascii="Arial" w:hAnsi="Arial" w:cs="Arial"/>
        </w:rPr>
      </w:pPr>
      <w:r w:rsidRPr="0007572B">
        <w:rPr>
          <w:rFonts w:ascii="Arial" w:hAnsi="Arial" w:cs="Arial"/>
        </w:rPr>
        <w:t>- For Financing and investment income and expenditure – the net interest on the defined benefit liability is charged to the CIES.</w:t>
      </w:r>
      <w:r w:rsidR="00A334F6" w:rsidRPr="0007572B">
        <w:rPr>
          <w:rFonts w:ascii="Arial" w:hAnsi="Arial" w:cs="Arial"/>
        </w:rPr>
        <w:t xml:space="preserve"> </w:t>
      </w:r>
    </w:p>
    <w:p w14:paraId="37B7D201" w14:textId="77777777" w:rsidR="00B4518D" w:rsidRPr="0007572B" w:rsidRDefault="00B4518D" w:rsidP="006F1659">
      <w:pPr>
        <w:spacing w:line="360" w:lineRule="auto"/>
        <w:ind w:left="1440"/>
        <w:rPr>
          <w:rFonts w:ascii="Arial" w:hAnsi="Arial" w:cs="Arial"/>
        </w:rPr>
      </w:pPr>
    </w:p>
    <w:p w14:paraId="343319EB" w14:textId="77777777" w:rsidR="000C2D30" w:rsidRPr="0007572B" w:rsidRDefault="00A334F6" w:rsidP="006F1659">
      <w:pPr>
        <w:pStyle w:val="Normal0"/>
        <w:spacing w:after="160" w:line="360" w:lineRule="auto"/>
        <w:ind w:left="720" w:hanging="720"/>
        <w:rPr>
          <w:rFonts w:ascii="Arial" w:hAnsi="Arial" w:cs="Arial"/>
          <w:sz w:val="24"/>
          <w:szCs w:val="24"/>
          <w:lang w:val="en-GB"/>
        </w:rPr>
      </w:pPr>
      <w:r w:rsidRPr="0007572B">
        <w:rPr>
          <w:rFonts w:ascii="Arial" w:hAnsi="Arial" w:cs="Arial"/>
          <w:sz w:val="24"/>
          <w:szCs w:val="24"/>
        </w:rPr>
        <w:t>c)</w:t>
      </w:r>
      <w:r w:rsidRPr="0007572B">
        <w:rPr>
          <w:rFonts w:ascii="Arial" w:hAnsi="Arial" w:cs="Arial"/>
          <w:sz w:val="24"/>
          <w:szCs w:val="24"/>
        </w:rPr>
        <w:tab/>
      </w:r>
      <w:r w:rsidR="000C2D30" w:rsidRPr="0007572B">
        <w:rPr>
          <w:rFonts w:ascii="Arial" w:hAnsi="Arial" w:cs="Arial"/>
          <w:sz w:val="24"/>
          <w:szCs w:val="24"/>
          <w:lang w:val="en-GB"/>
        </w:rPr>
        <w:t>Other Differences - Other differences between amounts debited/credited to the Comprehensive Income and Expenditure Statement and amounts payable/receivable to be recognised under statute:</w:t>
      </w:r>
    </w:p>
    <w:p w14:paraId="27761A60" w14:textId="77777777" w:rsidR="000C2D30" w:rsidRPr="0007572B" w:rsidRDefault="000C2D30" w:rsidP="006F1659">
      <w:pPr>
        <w:pStyle w:val="Normal0"/>
        <w:spacing w:after="160" w:line="360" w:lineRule="auto"/>
        <w:ind w:left="1440"/>
        <w:rPr>
          <w:rFonts w:ascii="Arial" w:hAnsi="Arial" w:cs="Arial"/>
          <w:sz w:val="24"/>
          <w:szCs w:val="24"/>
          <w:lang w:val="en-GB"/>
        </w:rPr>
      </w:pPr>
      <w:r w:rsidRPr="0007572B">
        <w:rPr>
          <w:rFonts w:ascii="Arial" w:hAnsi="Arial" w:cs="Arial"/>
          <w:sz w:val="24"/>
          <w:szCs w:val="24"/>
          <w:lang w:val="en-GB"/>
        </w:rPr>
        <w:lastRenderedPageBreak/>
        <w:t>- For Financing and investment income and expenditure the other differences column recognises adjustments to the General Fund for the timing differences for premiums and discounts.</w:t>
      </w:r>
    </w:p>
    <w:p w14:paraId="78DE8BB8" w14:textId="77777777" w:rsidR="00A334F6" w:rsidRPr="0007572B" w:rsidRDefault="000C2D30" w:rsidP="006F1659">
      <w:pPr>
        <w:spacing w:line="360" w:lineRule="auto"/>
        <w:ind w:left="1440"/>
        <w:rPr>
          <w:rFonts w:ascii="Arial" w:hAnsi="Arial" w:cs="Arial"/>
        </w:rPr>
      </w:pPr>
      <w:r w:rsidRPr="0007572B">
        <w:rPr>
          <w:rFonts w:ascii="Arial" w:hAnsi="Arial" w:cs="Arial"/>
        </w:rPr>
        <w:t>- The charge under Taxation and non-specific grant income and expenditure represents the difference between what is chargeable under statutory regulations for council tax and NDR that was projected to be received at the start of the year and the income recognised under generally accepted accounting practices in the Code. This is a timing difference as any difference will be brought forward in future Surpluses or Deficits on the Collection Fund.</w:t>
      </w:r>
    </w:p>
    <w:p w14:paraId="0CA3108D" w14:textId="77777777" w:rsidR="000C2D30" w:rsidRPr="0007572B" w:rsidRDefault="000C2D30" w:rsidP="006F1659">
      <w:pPr>
        <w:spacing w:line="360" w:lineRule="auto"/>
        <w:ind w:left="720" w:hanging="720"/>
        <w:jc w:val="both"/>
        <w:rPr>
          <w:rFonts w:ascii="Arial" w:hAnsi="Arial" w:cs="Arial"/>
        </w:rPr>
      </w:pPr>
    </w:p>
    <w:p w14:paraId="17AA1BAC" w14:textId="60108B2A" w:rsidR="00027BE1" w:rsidRPr="0007572B" w:rsidRDefault="00027BE1" w:rsidP="006F1659">
      <w:pPr>
        <w:pStyle w:val="Normal0"/>
        <w:spacing w:after="160" w:line="360" w:lineRule="auto"/>
        <w:ind w:left="720" w:hanging="720"/>
        <w:jc w:val="both"/>
        <w:rPr>
          <w:rFonts w:ascii="Arial" w:hAnsi="Arial" w:cs="Arial"/>
          <w:b/>
          <w:sz w:val="22"/>
          <w:szCs w:val="22"/>
        </w:rPr>
      </w:pPr>
    </w:p>
    <w:p w14:paraId="73F45B51" w14:textId="77777777" w:rsidR="00027BE1" w:rsidRPr="0007572B" w:rsidRDefault="00027BE1" w:rsidP="006F1659">
      <w:pPr>
        <w:spacing w:line="360" w:lineRule="auto"/>
        <w:rPr>
          <w:rFonts w:ascii="Arial" w:hAnsi="Arial" w:cs="Arial"/>
          <w:b/>
          <w:sz w:val="22"/>
          <w:szCs w:val="22"/>
        </w:rPr>
        <w:sectPr w:rsidR="00027BE1" w:rsidRPr="0007572B" w:rsidSect="004833A2">
          <w:pgSz w:w="11906" w:h="16838"/>
          <w:pgMar w:top="1444" w:right="1416" w:bottom="1440" w:left="1080" w:header="568" w:footer="567" w:gutter="0"/>
          <w:cols w:space="708"/>
          <w:docGrid w:linePitch="360"/>
        </w:sectPr>
      </w:pPr>
    </w:p>
    <w:p w14:paraId="016CCB50" w14:textId="60048D73" w:rsidR="004E11FD" w:rsidRPr="0007572B" w:rsidRDefault="00FC62F7" w:rsidP="006F1659">
      <w:pPr>
        <w:pStyle w:val="Heading3greennumbered"/>
        <w:spacing w:line="360" w:lineRule="auto"/>
      </w:pPr>
      <w:bookmarkStart w:id="109" w:name="_Toc92894880"/>
      <w:bookmarkStart w:id="110" w:name="_Toc92895184"/>
      <w:bookmarkStart w:id="111" w:name="_Toc109922618"/>
      <w:r w:rsidRPr="0007572B">
        <w:lastRenderedPageBreak/>
        <w:t xml:space="preserve">8 </w:t>
      </w:r>
      <w:r w:rsidR="00F2757F" w:rsidRPr="0007572B">
        <w:t xml:space="preserve">Adjustments </w:t>
      </w:r>
      <w:r w:rsidR="00D35A13" w:rsidRPr="0007572B">
        <w:t>between</w:t>
      </w:r>
      <w:r w:rsidR="00F2757F" w:rsidRPr="0007572B">
        <w:t xml:space="preserve"> </w:t>
      </w:r>
      <w:r w:rsidR="0063513E" w:rsidRPr="0007572B">
        <w:t>A</w:t>
      </w:r>
      <w:r w:rsidR="00F2757F" w:rsidRPr="0007572B">
        <w:t xml:space="preserve">ccounting </w:t>
      </w:r>
      <w:r w:rsidR="0063513E" w:rsidRPr="0007572B">
        <w:t>B</w:t>
      </w:r>
      <w:r w:rsidR="00F2757F" w:rsidRPr="0007572B">
        <w:t xml:space="preserve">asis and </w:t>
      </w:r>
      <w:r w:rsidR="0063513E" w:rsidRPr="0007572B">
        <w:t>F</w:t>
      </w:r>
      <w:r w:rsidR="00F2757F" w:rsidRPr="0007572B">
        <w:t xml:space="preserve">unding </w:t>
      </w:r>
      <w:r w:rsidR="0063513E" w:rsidRPr="0007572B">
        <w:t>B</w:t>
      </w:r>
      <w:r w:rsidR="00F2757F" w:rsidRPr="0007572B">
        <w:t xml:space="preserve">asis under </w:t>
      </w:r>
      <w:r w:rsidR="0063513E" w:rsidRPr="0007572B">
        <w:t>R</w:t>
      </w:r>
      <w:r w:rsidR="00F2757F" w:rsidRPr="0007572B">
        <w:t>egulations</w:t>
      </w:r>
      <w:bookmarkEnd w:id="109"/>
      <w:bookmarkEnd w:id="110"/>
      <w:bookmarkEnd w:id="111"/>
    </w:p>
    <w:p w14:paraId="5BB23207" w14:textId="77777777" w:rsidR="005403AF" w:rsidRDefault="005403AF" w:rsidP="006F1659">
      <w:pPr>
        <w:pStyle w:val="Normal0"/>
        <w:spacing w:line="360" w:lineRule="auto"/>
        <w:rPr>
          <w:rFonts w:ascii="Arial" w:eastAsia="Verdana" w:hAnsi="Arial" w:cs="Arial"/>
          <w:sz w:val="24"/>
          <w:szCs w:val="24"/>
          <w:lang w:val="en-GB"/>
        </w:rPr>
      </w:pPr>
    </w:p>
    <w:p w14:paraId="04136F35" w14:textId="46699627" w:rsidR="000C2D30" w:rsidRPr="0007572B" w:rsidRDefault="000C2D30" w:rsidP="006F1659">
      <w:pPr>
        <w:pStyle w:val="Normal0"/>
        <w:spacing w:after="160" w:line="360" w:lineRule="auto"/>
        <w:rPr>
          <w:rFonts w:ascii="Arial" w:eastAsia="Verdana" w:hAnsi="Arial" w:cs="Arial"/>
          <w:sz w:val="24"/>
          <w:szCs w:val="24"/>
          <w:lang w:val="en-GB"/>
        </w:rPr>
      </w:pPr>
      <w:r w:rsidRPr="0007572B">
        <w:rPr>
          <w:rFonts w:ascii="Arial" w:eastAsia="Verdana" w:hAnsi="Arial" w:cs="Arial"/>
          <w:sz w:val="24"/>
          <w:szCs w:val="24"/>
          <w:lang w:val="en-GB"/>
        </w:rPr>
        <w:t xml:space="preserve">This note details the adjustments that are made to the total comprehensive income and expenditure recognised by the Authority in the year in accordance with proper accounting practice to arrive at the resources that are specified by statutory provisions as being available to the Authority to meet future capital and revenue expenditure. The following sets out a description of the reserves that the adjustments are made against. </w:t>
      </w:r>
    </w:p>
    <w:p w14:paraId="789DE9B7" w14:textId="77777777" w:rsidR="000C2D30" w:rsidRPr="0007572B" w:rsidRDefault="000C2D30" w:rsidP="006F1659">
      <w:pPr>
        <w:pStyle w:val="Heading4bold"/>
        <w:spacing w:line="360" w:lineRule="auto"/>
        <w:rPr>
          <w:rFonts w:eastAsia="Verdana"/>
        </w:rPr>
      </w:pPr>
      <w:r w:rsidRPr="0007572B">
        <w:rPr>
          <w:rFonts w:eastAsia="Verdana"/>
        </w:rPr>
        <w:t>General Fund Balance</w:t>
      </w:r>
    </w:p>
    <w:p w14:paraId="5D1C0ACA" w14:textId="431BE0F8" w:rsidR="000C2D30" w:rsidRPr="0007572B" w:rsidRDefault="000C2D30" w:rsidP="006F1659">
      <w:pPr>
        <w:pStyle w:val="Normal0"/>
        <w:spacing w:after="160" w:line="360" w:lineRule="auto"/>
        <w:rPr>
          <w:rFonts w:ascii="Arial" w:eastAsia="Verdana" w:hAnsi="Arial" w:cs="Arial"/>
          <w:sz w:val="24"/>
          <w:szCs w:val="24"/>
          <w:lang w:val="en-GB"/>
        </w:rPr>
      </w:pPr>
      <w:r w:rsidRPr="0007572B">
        <w:rPr>
          <w:rFonts w:ascii="Arial" w:eastAsia="Verdana" w:hAnsi="Arial" w:cs="Arial"/>
          <w:sz w:val="24"/>
          <w:szCs w:val="24"/>
          <w:lang w:val="en-GB"/>
        </w:rPr>
        <w:t xml:space="preserve">The General Fund is the statutory fund into which all the receipts of an Authority are required to </w:t>
      </w:r>
      <w:r w:rsidR="00FB1945">
        <w:rPr>
          <w:rFonts w:ascii="Arial" w:eastAsia="Verdana" w:hAnsi="Arial" w:cs="Arial"/>
          <w:sz w:val="24"/>
          <w:szCs w:val="24"/>
          <w:lang w:val="en-GB"/>
        </w:rPr>
        <w:t xml:space="preserve">be </w:t>
      </w:r>
      <w:r w:rsidRPr="0007572B">
        <w:rPr>
          <w:rFonts w:ascii="Arial" w:eastAsia="Verdana" w:hAnsi="Arial" w:cs="Arial"/>
          <w:sz w:val="24"/>
          <w:szCs w:val="24"/>
          <w:lang w:val="en-GB"/>
        </w:rPr>
        <w:t>paid and out of which all liabilities of the Authority are to be met, except to the extent that statutory rules might provide otherwise. These rules can also specify the financial year in which liabilities and payments should impact on the General Fund Balance, which is not necessarily in accordance with proper accounting practice. The General Fund Balance therefore summarises the resources that the Authority is statutorily empowered to spend on its services or on capital investment (or the deficit of resources that the Authority is required to recover) at the end of the financial year.</w:t>
      </w:r>
    </w:p>
    <w:p w14:paraId="17D6C439" w14:textId="77777777" w:rsidR="000C2D30" w:rsidRPr="0007572B" w:rsidRDefault="000C2D30" w:rsidP="006F1659">
      <w:pPr>
        <w:pStyle w:val="Heading4bold"/>
        <w:spacing w:line="360" w:lineRule="auto"/>
        <w:rPr>
          <w:rFonts w:eastAsia="Verdana"/>
        </w:rPr>
      </w:pPr>
      <w:r w:rsidRPr="0007572B">
        <w:rPr>
          <w:rFonts w:eastAsia="Verdana"/>
        </w:rPr>
        <w:t>Capital Receipts Reserve</w:t>
      </w:r>
    </w:p>
    <w:p w14:paraId="25327435" w14:textId="77777777" w:rsidR="000C2D30" w:rsidRPr="0007572B" w:rsidRDefault="000C2D30" w:rsidP="006F1659">
      <w:pPr>
        <w:pStyle w:val="Normal0"/>
        <w:spacing w:after="160" w:line="360" w:lineRule="auto"/>
        <w:rPr>
          <w:rFonts w:ascii="Arial" w:eastAsia="Verdana" w:hAnsi="Arial" w:cs="Arial"/>
          <w:sz w:val="24"/>
          <w:szCs w:val="24"/>
          <w:lang w:val="en-GB"/>
        </w:rPr>
      </w:pPr>
      <w:r w:rsidRPr="0007572B">
        <w:rPr>
          <w:rFonts w:ascii="Arial" w:eastAsia="Verdana" w:hAnsi="Arial" w:cs="Arial"/>
          <w:sz w:val="24"/>
          <w:szCs w:val="24"/>
          <w:lang w:val="en-GB"/>
        </w:rPr>
        <w:t>The Capital Receipts Reserve holds the proceeds from the disposal of land or other assets, which are restricted by statute from being used other than to fund new capital expenditure or to be set aside to finance historical capital expenditure. The balance on the reserve shows the resources that have yet to be applied for these purposes at the year-end.</w:t>
      </w:r>
    </w:p>
    <w:p w14:paraId="1BA0E342" w14:textId="77777777" w:rsidR="000C2D30" w:rsidRPr="0007572B" w:rsidRDefault="000C2D30" w:rsidP="006F1659">
      <w:pPr>
        <w:pStyle w:val="Heading4bold"/>
        <w:spacing w:line="360" w:lineRule="auto"/>
        <w:rPr>
          <w:rFonts w:eastAsia="Verdana"/>
        </w:rPr>
      </w:pPr>
      <w:r w:rsidRPr="0007572B">
        <w:rPr>
          <w:rFonts w:eastAsia="Verdana"/>
        </w:rPr>
        <w:lastRenderedPageBreak/>
        <w:t>Capital Grants Unapplied</w:t>
      </w:r>
    </w:p>
    <w:p w14:paraId="063B11D4" w14:textId="1233CE97" w:rsidR="004E11FD" w:rsidRDefault="000C2D30" w:rsidP="006F1659">
      <w:pPr>
        <w:spacing w:line="360" w:lineRule="auto"/>
        <w:rPr>
          <w:rFonts w:ascii="Arial" w:eastAsia="Verdana" w:hAnsi="Arial" w:cs="Arial"/>
        </w:rPr>
      </w:pPr>
      <w:r w:rsidRPr="0007572B">
        <w:rPr>
          <w:rFonts w:ascii="Arial" w:eastAsia="Verdana" w:hAnsi="Arial" w:cs="Arial"/>
        </w:rPr>
        <w:t xml:space="preserve">The Capital Grants Unapplied Account (Reserve) holds the grants and contributions received towards capital projects for which the Authority has met the conditions that would otherwise require repayment of the </w:t>
      </w:r>
      <w:r w:rsidR="00265D05" w:rsidRPr="0007572B">
        <w:rPr>
          <w:rFonts w:ascii="Arial" w:eastAsia="Verdana" w:hAnsi="Arial" w:cs="Arial"/>
        </w:rPr>
        <w:t>monies,</w:t>
      </w:r>
      <w:r w:rsidRPr="0007572B">
        <w:rPr>
          <w:rFonts w:ascii="Arial" w:eastAsia="Verdana" w:hAnsi="Arial" w:cs="Arial"/>
        </w:rPr>
        <w:t xml:space="preserve"> but which have yet to be applied to meet expenditure. The balance is restricted by grant terms as to the capital expenditure against which it can be applied and/or the financial year in which this can take place.</w:t>
      </w:r>
    </w:p>
    <w:p w14:paraId="21D56A12" w14:textId="77777777" w:rsidR="00CF14A1" w:rsidRDefault="00CF14A1" w:rsidP="006F1659">
      <w:pPr>
        <w:spacing w:line="360" w:lineRule="auto"/>
        <w:rPr>
          <w:rFonts w:ascii="Arial" w:eastAsia="Verdana" w:hAnsi="Arial" w:cs="Arial"/>
        </w:rPr>
      </w:pPr>
    </w:p>
    <w:p w14:paraId="5D585998" w14:textId="4ED1A232" w:rsidR="008F7B59" w:rsidRDefault="00CF14A1" w:rsidP="006F1659">
      <w:pPr>
        <w:spacing w:line="360" w:lineRule="auto"/>
        <w:jc w:val="both"/>
        <w:rPr>
          <w:noProof/>
        </w:rPr>
      </w:pPr>
      <w:r w:rsidRPr="00CF14A1">
        <w:rPr>
          <w:noProof/>
        </w:rPr>
        <w:drawing>
          <wp:inline distT="0" distB="0" distL="0" distR="0" wp14:anchorId="43417CC3" wp14:editId="124B278D">
            <wp:extent cx="8860790" cy="3317240"/>
            <wp:effectExtent l="0" t="0" r="0" b="0"/>
            <wp:docPr id="93709768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97687" name="Picture 9">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60790" cy="3317240"/>
                    </a:xfrm>
                    <a:prstGeom prst="rect">
                      <a:avLst/>
                    </a:prstGeom>
                    <a:noFill/>
                    <a:ln>
                      <a:noFill/>
                    </a:ln>
                  </pic:spPr>
                </pic:pic>
              </a:graphicData>
            </a:graphic>
          </wp:inline>
        </w:drawing>
      </w:r>
    </w:p>
    <w:p w14:paraId="239DE86C" w14:textId="1CB4C0E2" w:rsidR="008F7B59" w:rsidRPr="0007572B" w:rsidRDefault="008F7B59" w:rsidP="006F1659">
      <w:pPr>
        <w:spacing w:line="360" w:lineRule="auto"/>
        <w:jc w:val="both"/>
        <w:rPr>
          <w:rFonts w:ascii="Arial" w:hAnsi="Arial" w:cs="Arial"/>
          <w:sz w:val="22"/>
          <w:szCs w:val="22"/>
        </w:rPr>
        <w:sectPr w:rsidR="008F7B59" w:rsidRPr="0007572B" w:rsidSect="004833A2">
          <w:pgSz w:w="16838" w:h="11906" w:orient="landscape"/>
          <w:pgMar w:top="1080" w:right="1444" w:bottom="1416" w:left="1440" w:header="568" w:footer="567" w:gutter="0"/>
          <w:cols w:space="708"/>
          <w:docGrid w:linePitch="360"/>
        </w:sectPr>
      </w:pPr>
    </w:p>
    <w:p w14:paraId="2F5115E0" w14:textId="519C9467" w:rsidR="00F2757F" w:rsidRPr="0007572B" w:rsidRDefault="00FC62F7" w:rsidP="006F1659">
      <w:pPr>
        <w:pStyle w:val="Heading3greennumbered"/>
        <w:spacing w:line="360" w:lineRule="auto"/>
      </w:pPr>
      <w:bookmarkStart w:id="112" w:name="_Toc92894881"/>
      <w:bookmarkStart w:id="113" w:name="_Toc92895185"/>
      <w:bookmarkStart w:id="114" w:name="_Toc109922619"/>
      <w:bookmarkStart w:id="115" w:name="_Hlk109206725"/>
      <w:r w:rsidRPr="0007572B">
        <w:lastRenderedPageBreak/>
        <w:t xml:space="preserve">9 </w:t>
      </w:r>
      <w:r w:rsidR="008A21C8" w:rsidRPr="0007572B">
        <w:t>Transfers to/from</w:t>
      </w:r>
      <w:r w:rsidR="00F2757F" w:rsidRPr="0007572B">
        <w:t xml:space="preserve"> Reserves</w:t>
      </w:r>
      <w:bookmarkEnd w:id="112"/>
      <w:bookmarkEnd w:id="113"/>
      <w:bookmarkEnd w:id="114"/>
    </w:p>
    <w:p w14:paraId="3F805926" w14:textId="48D98EBE" w:rsidR="00EE467D" w:rsidRPr="00EE467D" w:rsidRDefault="00AF1740" w:rsidP="006F1659">
      <w:pPr>
        <w:spacing w:line="360" w:lineRule="auto"/>
        <w:rPr>
          <w:rFonts w:ascii="Arial" w:hAnsi="Arial" w:cs="Arial"/>
        </w:rPr>
      </w:pPr>
      <w:r w:rsidRPr="0007572B">
        <w:rPr>
          <w:rFonts w:ascii="Arial" w:hAnsi="Arial" w:cs="Arial"/>
        </w:rPr>
        <w:t>T</w:t>
      </w:r>
      <w:r w:rsidR="0060751C" w:rsidRPr="0007572B">
        <w:rPr>
          <w:rFonts w:ascii="Arial" w:hAnsi="Arial" w:cs="Arial"/>
        </w:rPr>
        <w:t>his note sets out the amounts set aside from the General Fund in reserves to provide financing for future expenditure plans and the amounts posted back from earmarked reserves to meet General Fund expenditure.</w:t>
      </w:r>
    </w:p>
    <w:p w14:paraId="0451ED6D" w14:textId="1581C95D" w:rsidR="00EC1F39" w:rsidRDefault="006216D4" w:rsidP="006F1659">
      <w:pPr>
        <w:spacing w:line="360" w:lineRule="auto"/>
      </w:pPr>
      <w:r w:rsidRPr="006216D4">
        <w:rPr>
          <w:noProof/>
        </w:rPr>
        <w:drawing>
          <wp:inline distT="0" distB="0" distL="0" distR="0" wp14:anchorId="04D2486F" wp14:editId="683914E7">
            <wp:extent cx="5305318" cy="7549116"/>
            <wp:effectExtent l="0" t="0" r="0" b="0"/>
            <wp:docPr id="67113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133" name="Picture 1">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7809" cy="7552661"/>
                    </a:xfrm>
                    <a:prstGeom prst="rect">
                      <a:avLst/>
                    </a:prstGeom>
                    <a:noFill/>
                    <a:ln>
                      <a:noFill/>
                    </a:ln>
                  </pic:spPr>
                </pic:pic>
              </a:graphicData>
            </a:graphic>
          </wp:inline>
        </w:drawing>
      </w:r>
    </w:p>
    <w:p w14:paraId="39E4AD05" w14:textId="6C24D138" w:rsidR="00BE494D" w:rsidRDefault="006216D4" w:rsidP="006F1659">
      <w:pPr>
        <w:spacing w:line="360" w:lineRule="auto"/>
      </w:pPr>
      <w:r w:rsidRPr="006216D4">
        <w:rPr>
          <w:noProof/>
        </w:rPr>
        <w:lastRenderedPageBreak/>
        <w:drawing>
          <wp:inline distT="0" distB="0" distL="0" distR="0" wp14:anchorId="1668B123" wp14:editId="116C2A57">
            <wp:extent cx="5284382" cy="5417876"/>
            <wp:effectExtent l="0" t="0" r="0" b="0"/>
            <wp:docPr id="45630659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06592" name="Picture 2">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86576" cy="5420126"/>
                    </a:xfrm>
                    <a:prstGeom prst="rect">
                      <a:avLst/>
                    </a:prstGeom>
                    <a:noFill/>
                    <a:ln>
                      <a:noFill/>
                    </a:ln>
                  </pic:spPr>
                </pic:pic>
              </a:graphicData>
            </a:graphic>
          </wp:inline>
        </w:drawing>
      </w:r>
    </w:p>
    <w:p w14:paraId="0C4A06BD" w14:textId="77777777" w:rsidR="006B05F5" w:rsidRDefault="006B05F5" w:rsidP="006F1659">
      <w:pPr>
        <w:spacing w:line="360" w:lineRule="auto"/>
      </w:pPr>
    </w:p>
    <w:p w14:paraId="593E53CC" w14:textId="77777777" w:rsidR="006B05F5" w:rsidRDefault="006B05F5" w:rsidP="006F1659">
      <w:pPr>
        <w:spacing w:line="360" w:lineRule="auto"/>
      </w:pPr>
    </w:p>
    <w:p w14:paraId="4C9387DA" w14:textId="77222827" w:rsidR="00F2757F" w:rsidRPr="0007572B" w:rsidRDefault="009A1A83" w:rsidP="006F1659">
      <w:pPr>
        <w:pStyle w:val="Heading3greennumbered"/>
        <w:spacing w:line="360" w:lineRule="auto"/>
      </w:pPr>
      <w:bookmarkStart w:id="116" w:name="_Toc92894882"/>
      <w:bookmarkStart w:id="117" w:name="_Toc92895186"/>
      <w:bookmarkStart w:id="118" w:name="_Toc109922620"/>
      <w:r>
        <w:t>9a</w:t>
      </w:r>
      <w:r w:rsidR="00FC62F7" w:rsidRPr="0007572B">
        <w:t xml:space="preserve"> </w:t>
      </w:r>
      <w:r w:rsidR="00F2757F" w:rsidRPr="0007572B">
        <w:t xml:space="preserve">Purpose of Earmarked </w:t>
      </w:r>
      <w:r w:rsidR="00F2757F" w:rsidRPr="00C76D66">
        <w:t>Reserves</w:t>
      </w:r>
      <w:bookmarkEnd w:id="116"/>
      <w:bookmarkEnd w:id="117"/>
      <w:bookmarkEnd w:id="118"/>
    </w:p>
    <w:p w14:paraId="0B396988" w14:textId="77777777" w:rsidR="005403AF" w:rsidRDefault="005403AF" w:rsidP="006F1659">
      <w:pPr>
        <w:spacing w:line="360" w:lineRule="auto"/>
        <w:rPr>
          <w:rFonts w:ascii="Arial" w:hAnsi="Arial" w:cs="Arial"/>
        </w:rPr>
      </w:pPr>
    </w:p>
    <w:p w14:paraId="018D4729" w14:textId="45D5CE35" w:rsidR="006C7BDA" w:rsidRDefault="006C7BDA" w:rsidP="006F1659">
      <w:pPr>
        <w:spacing w:line="360" w:lineRule="auto"/>
        <w:rPr>
          <w:rFonts w:ascii="Arial" w:hAnsi="Arial" w:cs="Arial"/>
        </w:rPr>
      </w:pPr>
      <w:r w:rsidRPr="0007572B">
        <w:rPr>
          <w:rFonts w:ascii="Arial" w:hAnsi="Arial" w:cs="Arial"/>
        </w:rPr>
        <w:t>The purpose and operation of the reserves are as follows</w:t>
      </w:r>
      <w:r w:rsidR="00160785">
        <w:rPr>
          <w:rFonts w:ascii="Arial" w:hAnsi="Arial" w:cs="Arial"/>
        </w:rPr>
        <w:t>:</w:t>
      </w:r>
    </w:p>
    <w:p w14:paraId="7EDFF0FA" w14:textId="77777777" w:rsidR="00DD2F61" w:rsidRDefault="00DD2F61" w:rsidP="006F1659">
      <w:pPr>
        <w:spacing w:line="360" w:lineRule="auto"/>
        <w:rPr>
          <w:rFonts w:ascii="Arial" w:hAnsi="Arial" w:cs="Arial"/>
        </w:rPr>
      </w:pPr>
    </w:p>
    <w:p w14:paraId="23A1D714" w14:textId="53AF7B8B" w:rsidR="00994C6B" w:rsidRPr="00DD2F61" w:rsidRDefault="00DD2F61" w:rsidP="006F1659">
      <w:pPr>
        <w:spacing w:line="360" w:lineRule="auto"/>
        <w:rPr>
          <w:rFonts w:ascii="Arial" w:hAnsi="Arial" w:cs="Arial"/>
          <w:b/>
          <w:bCs/>
        </w:rPr>
      </w:pPr>
      <w:r w:rsidRPr="00DD2F61">
        <w:rPr>
          <w:rFonts w:ascii="Arial" w:hAnsi="Arial" w:cs="Arial"/>
          <w:b/>
          <w:bCs/>
        </w:rPr>
        <w:t>Economic Development and Regeneration Reserves</w:t>
      </w:r>
    </w:p>
    <w:tbl>
      <w:tblPr>
        <w:tblStyle w:val="TableGrid"/>
        <w:tblW w:w="9016" w:type="dxa"/>
        <w:tblInd w:w="-5" w:type="dxa"/>
        <w:tblLook w:val="04A0" w:firstRow="1" w:lastRow="0" w:firstColumn="1" w:lastColumn="0" w:noHBand="0" w:noVBand="1"/>
      </w:tblPr>
      <w:tblGrid>
        <w:gridCol w:w="2694"/>
        <w:gridCol w:w="6322"/>
      </w:tblGrid>
      <w:tr w:rsidR="008664B6" w:rsidRPr="00CE36C3" w14:paraId="5FBED946" w14:textId="77777777" w:rsidTr="008664B6">
        <w:tc>
          <w:tcPr>
            <w:tcW w:w="2694" w:type="dxa"/>
          </w:tcPr>
          <w:bookmarkEnd w:id="115"/>
          <w:p w14:paraId="44151195" w14:textId="77777777" w:rsidR="008664B6" w:rsidRPr="00CE36C3" w:rsidRDefault="008664B6" w:rsidP="006F1659">
            <w:pPr>
              <w:spacing w:line="360" w:lineRule="auto"/>
              <w:rPr>
                <w:rFonts w:ascii="Arial" w:hAnsi="Arial" w:cs="Arial"/>
                <w:color w:val="000000" w:themeColor="text1"/>
              </w:rPr>
            </w:pPr>
            <w:proofErr w:type="spellStart"/>
            <w:r w:rsidRPr="00CE36C3">
              <w:rPr>
                <w:rFonts w:ascii="Arial" w:hAnsi="Arial" w:cs="Arial"/>
                <w:color w:val="000000" w:themeColor="text1"/>
              </w:rPr>
              <w:t>Earnback</w:t>
            </w:r>
            <w:proofErr w:type="spellEnd"/>
            <w:r w:rsidRPr="00CE36C3">
              <w:rPr>
                <w:rFonts w:ascii="Arial" w:hAnsi="Arial" w:cs="Arial"/>
                <w:color w:val="000000" w:themeColor="text1"/>
              </w:rPr>
              <w:t xml:space="preserve"> Revenue Reserve </w:t>
            </w:r>
          </w:p>
        </w:tc>
        <w:tc>
          <w:tcPr>
            <w:tcW w:w="6322" w:type="dxa"/>
          </w:tcPr>
          <w:p w14:paraId="7750544C" w14:textId="28A8B7B8" w:rsidR="008664B6" w:rsidRPr="00CE36C3" w:rsidRDefault="008664B6" w:rsidP="006F1659">
            <w:pPr>
              <w:spacing w:line="360" w:lineRule="auto"/>
              <w:rPr>
                <w:rFonts w:ascii="Arial" w:hAnsi="Arial" w:cs="Arial"/>
                <w:color w:val="000000" w:themeColor="text1"/>
              </w:rPr>
            </w:pPr>
            <w:r w:rsidRPr="00CE36C3">
              <w:rPr>
                <w:rFonts w:ascii="Arial" w:hAnsi="Arial" w:cs="Arial"/>
                <w:color w:val="000000" w:themeColor="text1"/>
              </w:rPr>
              <w:t>Funding from the devolution deal to be used for infrastructure investment.</w:t>
            </w:r>
          </w:p>
        </w:tc>
      </w:tr>
      <w:tr w:rsidR="008664B6" w:rsidRPr="00CE36C3" w14:paraId="18E3E538" w14:textId="77777777" w:rsidTr="008664B6">
        <w:tc>
          <w:tcPr>
            <w:tcW w:w="2694" w:type="dxa"/>
          </w:tcPr>
          <w:p w14:paraId="37A24166" w14:textId="77777777" w:rsidR="008664B6" w:rsidRPr="00CE36C3" w:rsidRDefault="008664B6" w:rsidP="006F1659">
            <w:pPr>
              <w:spacing w:line="360" w:lineRule="auto"/>
              <w:rPr>
                <w:rFonts w:ascii="Arial" w:hAnsi="Arial" w:cs="Arial"/>
                <w:color w:val="000000" w:themeColor="text1"/>
              </w:rPr>
            </w:pPr>
            <w:r w:rsidRPr="00CE36C3">
              <w:rPr>
                <w:rFonts w:ascii="Arial" w:hAnsi="Arial" w:cs="Arial"/>
                <w:color w:val="000000" w:themeColor="text1"/>
                <w:lang w:eastAsia="en-GB"/>
              </w:rPr>
              <w:t>Life Chances Reserve</w:t>
            </w:r>
          </w:p>
        </w:tc>
        <w:tc>
          <w:tcPr>
            <w:tcW w:w="6322" w:type="dxa"/>
          </w:tcPr>
          <w:p w14:paraId="66B3C044" w14:textId="6B9CD027" w:rsidR="008664B6" w:rsidRPr="00CE36C3" w:rsidRDefault="008664B6" w:rsidP="006F1659">
            <w:pPr>
              <w:spacing w:line="360" w:lineRule="auto"/>
              <w:rPr>
                <w:rFonts w:ascii="Arial" w:hAnsi="Arial" w:cs="Arial"/>
                <w:color w:val="000000" w:themeColor="text1"/>
              </w:rPr>
            </w:pPr>
            <w:r w:rsidRPr="00CE36C3">
              <w:rPr>
                <w:rFonts w:ascii="Arial" w:hAnsi="Arial" w:cs="Arial"/>
                <w:color w:val="000000" w:themeColor="text1"/>
              </w:rPr>
              <w:t xml:space="preserve">Funding to help people in society who face the most significant barriers to leading happy and productive lives. </w:t>
            </w:r>
            <w:r w:rsidRPr="00CE36C3">
              <w:rPr>
                <w:rFonts w:ascii="Arial" w:hAnsi="Arial" w:cs="Arial"/>
                <w:color w:val="000000" w:themeColor="text1"/>
              </w:rPr>
              <w:lastRenderedPageBreak/>
              <w:t>It will provide top-up contributions to outcomes-based contracts involving social investment e.g. SIB's.</w:t>
            </w:r>
          </w:p>
        </w:tc>
      </w:tr>
      <w:tr w:rsidR="008664B6" w:rsidRPr="00CE36C3" w14:paraId="538D5093" w14:textId="77777777" w:rsidTr="008664B6">
        <w:trPr>
          <w:trHeight w:val="200"/>
        </w:trPr>
        <w:tc>
          <w:tcPr>
            <w:tcW w:w="2694" w:type="dxa"/>
            <w:hideMark/>
          </w:tcPr>
          <w:p w14:paraId="79DD5A20"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lastRenderedPageBreak/>
              <w:t>GM Clean Air Plan Reserve</w:t>
            </w:r>
          </w:p>
        </w:tc>
        <w:tc>
          <w:tcPr>
            <w:tcW w:w="6322" w:type="dxa"/>
          </w:tcPr>
          <w:p w14:paraId="3BD77416"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Funding to support the work to improve air quality across GM and to develop a local plan to ensure the UK achieves compliance with legal limits for nitrogen dioxide in the shortest possible time.</w:t>
            </w:r>
          </w:p>
        </w:tc>
      </w:tr>
      <w:tr w:rsidR="008664B6" w:rsidRPr="00CE36C3" w14:paraId="59014715" w14:textId="77777777" w:rsidTr="008664B6">
        <w:trPr>
          <w:trHeight w:val="200"/>
        </w:trPr>
        <w:tc>
          <w:tcPr>
            <w:tcW w:w="2694" w:type="dxa"/>
          </w:tcPr>
          <w:p w14:paraId="6F58F669" w14:textId="77777777" w:rsidR="008664B6" w:rsidRPr="00CE36C3" w:rsidRDefault="008664B6" w:rsidP="006F1659">
            <w:pPr>
              <w:spacing w:line="360" w:lineRule="auto"/>
              <w:rPr>
                <w:rFonts w:ascii="Arial" w:hAnsi="Arial" w:cs="Arial"/>
                <w:color w:val="000000" w:themeColor="text1"/>
              </w:rPr>
            </w:pPr>
            <w:r w:rsidRPr="00CE36C3">
              <w:rPr>
                <w:rFonts w:ascii="Arial" w:hAnsi="Arial" w:cs="Arial"/>
                <w:color w:val="000000" w:themeColor="text1"/>
              </w:rPr>
              <w:t xml:space="preserve">Capability Fund </w:t>
            </w:r>
          </w:p>
        </w:tc>
        <w:tc>
          <w:tcPr>
            <w:tcW w:w="6322" w:type="dxa"/>
          </w:tcPr>
          <w:p w14:paraId="42F20046" w14:textId="77777777" w:rsidR="008664B6" w:rsidRPr="00CE36C3" w:rsidRDefault="008664B6" w:rsidP="006F1659">
            <w:pPr>
              <w:spacing w:line="360" w:lineRule="auto"/>
              <w:rPr>
                <w:rFonts w:ascii="Arial" w:hAnsi="Arial" w:cs="Arial"/>
                <w:color w:val="000000" w:themeColor="text1"/>
              </w:rPr>
            </w:pPr>
            <w:r w:rsidRPr="00CE36C3">
              <w:rPr>
                <w:rFonts w:ascii="Arial" w:hAnsi="Arial" w:cs="Arial"/>
                <w:color w:val="000000" w:themeColor="text1"/>
              </w:rPr>
              <w:t xml:space="preserve">Funding to increase the capabilities of Local Authorities to plan active travel infrastructure (walking and cycling), including building more expertise and undertaking more evidence- based planning. </w:t>
            </w:r>
          </w:p>
        </w:tc>
      </w:tr>
      <w:tr w:rsidR="008664B6" w:rsidRPr="00CE36C3" w14:paraId="00DD2C28" w14:textId="77777777" w:rsidTr="008664B6">
        <w:trPr>
          <w:trHeight w:val="200"/>
        </w:trPr>
        <w:tc>
          <w:tcPr>
            <w:tcW w:w="2694" w:type="dxa"/>
            <w:hideMark/>
          </w:tcPr>
          <w:p w14:paraId="2110DFAD"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Growing Places Fund Reserve</w:t>
            </w:r>
          </w:p>
        </w:tc>
        <w:tc>
          <w:tcPr>
            <w:tcW w:w="6322" w:type="dxa"/>
          </w:tcPr>
          <w:p w14:paraId="1F61AAAB"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Funding to establish revolving investment funds, promoting a long term locally led solution to local infrastructure constraints.</w:t>
            </w:r>
          </w:p>
        </w:tc>
      </w:tr>
      <w:tr w:rsidR="008664B6" w:rsidRPr="00CE36C3" w14:paraId="6D338815" w14:textId="77777777" w:rsidTr="008664B6">
        <w:trPr>
          <w:trHeight w:val="200"/>
        </w:trPr>
        <w:tc>
          <w:tcPr>
            <w:tcW w:w="2694" w:type="dxa"/>
            <w:hideMark/>
          </w:tcPr>
          <w:p w14:paraId="3FF39954"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GPF-RGF Interest and Arrangement Fees Reserve</w:t>
            </w:r>
          </w:p>
        </w:tc>
        <w:tc>
          <w:tcPr>
            <w:tcW w:w="6322" w:type="dxa"/>
          </w:tcPr>
          <w:p w14:paraId="7F4DF817"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Interest earned on income received in advance will be re-invested within the fund as per grant conditions and arrangement fees may be off set against specific costs associated with the making of the loans.</w:t>
            </w:r>
          </w:p>
        </w:tc>
      </w:tr>
      <w:tr w:rsidR="008664B6" w:rsidRPr="00CE36C3" w14:paraId="1405056F" w14:textId="77777777" w:rsidTr="008664B6">
        <w:trPr>
          <w:trHeight w:val="200"/>
        </w:trPr>
        <w:tc>
          <w:tcPr>
            <w:tcW w:w="2694" w:type="dxa"/>
            <w:hideMark/>
          </w:tcPr>
          <w:p w14:paraId="6CF88609"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Churchgate Accommodation Reserve</w:t>
            </w:r>
          </w:p>
        </w:tc>
        <w:tc>
          <w:tcPr>
            <w:tcW w:w="6322" w:type="dxa"/>
          </w:tcPr>
          <w:p w14:paraId="153B0394"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Earmarked funding to manage risk with shared accommodation in the Tootal Building and to develop the repurposing of the building.</w:t>
            </w:r>
          </w:p>
        </w:tc>
      </w:tr>
      <w:tr w:rsidR="008664B6" w:rsidRPr="00CE36C3" w14:paraId="63C7A87F" w14:textId="77777777" w:rsidTr="008664B6">
        <w:trPr>
          <w:trHeight w:val="200"/>
        </w:trPr>
        <w:tc>
          <w:tcPr>
            <w:tcW w:w="2694" w:type="dxa"/>
            <w:hideMark/>
          </w:tcPr>
          <w:p w14:paraId="1FAE1D70"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Adult Education Budget Devolution</w:t>
            </w:r>
          </w:p>
        </w:tc>
        <w:tc>
          <w:tcPr>
            <w:tcW w:w="6322" w:type="dxa"/>
          </w:tcPr>
          <w:p w14:paraId="75AC084F" w14:textId="6021DD94"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Funds adult further education (all 19yrs+ provision with the exception of apprenticeships/traineeships), community learning and discretionary learner support.  Supports the local labour market and economic development</w:t>
            </w:r>
            <w:r w:rsidR="00692F29">
              <w:rPr>
                <w:rFonts w:ascii="Arial" w:hAnsi="Arial" w:cs="Arial"/>
                <w:color w:val="000000" w:themeColor="text1"/>
              </w:rPr>
              <w:t>;</w:t>
            </w:r>
            <w:r w:rsidRPr="00CE36C3">
              <w:rPr>
                <w:rFonts w:ascii="Arial" w:hAnsi="Arial" w:cs="Arial"/>
                <w:color w:val="000000" w:themeColor="text1"/>
              </w:rPr>
              <w:t xml:space="preserve"> in particular, it focuses on ensuring that adults have the core skills that they need for progression in learning and work, including guaranteeing a number of statutory entitlements relating to English, Maths and digital skills, as well as first level 2 and 3 qualifications and English for Speakers of Other Languages (ESOL).</w:t>
            </w:r>
          </w:p>
        </w:tc>
      </w:tr>
      <w:tr w:rsidR="008664B6" w:rsidRPr="00CE36C3" w14:paraId="287BC1A3" w14:textId="77777777" w:rsidTr="008664B6">
        <w:trPr>
          <w:trHeight w:val="200"/>
        </w:trPr>
        <w:tc>
          <w:tcPr>
            <w:tcW w:w="2694" w:type="dxa"/>
            <w:hideMark/>
          </w:tcPr>
          <w:p w14:paraId="7D97FC41"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Capital Programme Reserve</w:t>
            </w:r>
          </w:p>
        </w:tc>
        <w:tc>
          <w:tcPr>
            <w:tcW w:w="6322" w:type="dxa"/>
          </w:tcPr>
          <w:p w14:paraId="4AB54DF0"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Surpluses of capital financing costs which have been set aside to fund future capital programme related expenditure.</w:t>
            </w:r>
          </w:p>
        </w:tc>
      </w:tr>
      <w:tr w:rsidR="008664B6" w:rsidRPr="00CE36C3" w14:paraId="3CCF8F07" w14:textId="77777777" w:rsidTr="008664B6">
        <w:trPr>
          <w:trHeight w:val="1065"/>
        </w:trPr>
        <w:tc>
          <w:tcPr>
            <w:tcW w:w="2694" w:type="dxa"/>
            <w:hideMark/>
          </w:tcPr>
          <w:p w14:paraId="2EC04EB3"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lastRenderedPageBreak/>
              <w:t>Business rates Growth Pilot &amp; Levy</w:t>
            </w:r>
          </w:p>
        </w:tc>
        <w:tc>
          <w:tcPr>
            <w:tcW w:w="6322" w:type="dxa"/>
          </w:tcPr>
          <w:p w14:paraId="2298039E"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Revenue funding to support Greater Manchester strategic priorities, particularly for revenue expenditure on scheme development costs not able to be capitalised.</w:t>
            </w:r>
          </w:p>
        </w:tc>
      </w:tr>
      <w:tr w:rsidR="008664B6" w:rsidRPr="00CE36C3" w14:paraId="649E61A1" w14:textId="77777777" w:rsidTr="008664B6">
        <w:trPr>
          <w:trHeight w:val="200"/>
        </w:trPr>
        <w:tc>
          <w:tcPr>
            <w:tcW w:w="2694" w:type="dxa"/>
            <w:hideMark/>
          </w:tcPr>
          <w:p w14:paraId="01AED617"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Housing Investment Fund (HIF) Interest and Arrangement Fees</w:t>
            </w:r>
          </w:p>
        </w:tc>
        <w:tc>
          <w:tcPr>
            <w:tcW w:w="6322" w:type="dxa"/>
          </w:tcPr>
          <w:p w14:paraId="2B57DBF7" w14:textId="0580D39B" w:rsidR="008664B6" w:rsidRPr="00CE36C3" w:rsidRDefault="008664B6" w:rsidP="006F1659">
            <w:pPr>
              <w:spacing w:line="360" w:lineRule="auto"/>
              <w:rPr>
                <w:rFonts w:ascii="Arial" w:hAnsi="Arial" w:cs="Arial"/>
                <w:color w:val="000000" w:themeColor="text1"/>
              </w:rPr>
            </w:pPr>
            <w:r w:rsidRPr="00CE36C3">
              <w:rPr>
                <w:rFonts w:ascii="Arial" w:hAnsi="Arial" w:cs="Arial"/>
                <w:color w:val="000000" w:themeColor="text1"/>
              </w:rPr>
              <w:t xml:space="preserve">Interest, arrangement fees and other income earned from loans funded by the funding agreement with </w:t>
            </w:r>
            <w:r w:rsidR="00692F29">
              <w:rPr>
                <w:rFonts w:ascii="Arial" w:hAnsi="Arial" w:cs="Arial"/>
                <w:color w:val="000000" w:themeColor="text1"/>
              </w:rPr>
              <w:t>Department</w:t>
            </w:r>
            <w:r w:rsidRPr="00CE36C3">
              <w:rPr>
                <w:rFonts w:ascii="Arial" w:hAnsi="Arial" w:cs="Arial"/>
                <w:color w:val="000000" w:themeColor="text1"/>
              </w:rPr>
              <w:t xml:space="preserve"> for </w:t>
            </w:r>
            <w:r w:rsidR="00692F29">
              <w:rPr>
                <w:rFonts w:ascii="Arial" w:hAnsi="Arial" w:cs="Arial"/>
                <w:color w:val="000000" w:themeColor="text1"/>
              </w:rPr>
              <w:t xml:space="preserve">Levelling Up, </w:t>
            </w:r>
            <w:r w:rsidRPr="00CE36C3">
              <w:rPr>
                <w:rFonts w:ascii="Arial" w:hAnsi="Arial" w:cs="Arial"/>
                <w:color w:val="000000" w:themeColor="text1"/>
              </w:rPr>
              <w:t>Homes</w:t>
            </w:r>
            <w:r w:rsidR="00692F29">
              <w:rPr>
                <w:rFonts w:ascii="Arial" w:hAnsi="Arial" w:cs="Arial"/>
                <w:color w:val="000000" w:themeColor="text1"/>
              </w:rPr>
              <w:t xml:space="preserve"> and</w:t>
            </w:r>
            <w:r w:rsidRPr="00CE36C3">
              <w:rPr>
                <w:rFonts w:ascii="Arial" w:hAnsi="Arial" w:cs="Arial"/>
                <w:color w:val="000000" w:themeColor="text1"/>
              </w:rPr>
              <w:t xml:space="preserve"> Communities. With the surplus to be used to support the GM housing strategy.</w:t>
            </w:r>
          </w:p>
        </w:tc>
      </w:tr>
      <w:tr w:rsidR="008664B6" w:rsidRPr="00CE36C3" w14:paraId="4358A948" w14:textId="77777777" w:rsidTr="008664B6">
        <w:trPr>
          <w:trHeight w:val="200"/>
        </w:trPr>
        <w:tc>
          <w:tcPr>
            <w:tcW w:w="2694" w:type="dxa"/>
            <w:hideMark/>
          </w:tcPr>
          <w:p w14:paraId="2B145899"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lang w:eastAsia="en-GB"/>
              </w:rPr>
              <w:t>Low Carbon Resource</w:t>
            </w:r>
          </w:p>
        </w:tc>
        <w:tc>
          <w:tcPr>
            <w:tcW w:w="6322" w:type="dxa"/>
          </w:tcPr>
          <w:p w14:paraId="4697A9C4" w14:textId="004D3CC6"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lang w:eastAsia="en-GB"/>
              </w:rPr>
              <w:t>Funding to manage short term funding risk and support various Low Carbon Programmes</w:t>
            </w:r>
            <w:r w:rsidR="00692F29">
              <w:rPr>
                <w:rFonts w:ascii="Arial" w:hAnsi="Arial" w:cs="Arial"/>
                <w:color w:val="000000" w:themeColor="text1"/>
                <w:lang w:eastAsia="en-GB"/>
              </w:rPr>
              <w:t>.</w:t>
            </w:r>
          </w:p>
        </w:tc>
      </w:tr>
      <w:tr w:rsidR="008664B6" w:rsidRPr="00CE36C3" w14:paraId="50EF15B9" w14:textId="77777777" w:rsidTr="008664B6">
        <w:trPr>
          <w:trHeight w:val="200"/>
        </w:trPr>
        <w:tc>
          <w:tcPr>
            <w:tcW w:w="2694" w:type="dxa"/>
          </w:tcPr>
          <w:p w14:paraId="6252FC6F"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lang w:eastAsia="en-GB"/>
              </w:rPr>
              <w:t>Work &amp; Skills - Working Well Reserve</w:t>
            </w:r>
          </w:p>
        </w:tc>
        <w:tc>
          <w:tcPr>
            <w:tcW w:w="6322" w:type="dxa"/>
          </w:tcPr>
          <w:p w14:paraId="24AB0BC4" w14:textId="7E350C4E" w:rsidR="008664B6" w:rsidRPr="00CE36C3" w:rsidRDefault="008664B6" w:rsidP="006F1659">
            <w:pPr>
              <w:spacing w:line="360" w:lineRule="auto"/>
              <w:rPr>
                <w:rFonts w:ascii="Arial" w:hAnsi="Arial" w:cs="Arial"/>
                <w:color w:val="000000" w:themeColor="text1"/>
              </w:rPr>
            </w:pPr>
            <w:r w:rsidRPr="00CE36C3">
              <w:rPr>
                <w:rFonts w:ascii="Arial" w:hAnsi="Arial" w:cs="Arial"/>
                <w:color w:val="000000" w:themeColor="text1"/>
              </w:rPr>
              <w:t>To support the Work &amp; Health Programme which helps those in long</w:t>
            </w:r>
            <w:r w:rsidR="00F3496D">
              <w:rPr>
                <w:rFonts w:ascii="Arial" w:hAnsi="Arial" w:cs="Arial"/>
                <w:color w:val="000000" w:themeColor="text1"/>
              </w:rPr>
              <w:t xml:space="preserve"> </w:t>
            </w:r>
            <w:r w:rsidRPr="00CE36C3">
              <w:rPr>
                <w:rFonts w:ascii="Arial" w:hAnsi="Arial" w:cs="Arial"/>
                <w:color w:val="000000" w:themeColor="text1"/>
              </w:rPr>
              <w:t>term unemployment and with disabilities into work.</w:t>
            </w:r>
          </w:p>
        </w:tc>
      </w:tr>
      <w:tr w:rsidR="008664B6" w:rsidRPr="00CE36C3" w14:paraId="1D2B6F06" w14:textId="77777777" w:rsidTr="008664B6">
        <w:trPr>
          <w:trHeight w:val="200"/>
        </w:trPr>
        <w:tc>
          <w:tcPr>
            <w:tcW w:w="2694" w:type="dxa"/>
          </w:tcPr>
          <w:p w14:paraId="7F214AE5"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Youth Contract Reserve</w:t>
            </w:r>
          </w:p>
        </w:tc>
        <w:tc>
          <w:tcPr>
            <w:tcW w:w="6322" w:type="dxa"/>
          </w:tcPr>
          <w:p w14:paraId="3B433A96" w14:textId="06E21EAE"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Funding to be used on initiatives to tackle youth unemployment for 18</w:t>
            </w:r>
            <w:r w:rsidR="00692F29">
              <w:rPr>
                <w:rFonts w:ascii="Arial" w:hAnsi="Arial" w:cs="Arial"/>
                <w:color w:val="000000" w:themeColor="text1"/>
              </w:rPr>
              <w:t>-</w:t>
            </w:r>
            <w:r w:rsidRPr="00CE36C3">
              <w:rPr>
                <w:rFonts w:ascii="Arial" w:hAnsi="Arial" w:cs="Arial"/>
                <w:color w:val="000000" w:themeColor="text1"/>
              </w:rPr>
              <w:t>24</w:t>
            </w:r>
            <w:r w:rsidR="00692F29">
              <w:rPr>
                <w:rFonts w:ascii="Arial" w:hAnsi="Arial" w:cs="Arial"/>
                <w:color w:val="000000" w:themeColor="text1"/>
              </w:rPr>
              <w:t xml:space="preserve"> </w:t>
            </w:r>
            <w:r w:rsidRPr="00CE36C3">
              <w:rPr>
                <w:rFonts w:ascii="Arial" w:hAnsi="Arial" w:cs="Arial"/>
                <w:color w:val="000000" w:themeColor="text1"/>
              </w:rPr>
              <w:t>year-olds.</w:t>
            </w:r>
          </w:p>
        </w:tc>
      </w:tr>
      <w:tr w:rsidR="008664B6" w:rsidRPr="00CE36C3" w14:paraId="229BFAC9" w14:textId="77777777" w:rsidTr="008664B6">
        <w:trPr>
          <w:trHeight w:val="200"/>
        </w:trPr>
        <w:tc>
          <w:tcPr>
            <w:tcW w:w="2694" w:type="dxa"/>
          </w:tcPr>
          <w:p w14:paraId="264F0D8D"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A Bed Every Night</w:t>
            </w:r>
          </w:p>
        </w:tc>
        <w:tc>
          <w:tcPr>
            <w:tcW w:w="6322" w:type="dxa"/>
          </w:tcPr>
          <w:p w14:paraId="41C7A1EE" w14:textId="37EF66D1"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 xml:space="preserve">Funding to support GM Mayor's Charity A Bed Every Night scheme. Works to assist those who are sleeping rough in Greater Manchester into warm, safe, and supported accommodation. </w:t>
            </w:r>
          </w:p>
        </w:tc>
      </w:tr>
      <w:tr w:rsidR="008664B6" w:rsidRPr="00CE36C3" w14:paraId="73C52876" w14:textId="77777777" w:rsidTr="008664B6">
        <w:trPr>
          <w:trHeight w:val="200"/>
        </w:trPr>
        <w:tc>
          <w:tcPr>
            <w:tcW w:w="2694" w:type="dxa"/>
          </w:tcPr>
          <w:p w14:paraId="54F0A3E5"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Ageing Well Programme</w:t>
            </w:r>
          </w:p>
        </w:tc>
        <w:tc>
          <w:tcPr>
            <w:tcW w:w="6322" w:type="dxa"/>
          </w:tcPr>
          <w:p w14:paraId="2ECC6ED8"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Funding to support the Ageing Well Programme.</w:t>
            </w:r>
          </w:p>
        </w:tc>
      </w:tr>
      <w:tr w:rsidR="008664B6" w:rsidRPr="00CE36C3" w14:paraId="03116B68" w14:textId="77777777" w:rsidTr="008664B6">
        <w:trPr>
          <w:trHeight w:val="200"/>
        </w:trPr>
        <w:tc>
          <w:tcPr>
            <w:tcW w:w="2694" w:type="dxa"/>
          </w:tcPr>
          <w:p w14:paraId="6DAE2875"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GM Covid Fund</w:t>
            </w:r>
          </w:p>
        </w:tc>
        <w:tc>
          <w:tcPr>
            <w:tcW w:w="6322" w:type="dxa"/>
          </w:tcPr>
          <w:p w14:paraId="4D52F86E" w14:textId="5B913526"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Funding to support GMCA Corporate costs as a result of COVID</w:t>
            </w:r>
            <w:r w:rsidR="00252539">
              <w:rPr>
                <w:rFonts w:ascii="Arial" w:hAnsi="Arial" w:cs="Arial"/>
                <w:color w:val="000000" w:themeColor="text1"/>
              </w:rPr>
              <w:t>-19</w:t>
            </w:r>
            <w:r w:rsidRPr="00CE36C3">
              <w:rPr>
                <w:rFonts w:ascii="Arial" w:hAnsi="Arial" w:cs="Arial"/>
                <w:color w:val="000000" w:themeColor="text1"/>
              </w:rPr>
              <w:t>.</w:t>
            </w:r>
          </w:p>
        </w:tc>
      </w:tr>
      <w:tr w:rsidR="008664B6" w:rsidRPr="00CE36C3" w14:paraId="35B9991F" w14:textId="77777777" w:rsidTr="008664B6">
        <w:trPr>
          <w:trHeight w:val="180"/>
        </w:trPr>
        <w:tc>
          <w:tcPr>
            <w:tcW w:w="2694" w:type="dxa"/>
            <w:hideMark/>
          </w:tcPr>
          <w:p w14:paraId="4E522748"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lang w:eastAsia="en-GB"/>
              </w:rPr>
              <w:t>Work &amp; Skills - Central Reserve</w:t>
            </w:r>
          </w:p>
        </w:tc>
        <w:tc>
          <w:tcPr>
            <w:tcW w:w="6322" w:type="dxa"/>
          </w:tcPr>
          <w:p w14:paraId="40B9DF55" w14:textId="764831D2"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lang w:eastAsia="en-GB"/>
              </w:rPr>
              <w:t>Funding to support various Work &amp; Skills programmes (such as Skills Advisory Panels and the Future Workforce Fund)</w:t>
            </w:r>
            <w:r w:rsidR="00692F29">
              <w:rPr>
                <w:rFonts w:ascii="Arial" w:hAnsi="Arial" w:cs="Arial"/>
                <w:color w:val="000000" w:themeColor="text1"/>
                <w:lang w:eastAsia="en-GB"/>
              </w:rPr>
              <w:t>.</w:t>
            </w:r>
          </w:p>
        </w:tc>
      </w:tr>
      <w:tr w:rsidR="008664B6" w:rsidRPr="00CE36C3" w14:paraId="1B2A7A93" w14:textId="77777777" w:rsidTr="008664B6">
        <w:trPr>
          <w:trHeight w:val="200"/>
        </w:trPr>
        <w:tc>
          <w:tcPr>
            <w:tcW w:w="2694" w:type="dxa"/>
            <w:hideMark/>
          </w:tcPr>
          <w:p w14:paraId="2C33FA8D" w14:textId="4B43C35B"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lang w:eastAsia="en-GB"/>
              </w:rPr>
              <w:t>GMICB</w:t>
            </w:r>
            <w:r w:rsidR="00692F29">
              <w:rPr>
                <w:rFonts w:ascii="Arial" w:hAnsi="Arial" w:cs="Arial"/>
                <w:color w:val="000000" w:themeColor="text1"/>
                <w:lang w:eastAsia="en-GB"/>
              </w:rPr>
              <w:t xml:space="preserve"> </w:t>
            </w:r>
            <w:r w:rsidRPr="00CE36C3">
              <w:rPr>
                <w:rFonts w:ascii="Arial" w:hAnsi="Arial" w:cs="Arial"/>
                <w:color w:val="000000" w:themeColor="text1"/>
                <w:lang w:eastAsia="en-GB"/>
              </w:rPr>
              <w:t>- Improving School Readiness</w:t>
            </w:r>
          </w:p>
        </w:tc>
        <w:tc>
          <w:tcPr>
            <w:tcW w:w="6322" w:type="dxa"/>
          </w:tcPr>
          <w:p w14:paraId="611FC737" w14:textId="4AAC3395"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lang w:eastAsia="en-GB"/>
              </w:rPr>
              <w:t xml:space="preserve">Funding to support </w:t>
            </w:r>
            <w:r w:rsidRPr="00CE36C3">
              <w:rPr>
                <w:rFonts w:ascii="Arial" w:hAnsi="Arial" w:cs="Arial"/>
                <w:color w:val="000000" w:themeColor="text1"/>
              </w:rPr>
              <w:t>School Readiness programmes. Aim to</w:t>
            </w:r>
            <w:r w:rsidRPr="00CE36C3">
              <w:rPr>
                <w:rFonts w:ascii="Arial" w:hAnsi="Arial" w:cs="Arial"/>
                <w:color w:val="000000" w:themeColor="text1"/>
                <w:lang w:eastAsia="en-GB"/>
              </w:rPr>
              <w:t xml:space="preserve"> improve early years outcomes and to invest in our early years workforce to ensure they have the right skills and competencies to help children achieve their potential</w:t>
            </w:r>
            <w:r w:rsidR="00692F29">
              <w:rPr>
                <w:rFonts w:ascii="Arial" w:hAnsi="Arial" w:cs="Arial"/>
                <w:color w:val="000000" w:themeColor="text1"/>
                <w:lang w:eastAsia="en-GB"/>
              </w:rPr>
              <w:t>.</w:t>
            </w:r>
          </w:p>
        </w:tc>
      </w:tr>
      <w:tr w:rsidR="008664B6" w:rsidRPr="00CE36C3" w14:paraId="5BCA89FA" w14:textId="77777777" w:rsidTr="008664B6">
        <w:trPr>
          <w:trHeight w:val="220"/>
        </w:trPr>
        <w:tc>
          <w:tcPr>
            <w:tcW w:w="2694" w:type="dxa"/>
            <w:hideMark/>
          </w:tcPr>
          <w:p w14:paraId="47AD1AF7"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lang w:eastAsia="en-GB"/>
              </w:rPr>
              <w:t>GM District Transformation Schemes</w:t>
            </w:r>
          </w:p>
        </w:tc>
        <w:tc>
          <w:tcPr>
            <w:tcW w:w="6322" w:type="dxa"/>
          </w:tcPr>
          <w:p w14:paraId="56F04D19" w14:textId="7C702699"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lang w:eastAsia="en-GB"/>
              </w:rPr>
              <w:t>Resource to support GM</w:t>
            </w:r>
            <w:r w:rsidR="00692F29">
              <w:rPr>
                <w:rFonts w:ascii="Arial" w:hAnsi="Arial" w:cs="Arial"/>
                <w:color w:val="000000" w:themeColor="text1"/>
                <w:lang w:eastAsia="en-GB"/>
              </w:rPr>
              <w:t>-</w:t>
            </w:r>
            <w:r w:rsidRPr="00CE36C3">
              <w:rPr>
                <w:rFonts w:ascii="Arial" w:hAnsi="Arial" w:cs="Arial"/>
                <w:color w:val="000000" w:themeColor="text1"/>
                <w:lang w:eastAsia="en-GB"/>
              </w:rPr>
              <w:t>wide budget transformation and efficiency programmes led by Deputy Chief Executives.</w:t>
            </w:r>
          </w:p>
        </w:tc>
      </w:tr>
      <w:tr w:rsidR="008664B6" w:rsidRPr="00CE36C3" w14:paraId="5B0D3FB7" w14:textId="77777777" w:rsidTr="008664B6">
        <w:trPr>
          <w:trHeight w:val="220"/>
        </w:trPr>
        <w:tc>
          <w:tcPr>
            <w:tcW w:w="2694" w:type="dxa"/>
          </w:tcPr>
          <w:p w14:paraId="041C2A1E"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lastRenderedPageBreak/>
              <w:t>GM Trailblazer Reserve</w:t>
            </w:r>
          </w:p>
        </w:tc>
        <w:tc>
          <w:tcPr>
            <w:tcW w:w="6322" w:type="dxa"/>
          </w:tcPr>
          <w:p w14:paraId="478882C3" w14:textId="1C430C9B"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 xml:space="preserve">3-year project funding for homelessness prevention schemes, working closely with the </w:t>
            </w:r>
            <w:r w:rsidR="00692F29">
              <w:rPr>
                <w:rFonts w:ascii="Arial" w:hAnsi="Arial" w:cs="Arial"/>
                <w:color w:val="000000" w:themeColor="text1"/>
              </w:rPr>
              <w:t>DLUHC</w:t>
            </w:r>
            <w:r w:rsidRPr="00CE36C3">
              <w:rPr>
                <w:rFonts w:ascii="Arial" w:hAnsi="Arial" w:cs="Arial"/>
                <w:color w:val="000000" w:themeColor="text1"/>
              </w:rPr>
              <w:t xml:space="preserve"> to improve homelessness data and evidence base.</w:t>
            </w:r>
          </w:p>
        </w:tc>
      </w:tr>
      <w:tr w:rsidR="008664B6" w:rsidRPr="00CE36C3" w14:paraId="222F77EC" w14:textId="77777777" w:rsidTr="008664B6">
        <w:trPr>
          <w:trHeight w:val="200"/>
        </w:trPr>
        <w:tc>
          <w:tcPr>
            <w:tcW w:w="2694" w:type="dxa"/>
            <w:hideMark/>
          </w:tcPr>
          <w:p w14:paraId="26523742"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Brownfield Fund</w:t>
            </w:r>
          </w:p>
        </w:tc>
        <w:tc>
          <w:tcPr>
            <w:tcW w:w="6322" w:type="dxa"/>
          </w:tcPr>
          <w:p w14:paraId="3B1EA868"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 xml:space="preserve">Funding to support the construction of housing on brownfield land. </w:t>
            </w:r>
          </w:p>
        </w:tc>
      </w:tr>
    </w:tbl>
    <w:p w14:paraId="20062CE4" w14:textId="2C50026C" w:rsidR="00DA34B9" w:rsidRDefault="00DA34B9" w:rsidP="006F1659">
      <w:pPr>
        <w:spacing w:line="360" w:lineRule="auto"/>
        <w:rPr>
          <w:rFonts w:ascii="Arial" w:hAnsi="Arial" w:cs="Arial"/>
          <w:b/>
          <w:sz w:val="22"/>
          <w:szCs w:val="22"/>
        </w:rPr>
      </w:pPr>
    </w:p>
    <w:p w14:paraId="7D7A92A1" w14:textId="77C33C89" w:rsidR="00DD2F61" w:rsidRPr="00DD2F61" w:rsidRDefault="00DD2F61" w:rsidP="006F1659">
      <w:pPr>
        <w:spacing w:line="360" w:lineRule="auto"/>
        <w:rPr>
          <w:rFonts w:ascii="Arial" w:hAnsi="Arial" w:cs="Arial"/>
          <w:b/>
        </w:rPr>
      </w:pPr>
      <w:r w:rsidRPr="00DD2F61">
        <w:rPr>
          <w:rFonts w:ascii="Arial" w:hAnsi="Arial" w:cs="Arial"/>
          <w:b/>
        </w:rPr>
        <w:t>Transport Reserves</w:t>
      </w:r>
    </w:p>
    <w:tbl>
      <w:tblPr>
        <w:tblStyle w:val="TableGrid"/>
        <w:tblW w:w="0" w:type="auto"/>
        <w:tblLook w:val="04A0" w:firstRow="1" w:lastRow="0" w:firstColumn="1" w:lastColumn="0" w:noHBand="0" w:noVBand="1"/>
      </w:tblPr>
      <w:tblGrid>
        <w:gridCol w:w="2689"/>
        <w:gridCol w:w="6327"/>
      </w:tblGrid>
      <w:tr w:rsidR="008664B6" w:rsidRPr="0004017B" w14:paraId="19AD5FBC" w14:textId="77777777" w:rsidTr="00CD56C9">
        <w:tc>
          <w:tcPr>
            <w:tcW w:w="2689" w:type="dxa"/>
          </w:tcPr>
          <w:p w14:paraId="247DE02F" w14:textId="77777777" w:rsidR="008664B6" w:rsidRPr="0004017B" w:rsidRDefault="008664B6" w:rsidP="006F1659">
            <w:pPr>
              <w:spacing w:line="360" w:lineRule="auto"/>
              <w:rPr>
                <w:rFonts w:ascii="Arial" w:hAnsi="Arial" w:cs="Arial"/>
              </w:rPr>
            </w:pPr>
            <w:r w:rsidRPr="0004017B">
              <w:rPr>
                <w:rFonts w:ascii="Arial" w:hAnsi="Arial" w:cs="Arial"/>
              </w:rPr>
              <w:t>Active Travel Fund</w:t>
            </w:r>
          </w:p>
        </w:tc>
        <w:tc>
          <w:tcPr>
            <w:tcW w:w="6327" w:type="dxa"/>
          </w:tcPr>
          <w:p w14:paraId="0C0E3FAC" w14:textId="4BA7A340" w:rsidR="008664B6" w:rsidRPr="0004017B" w:rsidRDefault="008664B6" w:rsidP="006F1659">
            <w:pPr>
              <w:spacing w:line="360" w:lineRule="auto"/>
              <w:rPr>
                <w:rFonts w:ascii="Arial" w:hAnsi="Arial" w:cs="Arial"/>
              </w:rPr>
            </w:pPr>
            <w:r w:rsidRPr="00AB7814">
              <w:rPr>
                <w:rFonts w:ascii="Arial" w:hAnsi="Arial" w:cs="Arial"/>
              </w:rPr>
              <w:t>Funding to support local transport authorities with delivering cycling and walking facilities. Tranche 1, to support the installation of temporary projects as part of emergency C</w:t>
            </w:r>
            <w:r w:rsidR="00252539">
              <w:rPr>
                <w:rFonts w:ascii="Arial" w:hAnsi="Arial" w:cs="Arial"/>
              </w:rPr>
              <w:t>OVID-19</w:t>
            </w:r>
            <w:r w:rsidRPr="00AB7814">
              <w:rPr>
                <w:rFonts w:ascii="Arial" w:hAnsi="Arial" w:cs="Arial"/>
              </w:rPr>
              <w:t xml:space="preserve"> response measures; and tranche 2, for the creation of longer-term projects as part of the longer-term recovery.</w:t>
            </w:r>
          </w:p>
        </w:tc>
      </w:tr>
      <w:tr w:rsidR="008664B6" w:rsidRPr="0004017B" w14:paraId="67F9D3E8" w14:textId="77777777" w:rsidTr="00CD56C9">
        <w:tc>
          <w:tcPr>
            <w:tcW w:w="2689" w:type="dxa"/>
          </w:tcPr>
          <w:p w14:paraId="2B3E7641" w14:textId="77777777" w:rsidR="008664B6" w:rsidRPr="0004017B" w:rsidRDefault="008664B6" w:rsidP="006F1659">
            <w:pPr>
              <w:spacing w:line="360" w:lineRule="auto"/>
              <w:rPr>
                <w:rFonts w:ascii="Arial" w:hAnsi="Arial" w:cs="Arial"/>
              </w:rPr>
            </w:pPr>
            <w:r w:rsidRPr="0004017B">
              <w:rPr>
                <w:rFonts w:ascii="Arial" w:hAnsi="Arial" w:cs="Arial"/>
              </w:rPr>
              <w:t>Our Pass Reserve</w:t>
            </w:r>
          </w:p>
        </w:tc>
        <w:tc>
          <w:tcPr>
            <w:tcW w:w="6327" w:type="dxa"/>
          </w:tcPr>
          <w:p w14:paraId="164B75FB" w14:textId="77777777" w:rsidR="008664B6" w:rsidRPr="0004017B" w:rsidRDefault="008664B6" w:rsidP="006F1659">
            <w:pPr>
              <w:spacing w:line="360" w:lineRule="auto"/>
              <w:rPr>
                <w:rFonts w:ascii="Arial" w:hAnsi="Arial" w:cs="Arial"/>
              </w:rPr>
            </w:pPr>
            <w:r w:rsidRPr="0004017B">
              <w:rPr>
                <w:rFonts w:ascii="Arial" w:hAnsi="Arial" w:cs="Arial"/>
              </w:rPr>
              <w:t xml:space="preserve">Funding to support Our Pass. Membership scheme for young people who live in Greater Manchester and supports both school and care leavers. Allows young people access opportunities with free bus travel throughout Greater Manchester. </w:t>
            </w:r>
          </w:p>
        </w:tc>
      </w:tr>
      <w:tr w:rsidR="008664B6" w:rsidRPr="0004017B" w14:paraId="2716C210" w14:textId="77777777" w:rsidTr="00CD56C9">
        <w:tc>
          <w:tcPr>
            <w:tcW w:w="2689" w:type="dxa"/>
          </w:tcPr>
          <w:p w14:paraId="76434E2F" w14:textId="77777777" w:rsidR="008664B6" w:rsidRPr="0004017B" w:rsidRDefault="008664B6" w:rsidP="006F1659">
            <w:pPr>
              <w:spacing w:line="360" w:lineRule="auto"/>
              <w:rPr>
                <w:rFonts w:ascii="Arial" w:hAnsi="Arial" w:cs="Arial"/>
              </w:rPr>
            </w:pPr>
            <w:r w:rsidRPr="0004017B">
              <w:rPr>
                <w:rFonts w:ascii="Arial" w:hAnsi="Arial" w:cs="Arial"/>
              </w:rPr>
              <w:t>City Region Sustainable Transport Settlements (Revenue)</w:t>
            </w:r>
          </w:p>
        </w:tc>
        <w:tc>
          <w:tcPr>
            <w:tcW w:w="6327" w:type="dxa"/>
          </w:tcPr>
          <w:p w14:paraId="0F1B584A" w14:textId="04D49324" w:rsidR="008664B6" w:rsidRPr="0004017B" w:rsidRDefault="008664B6" w:rsidP="006F1659">
            <w:pPr>
              <w:spacing w:line="360" w:lineRule="auto"/>
              <w:rPr>
                <w:rFonts w:ascii="Arial" w:hAnsi="Arial" w:cs="Arial"/>
              </w:rPr>
            </w:pPr>
            <w:r w:rsidRPr="009B4042">
              <w:rPr>
                <w:rFonts w:ascii="Arial" w:hAnsi="Arial" w:cs="Arial"/>
              </w:rPr>
              <w:t>To support the development of CRSTS capital investment programme and build longer-term local transport planning and delivery capacity</w:t>
            </w:r>
            <w:r w:rsidR="00C06A3D">
              <w:rPr>
                <w:rFonts w:ascii="Arial" w:hAnsi="Arial" w:cs="Arial"/>
              </w:rPr>
              <w:t>.</w:t>
            </w:r>
          </w:p>
        </w:tc>
      </w:tr>
      <w:tr w:rsidR="008664B6" w:rsidRPr="0004017B" w14:paraId="5619A696" w14:textId="77777777" w:rsidTr="00CD56C9">
        <w:tc>
          <w:tcPr>
            <w:tcW w:w="2689" w:type="dxa"/>
          </w:tcPr>
          <w:p w14:paraId="2F1F959D" w14:textId="77777777" w:rsidR="008664B6" w:rsidRPr="00F24358" w:rsidRDefault="008664B6" w:rsidP="006F1659">
            <w:pPr>
              <w:spacing w:line="360" w:lineRule="auto"/>
              <w:rPr>
                <w:rFonts w:ascii="Arial" w:hAnsi="Arial" w:cs="Arial"/>
              </w:rPr>
            </w:pPr>
            <w:r w:rsidRPr="00F24358">
              <w:rPr>
                <w:rFonts w:ascii="Arial" w:hAnsi="Arial" w:cs="Arial"/>
              </w:rPr>
              <w:t>Integrated Ticketing Reserve</w:t>
            </w:r>
          </w:p>
        </w:tc>
        <w:tc>
          <w:tcPr>
            <w:tcW w:w="6327" w:type="dxa"/>
          </w:tcPr>
          <w:p w14:paraId="69BB6B8B" w14:textId="77777777" w:rsidR="008664B6" w:rsidRPr="00F24358" w:rsidRDefault="008664B6" w:rsidP="006F1659">
            <w:pPr>
              <w:spacing w:line="360" w:lineRule="auto"/>
              <w:rPr>
                <w:rFonts w:ascii="Arial" w:hAnsi="Arial" w:cs="Arial"/>
              </w:rPr>
            </w:pPr>
            <w:r w:rsidRPr="00F24358">
              <w:rPr>
                <w:rFonts w:ascii="Arial" w:hAnsi="Arial" w:cs="Arial"/>
              </w:rPr>
              <w:t>Funding to support the integrated ticketing scheme.</w:t>
            </w:r>
          </w:p>
        </w:tc>
      </w:tr>
      <w:tr w:rsidR="008664B6" w:rsidRPr="0004017B" w14:paraId="586FC29C" w14:textId="77777777" w:rsidTr="00CD56C9">
        <w:tc>
          <w:tcPr>
            <w:tcW w:w="2689" w:type="dxa"/>
          </w:tcPr>
          <w:p w14:paraId="3118A255" w14:textId="77777777" w:rsidR="008664B6" w:rsidRPr="00F24358" w:rsidRDefault="008664B6" w:rsidP="006F1659">
            <w:pPr>
              <w:spacing w:line="360" w:lineRule="auto"/>
              <w:rPr>
                <w:rFonts w:ascii="Arial" w:hAnsi="Arial" w:cs="Arial"/>
              </w:rPr>
            </w:pPr>
            <w:r w:rsidRPr="00F24358">
              <w:rPr>
                <w:rFonts w:ascii="Arial" w:hAnsi="Arial" w:cs="Arial"/>
              </w:rPr>
              <w:t>Local Transport Fund</w:t>
            </w:r>
          </w:p>
        </w:tc>
        <w:tc>
          <w:tcPr>
            <w:tcW w:w="6327" w:type="dxa"/>
          </w:tcPr>
          <w:p w14:paraId="1918688E" w14:textId="6A1D8459" w:rsidR="008664B6" w:rsidRPr="00F24358" w:rsidRDefault="008664B6" w:rsidP="006F1659">
            <w:pPr>
              <w:spacing w:line="360" w:lineRule="auto"/>
              <w:rPr>
                <w:rFonts w:ascii="Arial" w:hAnsi="Arial" w:cs="Arial"/>
              </w:rPr>
            </w:pPr>
            <w:r w:rsidRPr="00F24358">
              <w:rPr>
                <w:rFonts w:ascii="Arial" w:hAnsi="Arial" w:cs="Arial"/>
                <w:color w:val="000000"/>
                <w:lang w:eastAsia="en-GB"/>
              </w:rPr>
              <w:t>Funding provided to Local Transport Authorities for the provision of bus services which require local authority support, including tendered bus services and light rail/tram services</w:t>
            </w:r>
            <w:r w:rsidR="00C06A3D">
              <w:rPr>
                <w:rFonts w:ascii="Arial" w:hAnsi="Arial" w:cs="Arial"/>
                <w:color w:val="000000"/>
                <w:lang w:eastAsia="en-GB"/>
              </w:rPr>
              <w:t>.</w:t>
            </w:r>
          </w:p>
        </w:tc>
      </w:tr>
      <w:tr w:rsidR="008664B6" w:rsidRPr="0004017B" w14:paraId="5326A9B2" w14:textId="77777777" w:rsidTr="00CD56C9">
        <w:tc>
          <w:tcPr>
            <w:tcW w:w="2689" w:type="dxa"/>
          </w:tcPr>
          <w:p w14:paraId="5289CF42" w14:textId="77777777" w:rsidR="008664B6" w:rsidRPr="00F24358" w:rsidRDefault="008664B6" w:rsidP="006F1659">
            <w:pPr>
              <w:spacing w:line="360" w:lineRule="auto"/>
              <w:rPr>
                <w:rFonts w:ascii="Arial" w:hAnsi="Arial" w:cs="Arial"/>
              </w:rPr>
            </w:pPr>
            <w:r w:rsidRPr="00F24358">
              <w:rPr>
                <w:rFonts w:ascii="Arial" w:hAnsi="Arial" w:cs="Arial"/>
              </w:rPr>
              <w:t>BR (Highways Capital)</w:t>
            </w:r>
          </w:p>
        </w:tc>
        <w:tc>
          <w:tcPr>
            <w:tcW w:w="6327" w:type="dxa"/>
          </w:tcPr>
          <w:p w14:paraId="0BE10919" w14:textId="77777777" w:rsidR="008664B6" w:rsidRPr="00F24358" w:rsidRDefault="008664B6" w:rsidP="006F1659">
            <w:pPr>
              <w:spacing w:line="360" w:lineRule="auto"/>
              <w:rPr>
                <w:rFonts w:ascii="Arial" w:hAnsi="Arial" w:cs="Arial"/>
              </w:rPr>
            </w:pPr>
            <w:r w:rsidRPr="00F24358">
              <w:rPr>
                <w:rFonts w:ascii="Arial" w:hAnsi="Arial" w:cs="Arial"/>
                <w:lang w:eastAsia="en-GB"/>
              </w:rPr>
              <w:t>Funding settlement directly from government</w:t>
            </w:r>
            <w:r w:rsidRPr="00F24358">
              <w:rPr>
                <w:rFonts w:ascii="Arial" w:hAnsi="Arial" w:cs="Arial"/>
                <w:color w:val="000000"/>
                <w:lang w:eastAsia="en-GB"/>
              </w:rPr>
              <w:t xml:space="preserve"> as part of the single pot allocations to support</w:t>
            </w:r>
            <w:r w:rsidRPr="00F24358">
              <w:rPr>
                <w:rFonts w:ascii="Arial" w:hAnsi="Arial" w:cs="Arial"/>
                <w:lang w:eastAsia="en-GB"/>
              </w:rPr>
              <w:t xml:space="preserve"> GMCA</w:t>
            </w:r>
            <w:r w:rsidRPr="00F24358">
              <w:rPr>
                <w:rFonts w:ascii="Arial" w:hAnsi="Arial" w:cs="Arial"/>
                <w:color w:val="000000"/>
                <w:lang w:eastAsia="en-GB"/>
              </w:rPr>
              <w:t xml:space="preserve"> </w:t>
            </w:r>
            <w:r w:rsidRPr="00F24358">
              <w:rPr>
                <w:rFonts w:ascii="Arial" w:hAnsi="Arial" w:cs="Arial"/>
                <w:lang w:eastAsia="en-GB"/>
              </w:rPr>
              <w:t>services</w:t>
            </w:r>
            <w:r w:rsidRPr="00F24358">
              <w:rPr>
                <w:rFonts w:ascii="Arial" w:hAnsi="Arial" w:cs="Arial"/>
                <w:color w:val="000000"/>
                <w:lang w:eastAsia="en-GB"/>
              </w:rPr>
              <w:t>.</w:t>
            </w:r>
          </w:p>
        </w:tc>
      </w:tr>
    </w:tbl>
    <w:p w14:paraId="0D48F28D" w14:textId="77777777" w:rsidR="008664B6" w:rsidRDefault="008664B6" w:rsidP="006F1659">
      <w:pPr>
        <w:spacing w:line="360" w:lineRule="auto"/>
        <w:rPr>
          <w:rFonts w:ascii="Arial" w:hAnsi="Arial" w:cs="Arial"/>
          <w:b/>
          <w:bCs/>
        </w:rPr>
      </w:pPr>
    </w:p>
    <w:p w14:paraId="3F3F88D6" w14:textId="77777777" w:rsidR="00DD2F61" w:rsidRDefault="00DD2F61" w:rsidP="006F1659">
      <w:pPr>
        <w:spacing w:line="360" w:lineRule="auto"/>
        <w:rPr>
          <w:rFonts w:ascii="Arial" w:hAnsi="Arial" w:cs="Arial"/>
          <w:b/>
          <w:bCs/>
        </w:rPr>
      </w:pPr>
    </w:p>
    <w:p w14:paraId="2B1C69C5" w14:textId="77777777" w:rsidR="00DD2F61" w:rsidRDefault="00DD2F61" w:rsidP="006F1659">
      <w:pPr>
        <w:spacing w:line="360" w:lineRule="auto"/>
        <w:rPr>
          <w:rFonts w:ascii="Arial" w:hAnsi="Arial" w:cs="Arial"/>
          <w:b/>
          <w:bCs/>
        </w:rPr>
      </w:pPr>
    </w:p>
    <w:p w14:paraId="6DB91817" w14:textId="77777777" w:rsidR="00DD2F61" w:rsidRDefault="00DD2F61" w:rsidP="006F1659">
      <w:pPr>
        <w:spacing w:line="360" w:lineRule="auto"/>
        <w:rPr>
          <w:rFonts w:ascii="Arial" w:hAnsi="Arial" w:cs="Arial"/>
          <w:b/>
          <w:bCs/>
        </w:rPr>
      </w:pPr>
    </w:p>
    <w:p w14:paraId="06B16BDA" w14:textId="31FEBE68" w:rsidR="001F7108" w:rsidRPr="00DD2F61" w:rsidRDefault="00DD2F61" w:rsidP="006F1659">
      <w:pPr>
        <w:spacing w:line="360" w:lineRule="auto"/>
        <w:rPr>
          <w:rFonts w:ascii="Arial" w:hAnsi="Arial" w:cs="Arial"/>
          <w:b/>
        </w:rPr>
      </w:pPr>
      <w:r>
        <w:rPr>
          <w:rFonts w:ascii="Arial" w:hAnsi="Arial" w:cs="Arial"/>
          <w:b/>
        </w:rPr>
        <w:lastRenderedPageBreak/>
        <w:t>Waste</w:t>
      </w:r>
      <w:r w:rsidRPr="00DD2F61">
        <w:rPr>
          <w:rFonts w:ascii="Arial" w:hAnsi="Arial" w:cs="Arial"/>
          <w:b/>
        </w:rPr>
        <w:t xml:space="preserve"> Reserves</w:t>
      </w:r>
    </w:p>
    <w:tbl>
      <w:tblPr>
        <w:tblStyle w:val="TableGrid"/>
        <w:tblpPr w:leftFromText="180" w:rightFromText="180" w:vertAnchor="text" w:tblpY="1"/>
        <w:tblOverlap w:val="never"/>
        <w:tblW w:w="0" w:type="auto"/>
        <w:tblLook w:val="04A0" w:firstRow="1" w:lastRow="0" w:firstColumn="1" w:lastColumn="0" w:noHBand="0" w:noVBand="1"/>
      </w:tblPr>
      <w:tblGrid>
        <w:gridCol w:w="2689"/>
        <w:gridCol w:w="6327"/>
      </w:tblGrid>
      <w:tr w:rsidR="008664B6" w:rsidRPr="0004017B" w14:paraId="778C5E2B" w14:textId="77777777" w:rsidTr="00CD56C9">
        <w:trPr>
          <w:trHeight w:val="200"/>
        </w:trPr>
        <w:tc>
          <w:tcPr>
            <w:tcW w:w="2689" w:type="dxa"/>
            <w:shd w:val="clear" w:color="auto" w:fill="auto"/>
            <w:hideMark/>
          </w:tcPr>
          <w:p w14:paraId="5DE1C8DF" w14:textId="77777777" w:rsidR="008664B6" w:rsidRPr="0004017B" w:rsidRDefault="008664B6" w:rsidP="006F1659">
            <w:pPr>
              <w:spacing w:line="360" w:lineRule="auto"/>
              <w:rPr>
                <w:rFonts w:ascii="Arial" w:hAnsi="Arial" w:cs="Arial"/>
                <w:lang w:eastAsia="en-GB"/>
              </w:rPr>
            </w:pPr>
            <w:r w:rsidRPr="007D183D">
              <w:rPr>
                <w:rFonts w:ascii="Arial" w:hAnsi="Arial" w:cs="Arial"/>
              </w:rPr>
              <w:t xml:space="preserve">National Waste Strategy </w:t>
            </w:r>
          </w:p>
        </w:tc>
        <w:tc>
          <w:tcPr>
            <w:tcW w:w="6327" w:type="dxa"/>
            <w:shd w:val="clear" w:color="auto" w:fill="auto"/>
          </w:tcPr>
          <w:p w14:paraId="39E3E9C8" w14:textId="096B33FC" w:rsidR="008664B6" w:rsidRPr="007D183D" w:rsidRDefault="008664B6" w:rsidP="006F1659">
            <w:pPr>
              <w:spacing w:line="360" w:lineRule="auto"/>
              <w:rPr>
                <w:rFonts w:ascii="Arial" w:hAnsi="Arial" w:cs="Arial"/>
                <w:lang w:eastAsia="en-GB"/>
              </w:rPr>
            </w:pPr>
            <w:r w:rsidRPr="007D183D">
              <w:rPr>
                <w:rFonts w:ascii="Arial" w:hAnsi="Arial" w:cs="Arial"/>
              </w:rPr>
              <w:t>This reserve has been established to support with costs with providing responses to and implementation of the National Waste Strategy</w:t>
            </w:r>
            <w:r w:rsidR="00C06A3D">
              <w:rPr>
                <w:rFonts w:ascii="Arial" w:hAnsi="Arial" w:cs="Arial"/>
              </w:rPr>
              <w:t>.</w:t>
            </w:r>
          </w:p>
        </w:tc>
      </w:tr>
      <w:tr w:rsidR="008664B6" w:rsidRPr="0004017B" w14:paraId="0031E48D" w14:textId="77777777" w:rsidTr="00CD56C9">
        <w:trPr>
          <w:trHeight w:val="200"/>
        </w:trPr>
        <w:tc>
          <w:tcPr>
            <w:tcW w:w="2689" w:type="dxa"/>
            <w:shd w:val="clear" w:color="auto" w:fill="auto"/>
            <w:hideMark/>
          </w:tcPr>
          <w:p w14:paraId="5F058085" w14:textId="77777777" w:rsidR="008664B6" w:rsidRPr="0004017B" w:rsidRDefault="008664B6" w:rsidP="006F1659">
            <w:pPr>
              <w:spacing w:line="360" w:lineRule="auto"/>
              <w:rPr>
                <w:rFonts w:ascii="Arial" w:hAnsi="Arial" w:cs="Arial"/>
                <w:lang w:eastAsia="en-GB"/>
              </w:rPr>
            </w:pPr>
            <w:r>
              <w:rPr>
                <w:rFonts w:ascii="Arial" w:hAnsi="Arial" w:cs="Arial"/>
              </w:rPr>
              <w:t xml:space="preserve">Waste Disposal </w:t>
            </w:r>
            <w:r w:rsidRPr="006467C6">
              <w:rPr>
                <w:rFonts w:ascii="Arial" w:hAnsi="Arial" w:cs="Arial"/>
              </w:rPr>
              <w:t>Insurance Reserve</w:t>
            </w:r>
          </w:p>
        </w:tc>
        <w:tc>
          <w:tcPr>
            <w:tcW w:w="6327" w:type="dxa"/>
            <w:shd w:val="clear" w:color="auto" w:fill="auto"/>
          </w:tcPr>
          <w:p w14:paraId="7120538B" w14:textId="279A9176" w:rsidR="008664B6" w:rsidRPr="0004017B" w:rsidRDefault="008664B6" w:rsidP="006F1659">
            <w:pPr>
              <w:spacing w:line="360" w:lineRule="auto"/>
              <w:rPr>
                <w:rFonts w:ascii="Arial" w:hAnsi="Arial" w:cs="Arial"/>
                <w:lang w:eastAsia="en-GB"/>
              </w:rPr>
            </w:pPr>
            <w:r w:rsidRPr="006467C6">
              <w:rPr>
                <w:rFonts w:ascii="Arial" w:hAnsi="Arial" w:cs="Arial"/>
              </w:rPr>
              <w:t>This reserve has been established as a result of reducing the insurance provision in compliance with IAS37. The reserve provides a prudent contingency against unforeseen future claims, including the MMI Scheme of Arrangement. The reserve also provides a prudent hedge against changes in the insurance market which may require premium increases. The Reserve is now also enhanced as a buffer to satisfy any future insurance claims that may arise from an unforeseen event due to failure to secure selected insurance from the market.</w:t>
            </w:r>
          </w:p>
        </w:tc>
      </w:tr>
      <w:tr w:rsidR="008664B6" w:rsidRPr="0004017B" w14:paraId="1DC41198" w14:textId="77777777" w:rsidTr="00CD56C9">
        <w:trPr>
          <w:trHeight w:val="200"/>
        </w:trPr>
        <w:tc>
          <w:tcPr>
            <w:tcW w:w="2689" w:type="dxa"/>
            <w:shd w:val="clear" w:color="auto" w:fill="auto"/>
            <w:hideMark/>
          </w:tcPr>
          <w:p w14:paraId="15199BD0" w14:textId="77777777" w:rsidR="008664B6" w:rsidRPr="0004017B" w:rsidRDefault="008664B6" w:rsidP="006F1659">
            <w:pPr>
              <w:spacing w:line="360" w:lineRule="auto"/>
              <w:rPr>
                <w:rFonts w:ascii="Arial" w:hAnsi="Arial" w:cs="Arial"/>
                <w:lang w:eastAsia="en-GB"/>
              </w:rPr>
            </w:pPr>
            <w:r w:rsidRPr="006467C6">
              <w:rPr>
                <w:rFonts w:ascii="Arial" w:hAnsi="Arial" w:cs="Arial"/>
              </w:rPr>
              <w:t>Waste Interest Rate Reserve</w:t>
            </w:r>
          </w:p>
        </w:tc>
        <w:tc>
          <w:tcPr>
            <w:tcW w:w="6327" w:type="dxa"/>
            <w:shd w:val="clear" w:color="auto" w:fill="auto"/>
          </w:tcPr>
          <w:p w14:paraId="127B42F3" w14:textId="77777777" w:rsidR="008664B6" w:rsidRPr="0004017B" w:rsidRDefault="008664B6" w:rsidP="006F1659">
            <w:pPr>
              <w:spacing w:line="360" w:lineRule="auto"/>
              <w:rPr>
                <w:rFonts w:ascii="Arial" w:hAnsi="Arial" w:cs="Arial"/>
                <w:lang w:eastAsia="en-GB"/>
              </w:rPr>
            </w:pPr>
            <w:r w:rsidRPr="006467C6">
              <w:rPr>
                <w:rFonts w:ascii="Arial" w:hAnsi="Arial" w:cs="Arial"/>
              </w:rPr>
              <w:t>To enable the Waste &amp; Resources service to meet the additional cost of funding future increases in the margin chargeable on borrowings, arising from the current policy of not taking longer term debt.</w:t>
            </w:r>
          </w:p>
        </w:tc>
      </w:tr>
      <w:tr w:rsidR="008664B6" w:rsidRPr="0004017B" w14:paraId="0E5F6DAA" w14:textId="77777777" w:rsidTr="00CD56C9">
        <w:trPr>
          <w:trHeight w:val="200"/>
        </w:trPr>
        <w:tc>
          <w:tcPr>
            <w:tcW w:w="2689" w:type="dxa"/>
            <w:shd w:val="clear" w:color="auto" w:fill="auto"/>
            <w:hideMark/>
          </w:tcPr>
          <w:p w14:paraId="05E3AB6D" w14:textId="77777777" w:rsidR="008664B6" w:rsidRPr="0004017B" w:rsidRDefault="008664B6" w:rsidP="006F1659">
            <w:pPr>
              <w:spacing w:line="360" w:lineRule="auto"/>
              <w:rPr>
                <w:rFonts w:ascii="Arial" w:hAnsi="Arial" w:cs="Arial"/>
                <w:lang w:eastAsia="en-GB"/>
              </w:rPr>
            </w:pPr>
            <w:r w:rsidRPr="006467C6">
              <w:rPr>
                <w:rFonts w:ascii="Arial" w:hAnsi="Arial" w:cs="Arial"/>
              </w:rPr>
              <w:t>Waste Pension Deficit Funding Reserve</w:t>
            </w:r>
          </w:p>
        </w:tc>
        <w:tc>
          <w:tcPr>
            <w:tcW w:w="6327" w:type="dxa"/>
            <w:shd w:val="clear" w:color="auto" w:fill="auto"/>
          </w:tcPr>
          <w:p w14:paraId="0A342AED" w14:textId="77777777" w:rsidR="008664B6" w:rsidRPr="007D183D" w:rsidRDefault="008664B6" w:rsidP="006F1659">
            <w:pPr>
              <w:spacing w:line="360" w:lineRule="auto"/>
              <w:rPr>
                <w:rFonts w:ascii="Arial" w:hAnsi="Arial" w:cs="Arial"/>
                <w:lang w:eastAsia="en-GB"/>
              </w:rPr>
            </w:pPr>
            <w:r w:rsidRPr="006467C6">
              <w:rPr>
                <w:rFonts w:ascii="Arial" w:hAnsi="Arial" w:cs="Arial"/>
              </w:rPr>
              <w:t>To meet the cost of funding potential future deficit arising on transfer of former Greater Manchester Waste Limited employees into the Authority’s pension fund on commencement of the Contract, and to take account of possible further efficiencies arising from austerity challenges.</w:t>
            </w:r>
          </w:p>
        </w:tc>
      </w:tr>
      <w:tr w:rsidR="008664B6" w:rsidRPr="0004017B" w14:paraId="40C8A362" w14:textId="77777777" w:rsidTr="00CD56C9">
        <w:trPr>
          <w:trHeight w:val="200"/>
        </w:trPr>
        <w:tc>
          <w:tcPr>
            <w:tcW w:w="2689" w:type="dxa"/>
            <w:shd w:val="clear" w:color="auto" w:fill="auto"/>
            <w:hideMark/>
          </w:tcPr>
          <w:p w14:paraId="7DFEC2A2" w14:textId="77777777" w:rsidR="008664B6" w:rsidRPr="0004017B" w:rsidRDefault="008664B6" w:rsidP="006F1659">
            <w:pPr>
              <w:spacing w:line="360" w:lineRule="auto"/>
              <w:rPr>
                <w:rFonts w:ascii="Arial" w:hAnsi="Arial" w:cs="Arial"/>
                <w:lang w:eastAsia="en-GB"/>
              </w:rPr>
            </w:pPr>
            <w:r w:rsidRPr="006467C6">
              <w:rPr>
                <w:rFonts w:ascii="Arial" w:hAnsi="Arial" w:cs="Arial"/>
              </w:rPr>
              <w:t>Waste Medium Term Financial Plan Funding Reserve</w:t>
            </w:r>
          </w:p>
        </w:tc>
        <w:tc>
          <w:tcPr>
            <w:tcW w:w="6327" w:type="dxa"/>
            <w:shd w:val="clear" w:color="auto" w:fill="auto"/>
          </w:tcPr>
          <w:p w14:paraId="317DC3AD" w14:textId="77777777" w:rsidR="008664B6" w:rsidRPr="0004017B" w:rsidRDefault="008664B6" w:rsidP="006F1659">
            <w:pPr>
              <w:spacing w:line="360" w:lineRule="auto"/>
              <w:rPr>
                <w:rFonts w:ascii="Arial" w:hAnsi="Arial" w:cs="Arial"/>
                <w:lang w:eastAsia="en-GB"/>
              </w:rPr>
            </w:pPr>
            <w:r w:rsidRPr="006467C6">
              <w:rPr>
                <w:rFonts w:ascii="Arial" w:hAnsi="Arial" w:cs="Arial"/>
              </w:rPr>
              <w:t>Reserve to support the delivery of objectives in the Waste &amp; Resources service Medium Term Financial Plan.</w:t>
            </w:r>
          </w:p>
        </w:tc>
      </w:tr>
      <w:tr w:rsidR="008664B6" w:rsidRPr="0004017B" w14:paraId="08019F87" w14:textId="77777777" w:rsidTr="00CD56C9">
        <w:trPr>
          <w:trHeight w:val="200"/>
        </w:trPr>
        <w:tc>
          <w:tcPr>
            <w:tcW w:w="2689" w:type="dxa"/>
            <w:shd w:val="clear" w:color="auto" w:fill="auto"/>
            <w:hideMark/>
          </w:tcPr>
          <w:p w14:paraId="6C30B0C7" w14:textId="77777777" w:rsidR="008664B6" w:rsidRPr="0004017B" w:rsidRDefault="008664B6" w:rsidP="006F1659">
            <w:pPr>
              <w:spacing w:line="360" w:lineRule="auto"/>
              <w:rPr>
                <w:rFonts w:ascii="Arial" w:hAnsi="Arial" w:cs="Arial"/>
                <w:lang w:eastAsia="en-GB"/>
              </w:rPr>
            </w:pPr>
            <w:r w:rsidRPr="007D183D">
              <w:rPr>
                <w:rFonts w:ascii="Arial" w:hAnsi="Arial" w:cs="Arial"/>
              </w:rPr>
              <w:t>Waste Optimisation Reserve</w:t>
            </w:r>
          </w:p>
        </w:tc>
        <w:tc>
          <w:tcPr>
            <w:tcW w:w="6327" w:type="dxa"/>
            <w:shd w:val="clear" w:color="auto" w:fill="auto"/>
          </w:tcPr>
          <w:p w14:paraId="22FABBC1" w14:textId="77777777" w:rsidR="008664B6" w:rsidRPr="007D183D" w:rsidRDefault="008664B6" w:rsidP="006F1659">
            <w:pPr>
              <w:spacing w:line="360" w:lineRule="auto"/>
              <w:rPr>
                <w:rFonts w:ascii="Arial" w:hAnsi="Arial" w:cs="Arial"/>
                <w:lang w:eastAsia="en-GB"/>
              </w:rPr>
            </w:pPr>
            <w:r w:rsidRPr="007D183D">
              <w:rPr>
                <w:rFonts w:ascii="Arial" w:hAnsi="Arial" w:cs="Arial"/>
              </w:rPr>
              <w:t>This reserve has been set up to allow a further capital contribution to be made (if required), so that the Authority can realise longer term financial and operational benefits from the approach to minimising the amount of waste sent to landfill.</w:t>
            </w:r>
          </w:p>
        </w:tc>
      </w:tr>
      <w:tr w:rsidR="008664B6" w:rsidRPr="0004017B" w14:paraId="396ECA60" w14:textId="77777777" w:rsidTr="00CD56C9">
        <w:trPr>
          <w:trHeight w:val="200"/>
        </w:trPr>
        <w:tc>
          <w:tcPr>
            <w:tcW w:w="2689" w:type="dxa"/>
            <w:hideMark/>
          </w:tcPr>
          <w:p w14:paraId="4151AB4D" w14:textId="77777777" w:rsidR="008664B6" w:rsidRPr="0004017B" w:rsidRDefault="008664B6" w:rsidP="006F1659">
            <w:pPr>
              <w:spacing w:line="360" w:lineRule="auto"/>
              <w:rPr>
                <w:rFonts w:ascii="Arial" w:hAnsi="Arial" w:cs="Arial"/>
                <w:lang w:eastAsia="en-GB"/>
              </w:rPr>
            </w:pPr>
            <w:r w:rsidRPr="006467C6">
              <w:rPr>
                <w:rFonts w:ascii="Arial" w:hAnsi="Arial" w:cs="Arial"/>
              </w:rPr>
              <w:lastRenderedPageBreak/>
              <w:t>Waste Compositional Reserve</w:t>
            </w:r>
          </w:p>
        </w:tc>
        <w:tc>
          <w:tcPr>
            <w:tcW w:w="6327" w:type="dxa"/>
          </w:tcPr>
          <w:p w14:paraId="752577B8" w14:textId="6FCB1AF4" w:rsidR="008664B6" w:rsidRPr="0004017B" w:rsidRDefault="008664B6" w:rsidP="006F1659">
            <w:pPr>
              <w:spacing w:line="360" w:lineRule="auto"/>
              <w:rPr>
                <w:rFonts w:ascii="Arial" w:hAnsi="Arial" w:cs="Arial"/>
                <w:lang w:eastAsia="en-GB"/>
              </w:rPr>
            </w:pPr>
            <w:r w:rsidRPr="006467C6">
              <w:rPr>
                <w:rFonts w:ascii="Arial" w:hAnsi="Arial" w:cs="Arial"/>
              </w:rPr>
              <w:t>This reserve provides the cost of conducting a review of waste arisings to be spread over several years. The review enables us to gauge whether our residents are recycling, and in so doing, better target limited behavioural change resources.</w:t>
            </w:r>
          </w:p>
        </w:tc>
      </w:tr>
      <w:tr w:rsidR="008664B6" w:rsidRPr="0004017B" w14:paraId="4200C1D2" w14:textId="77777777" w:rsidTr="00CD56C9">
        <w:trPr>
          <w:trHeight w:val="200"/>
        </w:trPr>
        <w:tc>
          <w:tcPr>
            <w:tcW w:w="2689" w:type="dxa"/>
            <w:hideMark/>
          </w:tcPr>
          <w:p w14:paraId="6A569A84" w14:textId="77777777" w:rsidR="008664B6" w:rsidRPr="0004017B" w:rsidRDefault="008664B6" w:rsidP="006F1659">
            <w:pPr>
              <w:spacing w:line="360" w:lineRule="auto"/>
              <w:rPr>
                <w:rFonts w:ascii="Arial" w:hAnsi="Arial" w:cs="Arial"/>
                <w:lang w:eastAsia="en-GB"/>
              </w:rPr>
            </w:pPr>
            <w:r w:rsidRPr="0004017B">
              <w:rPr>
                <w:rFonts w:ascii="Arial" w:hAnsi="Arial" w:cs="Arial"/>
                <w:lang w:eastAsia="en-GB"/>
              </w:rPr>
              <w:t>Waste MRF Redevelopment</w:t>
            </w:r>
          </w:p>
        </w:tc>
        <w:tc>
          <w:tcPr>
            <w:tcW w:w="6327" w:type="dxa"/>
          </w:tcPr>
          <w:p w14:paraId="1772AB66" w14:textId="70B6025E" w:rsidR="008664B6" w:rsidRDefault="008664B6" w:rsidP="006F1659">
            <w:pPr>
              <w:spacing w:line="360" w:lineRule="auto"/>
              <w:rPr>
                <w:rFonts w:ascii="Arial" w:hAnsi="Arial" w:cs="Arial"/>
              </w:rPr>
            </w:pPr>
            <w:r>
              <w:rPr>
                <w:rFonts w:ascii="Arial" w:hAnsi="Arial" w:cs="Arial"/>
              </w:rPr>
              <w:t>Reserve funding to allow for redevelopment works at the MRF at Sharston</w:t>
            </w:r>
            <w:r w:rsidR="00C06A3D">
              <w:rPr>
                <w:rFonts w:ascii="Arial" w:hAnsi="Arial" w:cs="Arial"/>
              </w:rPr>
              <w:t>.</w:t>
            </w:r>
          </w:p>
          <w:p w14:paraId="25261BAF" w14:textId="77777777" w:rsidR="008664B6" w:rsidRPr="0004017B" w:rsidRDefault="008664B6" w:rsidP="006F1659">
            <w:pPr>
              <w:spacing w:line="360" w:lineRule="auto"/>
              <w:rPr>
                <w:rFonts w:ascii="Arial" w:hAnsi="Arial" w:cs="Arial"/>
                <w:lang w:eastAsia="en-GB"/>
              </w:rPr>
            </w:pPr>
          </w:p>
        </w:tc>
      </w:tr>
      <w:tr w:rsidR="008664B6" w:rsidRPr="0004017B" w14:paraId="0D17D7CD" w14:textId="77777777" w:rsidTr="00CD56C9">
        <w:trPr>
          <w:trHeight w:val="200"/>
        </w:trPr>
        <w:tc>
          <w:tcPr>
            <w:tcW w:w="2689" w:type="dxa"/>
            <w:hideMark/>
          </w:tcPr>
          <w:p w14:paraId="32186670" w14:textId="77777777" w:rsidR="008664B6" w:rsidRPr="0004017B" w:rsidRDefault="008664B6" w:rsidP="006F1659">
            <w:pPr>
              <w:spacing w:line="360" w:lineRule="auto"/>
              <w:rPr>
                <w:rFonts w:ascii="Arial" w:hAnsi="Arial" w:cs="Arial"/>
                <w:lang w:eastAsia="en-GB"/>
              </w:rPr>
            </w:pPr>
            <w:r w:rsidRPr="0004017B">
              <w:rPr>
                <w:rFonts w:ascii="Arial" w:hAnsi="Arial" w:cs="Arial"/>
                <w:lang w:eastAsia="en-GB"/>
              </w:rPr>
              <w:t>Waste Re-procurement</w:t>
            </w:r>
          </w:p>
        </w:tc>
        <w:tc>
          <w:tcPr>
            <w:tcW w:w="6327" w:type="dxa"/>
          </w:tcPr>
          <w:p w14:paraId="6D1EA5A9" w14:textId="77777777" w:rsidR="008664B6" w:rsidRDefault="008664B6" w:rsidP="006F1659">
            <w:pPr>
              <w:spacing w:line="360" w:lineRule="auto"/>
              <w:rPr>
                <w:rFonts w:ascii="Arial" w:hAnsi="Arial" w:cs="Arial"/>
              </w:rPr>
            </w:pPr>
            <w:r>
              <w:rPr>
                <w:rFonts w:ascii="Arial" w:hAnsi="Arial" w:cs="Arial"/>
              </w:rPr>
              <w:t>Reserve funding to allow for expenditure to be incurred with reprocuring waste management contracts.</w:t>
            </w:r>
          </w:p>
          <w:p w14:paraId="4BC62F77" w14:textId="77777777" w:rsidR="008664B6" w:rsidRPr="0004017B" w:rsidRDefault="008664B6" w:rsidP="006F1659">
            <w:pPr>
              <w:spacing w:line="360" w:lineRule="auto"/>
              <w:rPr>
                <w:rFonts w:ascii="Arial" w:hAnsi="Arial" w:cs="Arial"/>
                <w:lang w:eastAsia="en-GB"/>
              </w:rPr>
            </w:pPr>
          </w:p>
        </w:tc>
      </w:tr>
      <w:tr w:rsidR="008664B6" w:rsidRPr="0004017B" w14:paraId="308AF0C1" w14:textId="77777777" w:rsidTr="00CD56C9">
        <w:trPr>
          <w:trHeight w:val="200"/>
        </w:trPr>
        <w:tc>
          <w:tcPr>
            <w:tcW w:w="2689" w:type="dxa"/>
            <w:hideMark/>
          </w:tcPr>
          <w:p w14:paraId="66BE98B4" w14:textId="77777777" w:rsidR="008664B6" w:rsidRPr="0004017B" w:rsidRDefault="008664B6" w:rsidP="006F1659">
            <w:pPr>
              <w:spacing w:line="360" w:lineRule="auto"/>
              <w:rPr>
                <w:rFonts w:ascii="Arial" w:hAnsi="Arial" w:cs="Arial"/>
                <w:lang w:eastAsia="en-GB"/>
              </w:rPr>
            </w:pPr>
            <w:r w:rsidRPr="006467C6">
              <w:rPr>
                <w:rFonts w:ascii="Arial" w:hAnsi="Arial" w:cs="Arial"/>
              </w:rPr>
              <w:t>Waste Lifecycle Reserve</w:t>
            </w:r>
          </w:p>
        </w:tc>
        <w:tc>
          <w:tcPr>
            <w:tcW w:w="6327" w:type="dxa"/>
          </w:tcPr>
          <w:p w14:paraId="38F52B4D" w14:textId="77777777" w:rsidR="008664B6" w:rsidRPr="0004017B" w:rsidRDefault="008664B6" w:rsidP="006F1659">
            <w:pPr>
              <w:spacing w:line="360" w:lineRule="auto"/>
              <w:rPr>
                <w:rFonts w:ascii="Arial" w:hAnsi="Arial" w:cs="Arial"/>
                <w:lang w:eastAsia="en-GB"/>
              </w:rPr>
            </w:pPr>
            <w:r w:rsidRPr="006467C6">
              <w:rPr>
                <w:rFonts w:ascii="Arial" w:hAnsi="Arial" w:cs="Arial"/>
              </w:rPr>
              <w:t>Reserve created to allow funding of lifecycle / maintenance needs at the operational sites now under Authority control.</w:t>
            </w:r>
          </w:p>
        </w:tc>
      </w:tr>
    </w:tbl>
    <w:p w14:paraId="117336FB" w14:textId="77777777" w:rsidR="00DD2F61" w:rsidRDefault="00DD2F61" w:rsidP="00DD2F61">
      <w:pPr>
        <w:spacing w:line="360" w:lineRule="auto"/>
      </w:pPr>
    </w:p>
    <w:p w14:paraId="43D5D983" w14:textId="77777777" w:rsidR="00DD2F61" w:rsidRDefault="00DD2F61" w:rsidP="00DD2F61">
      <w:pPr>
        <w:spacing w:line="360" w:lineRule="auto"/>
      </w:pPr>
    </w:p>
    <w:p w14:paraId="0318FE9E" w14:textId="483553CB" w:rsidR="00DD2F61" w:rsidRDefault="00DD2F61" w:rsidP="00DD2F61">
      <w:pPr>
        <w:spacing w:line="360" w:lineRule="auto"/>
      </w:pPr>
      <w:r>
        <w:rPr>
          <w:rFonts w:ascii="Arial" w:hAnsi="Arial" w:cs="Arial"/>
          <w:b/>
        </w:rPr>
        <w:t>Mayoral General Fund</w:t>
      </w:r>
    </w:p>
    <w:tbl>
      <w:tblPr>
        <w:tblStyle w:val="TableGrid"/>
        <w:tblW w:w="0" w:type="auto"/>
        <w:tblLook w:val="04A0" w:firstRow="1" w:lastRow="0" w:firstColumn="1" w:lastColumn="0" w:noHBand="0" w:noVBand="1"/>
      </w:tblPr>
      <w:tblGrid>
        <w:gridCol w:w="2689"/>
        <w:gridCol w:w="6327"/>
      </w:tblGrid>
      <w:tr w:rsidR="008664B6" w:rsidRPr="00164A45" w14:paraId="1B786FCC" w14:textId="77777777" w:rsidTr="00CD56C9">
        <w:trPr>
          <w:trHeight w:val="540"/>
        </w:trPr>
        <w:tc>
          <w:tcPr>
            <w:tcW w:w="2689" w:type="dxa"/>
            <w:hideMark/>
          </w:tcPr>
          <w:p w14:paraId="7992D52B" w14:textId="77777777" w:rsidR="008664B6" w:rsidRPr="00164A45" w:rsidRDefault="008664B6" w:rsidP="006F1659">
            <w:pPr>
              <w:spacing w:line="360" w:lineRule="auto"/>
              <w:rPr>
                <w:rFonts w:ascii="Arial" w:hAnsi="Arial" w:cs="Arial"/>
              </w:rPr>
            </w:pPr>
            <w:r w:rsidRPr="00164A45">
              <w:rPr>
                <w:rFonts w:ascii="Arial" w:hAnsi="Arial" w:cs="Arial"/>
              </w:rPr>
              <w:t>Capital Reserve</w:t>
            </w:r>
          </w:p>
        </w:tc>
        <w:tc>
          <w:tcPr>
            <w:tcW w:w="6327" w:type="dxa"/>
            <w:hideMark/>
          </w:tcPr>
          <w:p w14:paraId="1108D8F9" w14:textId="77777777" w:rsidR="008664B6" w:rsidRPr="00164A45" w:rsidRDefault="008664B6" w:rsidP="006F1659">
            <w:pPr>
              <w:spacing w:line="360" w:lineRule="auto"/>
              <w:rPr>
                <w:rFonts w:ascii="Arial" w:hAnsi="Arial" w:cs="Arial"/>
              </w:rPr>
            </w:pPr>
            <w:r w:rsidRPr="00164A45">
              <w:rPr>
                <w:rFonts w:ascii="Arial" w:hAnsi="Arial" w:cs="Arial"/>
              </w:rPr>
              <w:t>Surpluses of capital financing costs which have been set aside to fund future capital programme related expenditure.</w:t>
            </w:r>
          </w:p>
        </w:tc>
      </w:tr>
      <w:tr w:rsidR="008664B6" w:rsidRPr="00164A45" w14:paraId="440C9E7F" w14:textId="77777777" w:rsidTr="00CD56C9">
        <w:trPr>
          <w:trHeight w:val="540"/>
        </w:trPr>
        <w:tc>
          <w:tcPr>
            <w:tcW w:w="2689" w:type="dxa"/>
            <w:hideMark/>
          </w:tcPr>
          <w:p w14:paraId="7665A672" w14:textId="77777777" w:rsidR="008664B6" w:rsidRPr="00164A45" w:rsidRDefault="008664B6" w:rsidP="006F1659">
            <w:pPr>
              <w:spacing w:line="360" w:lineRule="auto"/>
              <w:rPr>
                <w:rFonts w:ascii="Arial" w:hAnsi="Arial" w:cs="Arial"/>
              </w:rPr>
            </w:pPr>
            <w:r w:rsidRPr="00164A45">
              <w:rPr>
                <w:rFonts w:ascii="Arial" w:hAnsi="Arial" w:cs="Arial"/>
              </w:rPr>
              <w:t>Earmarked Budgets Reserve</w:t>
            </w:r>
          </w:p>
        </w:tc>
        <w:tc>
          <w:tcPr>
            <w:tcW w:w="6327" w:type="dxa"/>
            <w:hideMark/>
          </w:tcPr>
          <w:p w14:paraId="34AF4C3D" w14:textId="77777777" w:rsidR="008664B6" w:rsidRPr="00164A45" w:rsidRDefault="008664B6" w:rsidP="006F1659">
            <w:pPr>
              <w:spacing w:line="360" w:lineRule="auto"/>
              <w:rPr>
                <w:rFonts w:ascii="Arial" w:hAnsi="Arial" w:cs="Arial"/>
              </w:rPr>
            </w:pPr>
            <w:r w:rsidRPr="00164A45">
              <w:rPr>
                <w:rFonts w:ascii="Arial" w:hAnsi="Arial" w:cs="Arial"/>
              </w:rPr>
              <w:t>Funding to be utilised to meet the costs of future projects as part of the budget strategy.</w:t>
            </w:r>
          </w:p>
        </w:tc>
      </w:tr>
      <w:tr w:rsidR="008664B6" w:rsidRPr="00164A45" w14:paraId="369F09C4" w14:textId="77777777" w:rsidTr="00CD56C9">
        <w:trPr>
          <w:trHeight w:val="810"/>
        </w:trPr>
        <w:tc>
          <w:tcPr>
            <w:tcW w:w="2689" w:type="dxa"/>
            <w:hideMark/>
          </w:tcPr>
          <w:p w14:paraId="33293BEA" w14:textId="77777777" w:rsidR="008664B6" w:rsidRPr="00164A45" w:rsidRDefault="008664B6" w:rsidP="006F1659">
            <w:pPr>
              <w:spacing w:line="360" w:lineRule="auto"/>
              <w:rPr>
                <w:rFonts w:ascii="Arial" w:hAnsi="Arial" w:cs="Arial"/>
              </w:rPr>
            </w:pPr>
            <w:r w:rsidRPr="00164A45">
              <w:rPr>
                <w:rFonts w:ascii="Arial" w:hAnsi="Arial" w:cs="Arial"/>
              </w:rPr>
              <w:t>Revenue Grants Unapplied Reserves</w:t>
            </w:r>
          </w:p>
        </w:tc>
        <w:tc>
          <w:tcPr>
            <w:tcW w:w="6327" w:type="dxa"/>
            <w:hideMark/>
          </w:tcPr>
          <w:p w14:paraId="4FEC4850" w14:textId="77777777" w:rsidR="008664B6" w:rsidRPr="00164A45" w:rsidRDefault="008664B6" w:rsidP="006F1659">
            <w:pPr>
              <w:spacing w:line="360" w:lineRule="auto"/>
              <w:rPr>
                <w:rFonts w:ascii="Arial" w:hAnsi="Arial" w:cs="Arial"/>
              </w:rPr>
            </w:pPr>
            <w:r w:rsidRPr="00164A45">
              <w:rPr>
                <w:rFonts w:ascii="Arial" w:hAnsi="Arial" w:cs="Arial"/>
              </w:rPr>
              <w:t>Accumulated unspent grant funding which is required to meet costs in future years.</w:t>
            </w:r>
          </w:p>
        </w:tc>
      </w:tr>
      <w:tr w:rsidR="008664B6" w:rsidRPr="00164A45" w14:paraId="690B1B83" w14:textId="77777777" w:rsidTr="00CD56C9">
        <w:trPr>
          <w:trHeight w:val="1080"/>
        </w:trPr>
        <w:tc>
          <w:tcPr>
            <w:tcW w:w="2689" w:type="dxa"/>
            <w:hideMark/>
          </w:tcPr>
          <w:p w14:paraId="0E4682D7" w14:textId="77777777" w:rsidR="008664B6" w:rsidRPr="00164A45" w:rsidRDefault="008664B6" w:rsidP="006F1659">
            <w:pPr>
              <w:spacing w:line="360" w:lineRule="auto"/>
              <w:rPr>
                <w:rFonts w:ascii="Arial" w:hAnsi="Arial" w:cs="Arial"/>
              </w:rPr>
            </w:pPr>
            <w:r w:rsidRPr="00164A45">
              <w:rPr>
                <w:rFonts w:ascii="Arial" w:hAnsi="Arial" w:cs="Arial"/>
              </w:rPr>
              <w:t>Insurance Reserve</w:t>
            </w:r>
          </w:p>
        </w:tc>
        <w:tc>
          <w:tcPr>
            <w:tcW w:w="6327" w:type="dxa"/>
            <w:hideMark/>
          </w:tcPr>
          <w:p w14:paraId="42163564" w14:textId="5DD60098" w:rsidR="008664B6" w:rsidRPr="00164A45" w:rsidRDefault="008664B6" w:rsidP="006F1659">
            <w:pPr>
              <w:spacing w:line="360" w:lineRule="auto"/>
              <w:rPr>
                <w:rFonts w:ascii="Arial" w:hAnsi="Arial" w:cs="Arial"/>
              </w:rPr>
            </w:pPr>
            <w:r w:rsidRPr="00164A45">
              <w:rPr>
                <w:rFonts w:ascii="Arial" w:hAnsi="Arial" w:cs="Arial"/>
              </w:rPr>
              <w:t>Reserve established as a result of reducing the insurance provision in compliance with IAS37. The reserve provides a prudent contingency against unforeseen future claims, including the MMI Scheme of Arrangement. The reserve also provides a prudent hedge against changes in the insurance market which may require premium increases.</w:t>
            </w:r>
          </w:p>
        </w:tc>
      </w:tr>
      <w:tr w:rsidR="008664B6" w:rsidRPr="00164A45" w14:paraId="69397333" w14:textId="77777777" w:rsidTr="00CD56C9">
        <w:trPr>
          <w:trHeight w:val="540"/>
        </w:trPr>
        <w:tc>
          <w:tcPr>
            <w:tcW w:w="2689" w:type="dxa"/>
            <w:hideMark/>
          </w:tcPr>
          <w:p w14:paraId="6A2B56CA" w14:textId="77777777" w:rsidR="008664B6" w:rsidRPr="00164A45" w:rsidRDefault="008664B6" w:rsidP="006F1659">
            <w:pPr>
              <w:spacing w:line="360" w:lineRule="auto"/>
              <w:rPr>
                <w:rFonts w:ascii="Arial" w:hAnsi="Arial" w:cs="Arial"/>
              </w:rPr>
            </w:pPr>
            <w:r w:rsidRPr="00164A45">
              <w:rPr>
                <w:rFonts w:ascii="Arial" w:hAnsi="Arial" w:cs="Arial"/>
              </w:rPr>
              <w:t>Business Rates Reserve</w:t>
            </w:r>
          </w:p>
        </w:tc>
        <w:tc>
          <w:tcPr>
            <w:tcW w:w="6327" w:type="dxa"/>
            <w:hideMark/>
          </w:tcPr>
          <w:p w14:paraId="1BAD7A4C" w14:textId="7420E233" w:rsidR="008664B6" w:rsidRPr="00164A45" w:rsidRDefault="008664B6" w:rsidP="006F1659">
            <w:pPr>
              <w:spacing w:line="360" w:lineRule="auto"/>
              <w:rPr>
                <w:rFonts w:ascii="Arial" w:hAnsi="Arial" w:cs="Arial"/>
              </w:rPr>
            </w:pPr>
            <w:r w:rsidRPr="00164A45">
              <w:rPr>
                <w:rFonts w:ascii="Arial" w:hAnsi="Arial" w:cs="Arial"/>
              </w:rPr>
              <w:t xml:space="preserve">Funding to mitigate the impact of potential significant deficits on the </w:t>
            </w:r>
            <w:r w:rsidR="006A7A2D">
              <w:rPr>
                <w:rFonts w:ascii="Arial" w:hAnsi="Arial" w:cs="Arial"/>
              </w:rPr>
              <w:t>ten</w:t>
            </w:r>
            <w:r w:rsidRPr="00164A45">
              <w:rPr>
                <w:rFonts w:ascii="Arial" w:hAnsi="Arial" w:cs="Arial"/>
              </w:rPr>
              <w:t xml:space="preserve"> Greater Manchester Council respective Collection Funds, of which the Authority is liable for 1%.</w:t>
            </w:r>
          </w:p>
        </w:tc>
      </w:tr>
      <w:tr w:rsidR="008664B6" w:rsidRPr="00164A45" w14:paraId="20C5C468" w14:textId="77777777" w:rsidTr="00CD56C9">
        <w:trPr>
          <w:trHeight w:val="463"/>
        </w:trPr>
        <w:tc>
          <w:tcPr>
            <w:tcW w:w="2689" w:type="dxa"/>
            <w:hideMark/>
          </w:tcPr>
          <w:p w14:paraId="5C055134" w14:textId="77777777" w:rsidR="008664B6" w:rsidRPr="00164A45" w:rsidRDefault="008664B6" w:rsidP="006F1659">
            <w:pPr>
              <w:spacing w:line="360" w:lineRule="auto"/>
              <w:rPr>
                <w:rFonts w:ascii="Arial" w:hAnsi="Arial" w:cs="Arial"/>
              </w:rPr>
            </w:pPr>
            <w:r w:rsidRPr="00164A45">
              <w:rPr>
                <w:rFonts w:ascii="Arial" w:hAnsi="Arial" w:cs="Arial"/>
              </w:rPr>
              <w:lastRenderedPageBreak/>
              <w:t>Restructuring Reserve</w:t>
            </w:r>
          </w:p>
        </w:tc>
        <w:tc>
          <w:tcPr>
            <w:tcW w:w="6327" w:type="dxa"/>
            <w:hideMark/>
          </w:tcPr>
          <w:p w14:paraId="53092463" w14:textId="77777777" w:rsidR="008664B6" w:rsidRPr="00164A45" w:rsidRDefault="008664B6" w:rsidP="006F1659">
            <w:pPr>
              <w:spacing w:line="360" w:lineRule="auto"/>
              <w:rPr>
                <w:rFonts w:ascii="Arial" w:hAnsi="Arial" w:cs="Arial"/>
              </w:rPr>
            </w:pPr>
            <w:r w:rsidRPr="00164A45">
              <w:rPr>
                <w:rFonts w:ascii="Arial" w:hAnsi="Arial" w:cs="Arial"/>
              </w:rPr>
              <w:t xml:space="preserve">Reserve created to provide funds towards the costs of service transition. </w:t>
            </w:r>
          </w:p>
        </w:tc>
      </w:tr>
      <w:tr w:rsidR="008664B6" w:rsidRPr="00164A45" w14:paraId="202F803F" w14:textId="77777777" w:rsidTr="00CD56C9">
        <w:trPr>
          <w:trHeight w:val="810"/>
        </w:trPr>
        <w:tc>
          <w:tcPr>
            <w:tcW w:w="2689" w:type="dxa"/>
            <w:hideMark/>
          </w:tcPr>
          <w:p w14:paraId="5E0C8679" w14:textId="77777777" w:rsidR="008664B6" w:rsidRPr="00164A45" w:rsidRDefault="008664B6" w:rsidP="006F1659">
            <w:pPr>
              <w:spacing w:line="360" w:lineRule="auto"/>
              <w:rPr>
                <w:rFonts w:ascii="Arial" w:hAnsi="Arial" w:cs="Arial"/>
              </w:rPr>
            </w:pPr>
            <w:r w:rsidRPr="00164A45">
              <w:rPr>
                <w:rFonts w:ascii="Arial" w:hAnsi="Arial" w:cs="Arial"/>
              </w:rPr>
              <w:t>Innovation and Partnership CYP Reserve</w:t>
            </w:r>
          </w:p>
        </w:tc>
        <w:tc>
          <w:tcPr>
            <w:tcW w:w="6327" w:type="dxa"/>
            <w:hideMark/>
          </w:tcPr>
          <w:p w14:paraId="218FAEBE" w14:textId="77777777" w:rsidR="008664B6" w:rsidRPr="00164A45" w:rsidRDefault="008664B6" w:rsidP="006F1659">
            <w:pPr>
              <w:spacing w:line="360" w:lineRule="auto"/>
              <w:rPr>
                <w:rFonts w:ascii="Arial" w:hAnsi="Arial" w:cs="Arial"/>
              </w:rPr>
            </w:pPr>
            <w:r w:rsidRPr="00164A45">
              <w:rPr>
                <w:rFonts w:ascii="Arial" w:hAnsi="Arial" w:cs="Arial"/>
              </w:rPr>
              <w:t xml:space="preserve">Funding for future partnership and innovation schemes and to support Children’s and Young People’s initiatives. </w:t>
            </w:r>
          </w:p>
        </w:tc>
      </w:tr>
      <w:tr w:rsidR="008664B6" w:rsidRPr="00164A45" w14:paraId="48E68899" w14:textId="77777777" w:rsidTr="00CD56C9">
        <w:trPr>
          <w:trHeight w:val="270"/>
        </w:trPr>
        <w:tc>
          <w:tcPr>
            <w:tcW w:w="2689" w:type="dxa"/>
            <w:hideMark/>
          </w:tcPr>
          <w:p w14:paraId="5957C6D4" w14:textId="77777777" w:rsidR="008664B6" w:rsidRPr="00164A45" w:rsidRDefault="008664B6" w:rsidP="006F1659">
            <w:pPr>
              <w:spacing w:line="360" w:lineRule="auto"/>
              <w:rPr>
                <w:rFonts w:ascii="Arial" w:hAnsi="Arial" w:cs="Arial"/>
              </w:rPr>
            </w:pPr>
            <w:r w:rsidRPr="00164A45">
              <w:rPr>
                <w:rFonts w:ascii="Arial" w:hAnsi="Arial" w:cs="Arial"/>
              </w:rPr>
              <w:t>Projects Reserve</w:t>
            </w:r>
          </w:p>
        </w:tc>
        <w:tc>
          <w:tcPr>
            <w:tcW w:w="6327" w:type="dxa"/>
            <w:hideMark/>
          </w:tcPr>
          <w:p w14:paraId="177399F8" w14:textId="77777777" w:rsidR="008664B6" w:rsidRPr="00164A45" w:rsidRDefault="008664B6" w:rsidP="006F1659">
            <w:pPr>
              <w:spacing w:line="360" w:lineRule="auto"/>
              <w:rPr>
                <w:rFonts w:ascii="Arial" w:hAnsi="Arial" w:cs="Arial"/>
              </w:rPr>
            </w:pPr>
            <w:r w:rsidRPr="00164A45">
              <w:rPr>
                <w:rFonts w:ascii="Arial" w:hAnsi="Arial" w:cs="Arial"/>
              </w:rPr>
              <w:t>Funding to support project work within the Authority.</w:t>
            </w:r>
          </w:p>
        </w:tc>
      </w:tr>
      <w:tr w:rsidR="008664B6" w:rsidRPr="00164A45" w14:paraId="5C29A410" w14:textId="77777777" w:rsidTr="00CD56C9">
        <w:trPr>
          <w:trHeight w:val="540"/>
        </w:trPr>
        <w:tc>
          <w:tcPr>
            <w:tcW w:w="2689" w:type="dxa"/>
            <w:hideMark/>
          </w:tcPr>
          <w:p w14:paraId="4F1336B0" w14:textId="77777777" w:rsidR="008664B6" w:rsidRPr="00164A45" w:rsidRDefault="008664B6" w:rsidP="006F1659">
            <w:pPr>
              <w:spacing w:line="360" w:lineRule="auto"/>
              <w:rPr>
                <w:rFonts w:ascii="Arial" w:hAnsi="Arial" w:cs="Arial"/>
              </w:rPr>
            </w:pPr>
            <w:r w:rsidRPr="00164A45">
              <w:rPr>
                <w:rFonts w:ascii="Arial" w:hAnsi="Arial" w:cs="Arial"/>
              </w:rPr>
              <w:t>Transformation Reserve</w:t>
            </w:r>
          </w:p>
        </w:tc>
        <w:tc>
          <w:tcPr>
            <w:tcW w:w="6327" w:type="dxa"/>
            <w:hideMark/>
          </w:tcPr>
          <w:p w14:paraId="2F25E75D" w14:textId="77777777" w:rsidR="008664B6" w:rsidRPr="00164A45" w:rsidRDefault="008664B6" w:rsidP="006F1659">
            <w:pPr>
              <w:spacing w:line="360" w:lineRule="auto"/>
              <w:rPr>
                <w:rFonts w:ascii="Arial" w:hAnsi="Arial" w:cs="Arial"/>
              </w:rPr>
            </w:pPr>
            <w:r w:rsidRPr="00164A45">
              <w:rPr>
                <w:rFonts w:ascii="Arial" w:hAnsi="Arial" w:cs="Arial"/>
              </w:rPr>
              <w:t>New reserve set up as part of the Budget Strategy to be used by the mayor to promote collaboration and transformation in blue light services.</w:t>
            </w:r>
          </w:p>
        </w:tc>
      </w:tr>
      <w:tr w:rsidR="008664B6" w:rsidRPr="00164A45" w14:paraId="3F1985EA" w14:textId="77777777" w:rsidTr="00CD56C9">
        <w:trPr>
          <w:trHeight w:val="540"/>
        </w:trPr>
        <w:tc>
          <w:tcPr>
            <w:tcW w:w="2689" w:type="dxa"/>
          </w:tcPr>
          <w:p w14:paraId="4487EC61" w14:textId="77777777" w:rsidR="008664B6" w:rsidRPr="00164A45" w:rsidRDefault="008664B6" w:rsidP="006F1659">
            <w:pPr>
              <w:spacing w:line="360" w:lineRule="auto"/>
              <w:rPr>
                <w:rFonts w:ascii="Arial" w:hAnsi="Arial" w:cs="Arial"/>
              </w:rPr>
            </w:pPr>
            <w:r>
              <w:rPr>
                <w:rFonts w:ascii="Arial" w:hAnsi="Arial" w:cs="Arial"/>
              </w:rPr>
              <w:t xml:space="preserve">Mayoral General Fund Balances </w:t>
            </w:r>
          </w:p>
        </w:tc>
        <w:tc>
          <w:tcPr>
            <w:tcW w:w="6327" w:type="dxa"/>
          </w:tcPr>
          <w:p w14:paraId="2D8414AA" w14:textId="1E6C0D7B" w:rsidR="008664B6" w:rsidRPr="00164A45" w:rsidRDefault="008664B6" w:rsidP="006F1659">
            <w:pPr>
              <w:spacing w:line="360" w:lineRule="auto"/>
              <w:rPr>
                <w:rFonts w:ascii="Arial" w:hAnsi="Arial" w:cs="Arial"/>
              </w:rPr>
            </w:pPr>
            <w:r>
              <w:rPr>
                <w:rFonts w:ascii="Arial" w:hAnsi="Arial" w:cs="Arial"/>
              </w:rPr>
              <w:t>Funding to support The Mayoral General fund</w:t>
            </w:r>
            <w:r w:rsidR="00C06A3D">
              <w:rPr>
                <w:rFonts w:ascii="Arial" w:hAnsi="Arial" w:cs="Arial"/>
              </w:rPr>
              <w:t>.</w:t>
            </w:r>
          </w:p>
        </w:tc>
      </w:tr>
      <w:tr w:rsidR="008664B6" w:rsidRPr="00164A45" w14:paraId="24DDC9BD" w14:textId="77777777" w:rsidTr="006E294E">
        <w:trPr>
          <w:trHeight w:val="1057"/>
        </w:trPr>
        <w:tc>
          <w:tcPr>
            <w:tcW w:w="2689" w:type="dxa"/>
          </w:tcPr>
          <w:p w14:paraId="513338C6" w14:textId="77777777" w:rsidR="008664B6" w:rsidRPr="00164A45" w:rsidRDefault="008664B6" w:rsidP="006F1659">
            <w:pPr>
              <w:spacing w:line="360" w:lineRule="auto"/>
              <w:rPr>
                <w:rFonts w:ascii="Arial" w:hAnsi="Arial" w:cs="Arial"/>
              </w:rPr>
            </w:pPr>
            <w:r>
              <w:rPr>
                <w:rFonts w:ascii="Arial" w:hAnsi="Arial" w:cs="Arial"/>
              </w:rPr>
              <w:t>Capital Grants Unapplied Reserve</w:t>
            </w:r>
          </w:p>
        </w:tc>
        <w:tc>
          <w:tcPr>
            <w:tcW w:w="6327" w:type="dxa"/>
          </w:tcPr>
          <w:p w14:paraId="3515EACF" w14:textId="3CCF0B83" w:rsidR="008664B6" w:rsidRPr="00164A45" w:rsidRDefault="008664B6" w:rsidP="006F1659">
            <w:pPr>
              <w:spacing w:line="360" w:lineRule="auto"/>
              <w:rPr>
                <w:rFonts w:ascii="Arial" w:hAnsi="Arial" w:cs="Arial"/>
              </w:rPr>
            </w:pPr>
            <w:r>
              <w:rPr>
                <w:rFonts w:ascii="Arial" w:hAnsi="Arial" w:cs="Arial"/>
              </w:rPr>
              <w:t>Fund to hold capital grants which have been received and credited to income but not yet spent on the acquisition of non</w:t>
            </w:r>
            <w:r w:rsidR="00C06A3D">
              <w:rPr>
                <w:rFonts w:ascii="Arial" w:hAnsi="Arial" w:cs="Arial"/>
              </w:rPr>
              <w:t>-</w:t>
            </w:r>
            <w:r>
              <w:rPr>
                <w:rFonts w:ascii="Arial" w:hAnsi="Arial" w:cs="Arial"/>
              </w:rPr>
              <w:t>current assets</w:t>
            </w:r>
            <w:r w:rsidR="00C06A3D">
              <w:rPr>
                <w:rFonts w:ascii="Arial" w:hAnsi="Arial" w:cs="Arial"/>
              </w:rPr>
              <w:t>.</w:t>
            </w:r>
          </w:p>
        </w:tc>
      </w:tr>
    </w:tbl>
    <w:p w14:paraId="08F4E625" w14:textId="59E6A7EE" w:rsidR="00C06A3D" w:rsidRDefault="00C06A3D" w:rsidP="006F1659">
      <w:pPr>
        <w:spacing w:line="360" w:lineRule="auto"/>
        <w:rPr>
          <w:rFonts w:ascii="Arial" w:hAnsi="Arial" w:cs="Arial"/>
          <w:b/>
          <w:sz w:val="22"/>
          <w:szCs w:val="22"/>
        </w:rPr>
      </w:pPr>
    </w:p>
    <w:p w14:paraId="7E299581" w14:textId="77777777" w:rsidR="00DD2F61" w:rsidRDefault="00DD2F61" w:rsidP="006F1659">
      <w:pPr>
        <w:spacing w:line="360" w:lineRule="auto"/>
        <w:rPr>
          <w:rFonts w:ascii="Arial" w:hAnsi="Arial" w:cs="Arial"/>
          <w:b/>
          <w:sz w:val="22"/>
          <w:szCs w:val="22"/>
        </w:rPr>
      </w:pPr>
    </w:p>
    <w:p w14:paraId="14EA72C1" w14:textId="31EF26CA" w:rsidR="006E294E" w:rsidRPr="00DD2F61" w:rsidRDefault="00DD2F61" w:rsidP="006F1659">
      <w:pPr>
        <w:spacing w:line="360" w:lineRule="auto"/>
      </w:pPr>
      <w:r>
        <w:rPr>
          <w:rFonts w:ascii="Arial" w:hAnsi="Arial" w:cs="Arial"/>
          <w:b/>
        </w:rPr>
        <w:t xml:space="preserve">Mayoral </w:t>
      </w:r>
      <w:r>
        <w:rPr>
          <w:rFonts w:ascii="Arial" w:hAnsi="Arial" w:cs="Arial"/>
          <w:b/>
        </w:rPr>
        <w:t>Police</w:t>
      </w:r>
      <w:r>
        <w:rPr>
          <w:rFonts w:ascii="Arial" w:hAnsi="Arial" w:cs="Arial"/>
          <w:b/>
        </w:rPr>
        <w:t xml:space="preserve"> Fund</w:t>
      </w:r>
    </w:p>
    <w:tbl>
      <w:tblPr>
        <w:tblStyle w:val="TableGrid"/>
        <w:tblpPr w:leftFromText="180" w:rightFromText="180" w:vertAnchor="text" w:horzAnchor="margin" w:tblpY="35"/>
        <w:tblW w:w="0" w:type="auto"/>
        <w:tblLook w:val="04A0" w:firstRow="1" w:lastRow="0" w:firstColumn="1" w:lastColumn="0" w:noHBand="0" w:noVBand="1"/>
      </w:tblPr>
      <w:tblGrid>
        <w:gridCol w:w="2689"/>
        <w:gridCol w:w="6327"/>
      </w:tblGrid>
      <w:tr w:rsidR="008664B6" w:rsidRPr="00164A45" w14:paraId="56B8F14C" w14:textId="77777777" w:rsidTr="00CD56C9">
        <w:trPr>
          <w:trHeight w:val="810"/>
        </w:trPr>
        <w:tc>
          <w:tcPr>
            <w:tcW w:w="2689" w:type="dxa"/>
            <w:hideMark/>
          </w:tcPr>
          <w:p w14:paraId="16616E40" w14:textId="77777777" w:rsidR="008664B6" w:rsidRPr="00164A45" w:rsidRDefault="008664B6" w:rsidP="006F1659">
            <w:pPr>
              <w:spacing w:line="360" w:lineRule="auto"/>
              <w:rPr>
                <w:rFonts w:ascii="Arial" w:hAnsi="Arial" w:cs="Arial"/>
              </w:rPr>
            </w:pPr>
            <w:r w:rsidRPr="00164A45">
              <w:rPr>
                <w:rFonts w:ascii="Arial" w:hAnsi="Arial" w:cs="Arial"/>
              </w:rPr>
              <w:t>Revenue Expenditure Reserve</w:t>
            </w:r>
          </w:p>
        </w:tc>
        <w:tc>
          <w:tcPr>
            <w:tcW w:w="6327" w:type="dxa"/>
            <w:hideMark/>
          </w:tcPr>
          <w:p w14:paraId="32CF533C" w14:textId="77777777" w:rsidR="008664B6" w:rsidRPr="00164A45" w:rsidRDefault="008664B6" w:rsidP="006F1659">
            <w:pPr>
              <w:spacing w:line="360" w:lineRule="auto"/>
              <w:rPr>
                <w:rFonts w:ascii="Arial" w:hAnsi="Arial" w:cs="Arial"/>
              </w:rPr>
            </w:pPr>
            <w:r w:rsidRPr="00164A45">
              <w:rPr>
                <w:rFonts w:ascii="Arial" w:hAnsi="Arial" w:cs="Arial"/>
              </w:rPr>
              <w:t>Funding to be utilised to meet costs of existing projects which span years.</w:t>
            </w:r>
          </w:p>
        </w:tc>
      </w:tr>
      <w:tr w:rsidR="008664B6" w:rsidRPr="00164A45" w14:paraId="4802C8B1" w14:textId="77777777" w:rsidTr="00CD56C9">
        <w:trPr>
          <w:trHeight w:val="1350"/>
        </w:trPr>
        <w:tc>
          <w:tcPr>
            <w:tcW w:w="2689" w:type="dxa"/>
            <w:hideMark/>
          </w:tcPr>
          <w:p w14:paraId="100DDBE9" w14:textId="77777777" w:rsidR="008664B6" w:rsidRPr="00164A45" w:rsidRDefault="008664B6" w:rsidP="006F1659">
            <w:pPr>
              <w:spacing w:line="360" w:lineRule="auto"/>
              <w:rPr>
                <w:rFonts w:ascii="Arial" w:hAnsi="Arial" w:cs="Arial"/>
              </w:rPr>
            </w:pPr>
            <w:r w:rsidRPr="00164A45">
              <w:rPr>
                <w:rFonts w:ascii="Arial" w:hAnsi="Arial" w:cs="Arial"/>
              </w:rPr>
              <w:t>Insurance Reserve</w:t>
            </w:r>
          </w:p>
        </w:tc>
        <w:tc>
          <w:tcPr>
            <w:tcW w:w="6327" w:type="dxa"/>
            <w:hideMark/>
          </w:tcPr>
          <w:p w14:paraId="7EBA3150" w14:textId="02CEF32C" w:rsidR="008664B6" w:rsidRPr="00164A45" w:rsidRDefault="008664B6" w:rsidP="006F1659">
            <w:pPr>
              <w:spacing w:line="360" w:lineRule="auto"/>
              <w:rPr>
                <w:rFonts w:ascii="Arial" w:hAnsi="Arial" w:cs="Arial"/>
              </w:rPr>
            </w:pPr>
            <w:r w:rsidRPr="00164A45">
              <w:rPr>
                <w:rFonts w:ascii="Arial" w:hAnsi="Arial" w:cs="Arial"/>
              </w:rPr>
              <w:t>Insurance Reserve - this reserve has been established as a result of reducing the insurance provision in compliance with IAS37. The reserve provides a prudent contingency against unforeseen future claims, including the MMI Scheme of Arrangement. The reserve also provides a prudent hedge against changes in the insurance market which may require premium increases.</w:t>
            </w:r>
          </w:p>
        </w:tc>
      </w:tr>
      <w:tr w:rsidR="008664B6" w:rsidRPr="00164A45" w14:paraId="69968E73" w14:textId="77777777" w:rsidTr="00CD56C9">
        <w:trPr>
          <w:trHeight w:val="540"/>
        </w:trPr>
        <w:tc>
          <w:tcPr>
            <w:tcW w:w="2689" w:type="dxa"/>
            <w:hideMark/>
          </w:tcPr>
          <w:p w14:paraId="2DDA073E" w14:textId="77777777" w:rsidR="008664B6" w:rsidRPr="00164A45" w:rsidRDefault="008664B6" w:rsidP="006F1659">
            <w:pPr>
              <w:spacing w:line="360" w:lineRule="auto"/>
              <w:rPr>
                <w:rFonts w:ascii="Arial" w:hAnsi="Arial" w:cs="Arial"/>
              </w:rPr>
            </w:pPr>
            <w:r w:rsidRPr="00164A45">
              <w:rPr>
                <w:rFonts w:ascii="Arial" w:hAnsi="Arial" w:cs="Arial"/>
              </w:rPr>
              <w:t>PCC Earmarked Reserves</w:t>
            </w:r>
          </w:p>
        </w:tc>
        <w:tc>
          <w:tcPr>
            <w:tcW w:w="6327" w:type="dxa"/>
            <w:hideMark/>
          </w:tcPr>
          <w:p w14:paraId="2054A04E" w14:textId="77777777" w:rsidR="008664B6" w:rsidRPr="00164A45" w:rsidRDefault="008664B6" w:rsidP="006F1659">
            <w:pPr>
              <w:spacing w:line="360" w:lineRule="auto"/>
              <w:rPr>
                <w:rFonts w:ascii="Arial" w:hAnsi="Arial" w:cs="Arial"/>
              </w:rPr>
            </w:pPr>
            <w:r w:rsidRPr="00164A45">
              <w:rPr>
                <w:rFonts w:ascii="Arial" w:hAnsi="Arial" w:cs="Arial"/>
              </w:rPr>
              <w:t>Funding to be utilised to meet costs of future projects which support the delivery of the Police and Crime Plan.</w:t>
            </w:r>
          </w:p>
        </w:tc>
      </w:tr>
      <w:tr w:rsidR="008664B6" w:rsidRPr="00164A45" w14:paraId="35DCCB75" w14:textId="77777777" w:rsidTr="00CD56C9">
        <w:trPr>
          <w:trHeight w:val="540"/>
        </w:trPr>
        <w:tc>
          <w:tcPr>
            <w:tcW w:w="2689" w:type="dxa"/>
            <w:hideMark/>
          </w:tcPr>
          <w:p w14:paraId="4FE3C1DF" w14:textId="77777777" w:rsidR="008664B6" w:rsidRPr="00164A45" w:rsidRDefault="008664B6" w:rsidP="006F1659">
            <w:pPr>
              <w:spacing w:line="360" w:lineRule="auto"/>
              <w:rPr>
                <w:rFonts w:ascii="Arial" w:hAnsi="Arial" w:cs="Arial"/>
              </w:rPr>
            </w:pPr>
            <w:r w:rsidRPr="00164A45">
              <w:rPr>
                <w:rFonts w:ascii="Arial" w:hAnsi="Arial" w:cs="Arial"/>
              </w:rPr>
              <w:t>PFI Reserve</w:t>
            </w:r>
          </w:p>
        </w:tc>
        <w:tc>
          <w:tcPr>
            <w:tcW w:w="6327" w:type="dxa"/>
            <w:hideMark/>
          </w:tcPr>
          <w:p w14:paraId="6F9157A8" w14:textId="5853986A" w:rsidR="008664B6" w:rsidRPr="00164A45" w:rsidRDefault="008664B6" w:rsidP="006F1659">
            <w:pPr>
              <w:spacing w:line="360" w:lineRule="auto"/>
              <w:rPr>
                <w:rFonts w:ascii="Arial" w:hAnsi="Arial" w:cs="Arial"/>
              </w:rPr>
            </w:pPr>
            <w:r w:rsidRPr="00164A45">
              <w:rPr>
                <w:rFonts w:ascii="Arial" w:hAnsi="Arial" w:cs="Arial"/>
              </w:rPr>
              <w:t>This reserve holds that balance of the PFI grant paid by the Home Office. It is used to support the future costs arising from the PFI Scheme.</w:t>
            </w:r>
          </w:p>
        </w:tc>
      </w:tr>
      <w:tr w:rsidR="008664B6" w:rsidRPr="00164A45" w14:paraId="23BE516D" w14:textId="77777777" w:rsidTr="00CD56C9">
        <w:trPr>
          <w:trHeight w:val="540"/>
        </w:trPr>
        <w:tc>
          <w:tcPr>
            <w:tcW w:w="2689" w:type="dxa"/>
          </w:tcPr>
          <w:p w14:paraId="7276120E" w14:textId="77777777" w:rsidR="008664B6" w:rsidRPr="00164A45" w:rsidRDefault="008664B6" w:rsidP="006F1659">
            <w:pPr>
              <w:spacing w:line="360" w:lineRule="auto"/>
              <w:rPr>
                <w:rFonts w:ascii="Arial" w:hAnsi="Arial" w:cs="Arial"/>
              </w:rPr>
            </w:pPr>
            <w:r>
              <w:rPr>
                <w:rFonts w:ascii="Arial" w:hAnsi="Arial" w:cs="Arial"/>
              </w:rPr>
              <w:lastRenderedPageBreak/>
              <w:t xml:space="preserve">Usable Capital Receipts Reserve </w:t>
            </w:r>
          </w:p>
        </w:tc>
        <w:tc>
          <w:tcPr>
            <w:tcW w:w="6327" w:type="dxa"/>
          </w:tcPr>
          <w:p w14:paraId="369F9906" w14:textId="1A0B1043" w:rsidR="008664B6" w:rsidRPr="00164A45" w:rsidRDefault="008664B6" w:rsidP="006F1659">
            <w:pPr>
              <w:spacing w:line="360" w:lineRule="auto"/>
              <w:rPr>
                <w:rFonts w:ascii="Arial" w:hAnsi="Arial" w:cs="Arial"/>
              </w:rPr>
            </w:pPr>
            <w:r>
              <w:rPr>
                <w:rFonts w:ascii="Arial" w:hAnsi="Arial" w:cs="Arial"/>
              </w:rPr>
              <w:t>Fund</w:t>
            </w:r>
            <w:r w:rsidRPr="00E36EF9">
              <w:rPr>
                <w:rFonts w:ascii="Arial" w:hAnsi="Arial" w:cs="Arial"/>
              </w:rPr>
              <w:t xml:space="preserve"> </w:t>
            </w:r>
            <w:r>
              <w:rPr>
                <w:rFonts w:ascii="Arial" w:hAnsi="Arial" w:cs="Arial"/>
              </w:rPr>
              <w:t>to</w:t>
            </w:r>
            <w:r w:rsidRPr="00E36EF9">
              <w:rPr>
                <w:rFonts w:ascii="Arial" w:hAnsi="Arial" w:cs="Arial"/>
              </w:rPr>
              <w:t xml:space="preserve"> hold proceeds from the sale of non-current assets which can be used to either finance future additions or to repay external debt</w:t>
            </w:r>
            <w:r w:rsidR="00C06A3D">
              <w:rPr>
                <w:rFonts w:ascii="Arial" w:hAnsi="Arial" w:cs="Arial"/>
              </w:rPr>
              <w:t>.</w:t>
            </w:r>
          </w:p>
        </w:tc>
      </w:tr>
      <w:tr w:rsidR="008664B6" w:rsidRPr="00164A45" w14:paraId="6C20C2F6" w14:textId="77777777" w:rsidTr="00CD56C9">
        <w:trPr>
          <w:trHeight w:val="540"/>
        </w:trPr>
        <w:tc>
          <w:tcPr>
            <w:tcW w:w="2689" w:type="dxa"/>
          </w:tcPr>
          <w:p w14:paraId="574678B2" w14:textId="77777777" w:rsidR="008664B6" w:rsidRPr="00164A45" w:rsidRDefault="008664B6" w:rsidP="006F1659">
            <w:pPr>
              <w:spacing w:line="360" w:lineRule="auto"/>
              <w:rPr>
                <w:rFonts w:ascii="Arial" w:hAnsi="Arial" w:cs="Arial"/>
              </w:rPr>
            </w:pPr>
            <w:r w:rsidRPr="00E36EF9">
              <w:rPr>
                <w:rFonts w:ascii="Arial" w:hAnsi="Arial" w:cs="Arial"/>
              </w:rPr>
              <w:t>Mayoral Police Fund Balances</w:t>
            </w:r>
          </w:p>
        </w:tc>
        <w:tc>
          <w:tcPr>
            <w:tcW w:w="6327" w:type="dxa"/>
          </w:tcPr>
          <w:p w14:paraId="4591240C" w14:textId="757E859F" w:rsidR="008664B6" w:rsidRPr="00164A45" w:rsidRDefault="008664B6" w:rsidP="006F1659">
            <w:pPr>
              <w:spacing w:line="360" w:lineRule="auto"/>
              <w:rPr>
                <w:rFonts w:ascii="Arial" w:hAnsi="Arial" w:cs="Arial"/>
              </w:rPr>
            </w:pPr>
            <w:r>
              <w:rPr>
                <w:rFonts w:ascii="Arial" w:hAnsi="Arial" w:cs="Arial"/>
              </w:rPr>
              <w:t xml:space="preserve">Funding to support The Mayoral Police </w:t>
            </w:r>
            <w:r w:rsidR="002E1DEA">
              <w:rPr>
                <w:rFonts w:ascii="Arial" w:hAnsi="Arial" w:cs="Arial"/>
              </w:rPr>
              <w:t>F</w:t>
            </w:r>
            <w:r>
              <w:rPr>
                <w:rFonts w:ascii="Arial" w:hAnsi="Arial" w:cs="Arial"/>
              </w:rPr>
              <w:t>und</w:t>
            </w:r>
            <w:r w:rsidR="00C06A3D">
              <w:rPr>
                <w:rFonts w:ascii="Arial" w:hAnsi="Arial" w:cs="Arial"/>
              </w:rPr>
              <w:t>.</w:t>
            </w:r>
          </w:p>
        </w:tc>
      </w:tr>
    </w:tbl>
    <w:p w14:paraId="0419C2D6" w14:textId="77777777" w:rsidR="008664B6" w:rsidRDefault="008664B6" w:rsidP="006F1659">
      <w:pPr>
        <w:spacing w:line="360" w:lineRule="auto"/>
        <w:rPr>
          <w:rFonts w:ascii="Arial" w:hAnsi="Arial" w:cs="Arial"/>
          <w:b/>
          <w:sz w:val="22"/>
          <w:szCs w:val="22"/>
        </w:rPr>
      </w:pPr>
    </w:p>
    <w:p w14:paraId="721C31E7" w14:textId="77777777" w:rsidR="001F7108" w:rsidRDefault="001F7108" w:rsidP="006F1659">
      <w:pPr>
        <w:spacing w:line="360" w:lineRule="auto"/>
        <w:rPr>
          <w:rFonts w:ascii="Arial" w:hAnsi="Arial" w:cs="Arial"/>
          <w:b/>
          <w:sz w:val="22"/>
          <w:szCs w:val="22"/>
        </w:rPr>
      </w:pPr>
    </w:p>
    <w:p w14:paraId="4C35AC63" w14:textId="0BE74427" w:rsidR="009A1A83" w:rsidRPr="0007572B" w:rsidRDefault="009A1A83" w:rsidP="009A1A83">
      <w:pPr>
        <w:pStyle w:val="Heading3greennumbered"/>
        <w:spacing w:line="360" w:lineRule="auto"/>
      </w:pPr>
      <w:r>
        <w:t>10 Long Term Investments</w:t>
      </w:r>
    </w:p>
    <w:p w14:paraId="7F02CAA7" w14:textId="77777777" w:rsidR="001F7108" w:rsidRDefault="001F7108" w:rsidP="006F1659">
      <w:pPr>
        <w:spacing w:line="360" w:lineRule="auto"/>
        <w:rPr>
          <w:rFonts w:ascii="Arial" w:hAnsi="Arial" w:cs="Arial"/>
          <w:b/>
          <w:sz w:val="22"/>
          <w:szCs w:val="22"/>
        </w:rPr>
      </w:pPr>
    </w:p>
    <w:p w14:paraId="3E5C9675" w14:textId="10B12442" w:rsidR="006B05F5" w:rsidRDefault="00190AF8" w:rsidP="00190AF8">
      <w:pPr>
        <w:spacing w:line="360" w:lineRule="auto"/>
        <w:rPr>
          <w:rFonts w:ascii="Arial" w:hAnsi="Arial" w:cs="Arial"/>
          <w:b/>
          <w:sz w:val="22"/>
          <w:szCs w:val="22"/>
        </w:rPr>
      </w:pPr>
      <w:r w:rsidRPr="00190AF8">
        <w:rPr>
          <w:noProof/>
        </w:rPr>
        <w:drawing>
          <wp:inline distT="0" distB="0" distL="0" distR="0" wp14:anchorId="691F71AE" wp14:editId="70E3C319">
            <wp:extent cx="5708650" cy="2330450"/>
            <wp:effectExtent l="0" t="0" r="6350" b="0"/>
            <wp:docPr id="1771551401" name="Picture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551401" name="Picture 112">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08650" cy="2330450"/>
                    </a:xfrm>
                    <a:prstGeom prst="rect">
                      <a:avLst/>
                    </a:prstGeom>
                    <a:noFill/>
                    <a:ln>
                      <a:noFill/>
                    </a:ln>
                  </pic:spPr>
                </pic:pic>
              </a:graphicData>
            </a:graphic>
          </wp:inline>
        </w:drawing>
      </w:r>
      <w:bookmarkStart w:id="119" w:name="_Toc92894883"/>
      <w:bookmarkStart w:id="120" w:name="_Toc92895187"/>
      <w:bookmarkStart w:id="121" w:name="_Toc109922621"/>
    </w:p>
    <w:p w14:paraId="5BEF2B41" w14:textId="77777777" w:rsidR="006216D4" w:rsidRDefault="006216D4" w:rsidP="00217A46">
      <w:pPr>
        <w:spacing w:line="360" w:lineRule="auto"/>
        <w:rPr>
          <w:rFonts w:ascii="Arial" w:hAnsi="Arial" w:cs="Arial"/>
        </w:rPr>
      </w:pPr>
    </w:p>
    <w:p w14:paraId="12A6E5DE" w14:textId="1EE657FC" w:rsidR="00217A46" w:rsidRPr="00217A46" w:rsidRDefault="00217A46" w:rsidP="00217A46">
      <w:pPr>
        <w:spacing w:line="360" w:lineRule="auto"/>
        <w:rPr>
          <w:rFonts w:ascii="Arial" w:hAnsi="Arial" w:cs="Arial"/>
        </w:rPr>
      </w:pPr>
      <w:r w:rsidRPr="00217A46">
        <w:rPr>
          <w:rFonts w:ascii="Arial" w:hAnsi="Arial" w:cs="Arial"/>
        </w:rPr>
        <w:t xml:space="preserve">The Authority holds £40.839m of equity </w:t>
      </w:r>
      <w:r w:rsidRPr="009928B3">
        <w:rPr>
          <w:rFonts w:ascii="Arial" w:hAnsi="Arial" w:cs="Arial"/>
        </w:rPr>
        <w:t>investments for a number of businesses that previously held loans plus other direct investments</w:t>
      </w:r>
      <w:r w:rsidR="009928B3" w:rsidRPr="009928B3">
        <w:rPr>
          <w:rFonts w:ascii="Arial" w:hAnsi="Arial" w:cs="Arial"/>
        </w:rPr>
        <w:t xml:space="preserve">. </w:t>
      </w:r>
      <w:r w:rsidRPr="009928B3">
        <w:rPr>
          <w:rFonts w:ascii="Arial" w:hAnsi="Arial" w:cs="Arial"/>
        </w:rPr>
        <w:t xml:space="preserve">The </w:t>
      </w:r>
      <w:r w:rsidRPr="00217A46">
        <w:rPr>
          <w:rFonts w:ascii="Arial" w:hAnsi="Arial" w:cs="Arial"/>
        </w:rPr>
        <w:t>Authority has made the irrevocable election to designate these assets as Fair Value through Other Comprehensive Income in accordance with IFRS 9 Financial Instruments. They meet the requirements of the CIPFA code to be designated this way as they are all strategic investments and not held for trading purposes.</w:t>
      </w:r>
    </w:p>
    <w:p w14:paraId="27CD1EE6" w14:textId="77777777" w:rsidR="00217A46" w:rsidRPr="00217A46" w:rsidRDefault="00217A46" w:rsidP="00217A46">
      <w:pPr>
        <w:spacing w:line="360" w:lineRule="auto"/>
        <w:rPr>
          <w:rFonts w:ascii="Arial" w:hAnsi="Arial" w:cs="Arial"/>
        </w:rPr>
      </w:pPr>
    </w:p>
    <w:p w14:paraId="032723F4" w14:textId="77777777" w:rsidR="00217A46" w:rsidRPr="00217A46" w:rsidRDefault="00217A46" w:rsidP="00217A46">
      <w:pPr>
        <w:spacing w:line="360" w:lineRule="auto"/>
        <w:rPr>
          <w:rFonts w:ascii="Arial" w:hAnsi="Arial" w:cs="Arial"/>
        </w:rPr>
      </w:pPr>
      <w:r w:rsidRPr="00217A46">
        <w:rPr>
          <w:rFonts w:ascii="Arial" w:hAnsi="Arial" w:cs="Arial"/>
        </w:rPr>
        <w:t xml:space="preserve">The shares or limited partnership interests held are not traded in active markets and are valued based on level 2 - observable input data from the companies, such as latest filed accounts and management accounting reports. There have been no transfers between input levels or changes in valuation techniques during 2023/24 for this class of asset. </w:t>
      </w:r>
    </w:p>
    <w:p w14:paraId="0F9B00ED" w14:textId="77777777" w:rsidR="00217A46" w:rsidRDefault="00217A46" w:rsidP="00217A46">
      <w:pPr>
        <w:spacing w:line="360" w:lineRule="auto"/>
        <w:rPr>
          <w:rFonts w:ascii="Arial" w:hAnsi="Arial" w:cs="Arial"/>
        </w:rPr>
      </w:pPr>
    </w:p>
    <w:p w14:paraId="147F0AA5" w14:textId="77777777" w:rsidR="00C4332C" w:rsidRPr="00217A46" w:rsidRDefault="00C4332C" w:rsidP="00217A46">
      <w:pPr>
        <w:spacing w:line="360" w:lineRule="auto"/>
        <w:rPr>
          <w:rFonts w:ascii="Arial" w:hAnsi="Arial" w:cs="Arial"/>
        </w:rPr>
      </w:pPr>
    </w:p>
    <w:p w14:paraId="487F458D" w14:textId="4265595A" w:rsidR="00217A46" w:rsidRDefault="00217A46" w:rsidP="00217A46">
      <w:pPr>
        <w:spacing w:line="360" w:lineRule="auto"/>
        <w:rPr>
          <w:rFonts w:ascii="Arial" w:hAnsi="Arial" w:cs="Arial"/>
          <w:color w:val="0070C0"/>
        </w:rPr>
      </w:pPr>
      <w:r w:rsidRPr="00217A46">
        <w:rPr>
          <w:rFonts w:ascii="Arial" w:hAnsi="Arial" w:cs="Arial"/>
        </w:rPr>
        <w:lastRenderedPageBreak/>
        <w:t>Of the 20 equity investments held; the largest balances relate to:</w:t>
      </w:r>
    </w:p>
    <w:p w14:paraId="559C02F5" w14:textId="77777777" w:rsidR="00217A46" w:rsidRPr="00217A46" w:rsidRDefault="00217A46" w:rsidP="00D15D90">
      <w:pPr>
        <w:pStyle w:val="ListParagraph"/>
        <w:numPr>
          <w:ilvl w:val="0"/>
          <w:numId w:val="82"/>
        </w:numPr>
        <w:spacing w:before="240" w:line="360" w:lineRule="auto"/>
        <w:rPr>
          <w:rFonts w:ascii="Arial" w:hAnsi="Arial" w:cs="Arial"/>
          <w:sz w:val="24"/>
          <w:szCs w:val="24"/>
        </w:rPr>
      </w:pPr>
      <w:r w:rsidRPr="00217A46">
        <w:rPr>
          <w:rFonts w:ascii="Arial" w:hAnsi="Arial" w:cs="Arial"/>
          <w:b/>
          <w:bCs/>
          <w:sz w:val="24"/>
          <w:szCs w:val="24"/>
        </w:rPr>
        <w:t>Interchange Homes LLP (£9.3m)</w:t>
      </w:r>
      <w:r w:rsidRPr="00217A46">
        <w:rPr>
          <w:rFonts w:ascii="Arial" w:hAnsi="Arial" w:cs="Arial"/>
          <w:sz w:val="24"/>
          <w:szCs w:val="24"/>
        </w:rPr>
        <w:t xml:space="preserve"> – this is an investment to support the construction of 196 apartments at Stockport Bus Interchange. The analysis is based upon GMCA intention to hold the patient equity stake over a long term and therefore to be held at cost.</w:t>
      </w:r>
    </w:p>
    <w:p w14:paraId="5D2A5329" w14:textId="77777777" w:rsidR="00217A46" w:rsidRPr="00217A46" w:rsidRDefault="00217A46" w:rsidP="00217A46">
      <w:pPr>
        <w:pStyle w:val="ListParagraph"/>
        <w:spacing w:before="240" w:line="360" w:lineRule="auto"/>
        <w:rPr>
          <w:rFonts w:ascii="Arial" w:hAnsi="Arial" w:cs="Arial"/>
          <w:sz w:val="24"/>
          <w:szCs w:val="24"/>
        </w:rPr>
      </w:pPr>
    </w:p>
    <w:p w14:paraId="3BC523C9" w14:textId="77777777" w:rsidR="00217A46" w:rsidRPr="00217A46" w:rsidRDefault="00217A46" w:rsidP="00D15D90">
      <w:pPr>
        <w:pStyle w:val="ListParagraph"/>
        <w:numPr>
          <w:ilvl w:val="0"/>
          <w:numId w:val="82"/>
        </w:numPr>
        <w:spacing w:before="240" w:line="360" w:lineRule="auto"/>
        <w:rPr>
          <w:rFonts w:ascii="Arial" w:hAnsi="Arial" w:cs="Arial"/>
          <w:sz w:val="24"/>
          <w:szCs w:val="24"/>
        </w:rPr>
      </w:pPr>
      <w:r w:rsidRPr="00217A46">
        <w:rPr>
          <w:rFonts w:ascii="Arial" w:hAnsi="Arial" w:cs="Arial"/>
          <w:b/>
          <w:bCs/>
          <w:sz w:val="24"/>
          <w:szCs w:val="24"/>
        </w:rPr>
        <w:t>National Homelessness Property (£7.7m)</w:t>
      </w:r>
      <w:r w:rsidRPr="00217A46">
        <w:rPr>
          <w:rFonts w:ascii="Arial" w:hAnsi="Arial" w:cs="Arial"/>
          <w:sz w:val="24"/>
          <w:szCs w:val="24"/>
        </w:rPr>
        <w:t xml:space="preserve"> – this is an investment into National Homelessness Property Fund 2, for the acquisition and refurbishment of properties, providing people at risk of homelessness with a settled home. The valuation is based upon the latest National Homelessness Property 2 Trust investment report, including the property valuations and forecast yield. </w:t>
      </w:r>
    </w:p>
    <w:p w14:paraId="14FAB256" w14:textId="77777777" w:rsidR="00217A46" w:rsidRPr="00217A46" w:rsidRDefault="00217A46" w:rsidP="00217A46">
      <w:pPr>
        <w:pStyle w:val="ListParagraph"/>
        <w:spacing w:before="240" w:line="360" w:lineRule="auto"/>
        <w:rPr>
          <w:rFonts w:ascii="Arial" w:hAnsi="Arial" w:cs="Arial"/>
          <w:sz w:val="24"/>
          <w:szCs w:val="24"/>
        </w:rPr>
      </w:pPr>
    </w:p>
    <w:p w14:paraId="70983853" w14:textId="77777777" w:rsidR="00217A46" w:rsidRPr="00217A46" w:rsidRDefault="00217A46" w:rsidP="00D15D90">
      <w:pPr>
        <w:pStyle w:val="ListParagraph"/>
        <w:numPr>
          <w:ilvl w:val="0"/>
          <w:numId w:val="82"/>
        </w:numPr>
        <w:spacing w:before="240" w:line="360" w:lineRule="auto"/>
        <w:rPr>
          <w:rFonts w:ascii="Arial" w:hAnsi="Arial" w:cs="Arial"/>
        </w:rPr>
      </w:pPr>
      <w:r w:rsidRPr="00217A46">
        <w:rPr>
          <w:rFonts w:ascii="Arial" w:hAnsi="Arial" w:cs="Arial"/>
          <w:b/>
          <w:bCs/>
          <w:sz w:val="24"/>
          <w:szCs w:val="24"/>
        </w:rPr>
        <w:t>Life Sciences 1 (£6.1m)</w:t>
      </w:r>
      <w:r w:rsidRPr="00217A46">
        <w:rPr>
          <w:rFonts w:ascii="Arial" w:hAnsi="Arial" w:cs="Arial"/>
          <w:sz w:val="24"/>
          <w:szCs w:val="24"/>
        </w:rPr>
        <w:t xml:space="preserve"> – this is an investment into a fund that provides seed and early-stage venture capital investment for life sciences businesses. Investments are valued by the Manager in line with the requirements of FRS 102 and according to the International Private Equity and Venture Capital Valuation Guidelines. </w:t>
      </w:r>
    </w:p>
    <w:p w14:paraId="47A0E1BD" w14:textId="77777777" w:rsidR="00217A46" w:rsidRPr="00217A46" w:rsidRDefault="00217A46" w:rsidP="00217A46">
      <w:pPr>
        <w:pStyle w:val="ListParagraph"/>
        <w:spacing w:before="240" w:line="360" w:lineRule="auto"/>
        <w:rPr>
          <w:rFonts w:ascii="Arial" w:hAnsi="Arial" w:cs="Arial"/>
        </w:rPr>
      </w:pPr>
    </w:p>
    <w:p w14:paraId="0200E83B" w14:textId="77777777" w:rsidR="00217A46" w:rsidRPr="00217A46" w:rsidRDefault="00217A46" w:rsidP="00D15D90">
      <w:pPr>
        <w:pStyle w:val="ListParagraph"/>
        <w:numPr>
          <w:ilvl w:val="0"/>
          <w:numId w:val="82"/>
        </w:numPr>
        <w:spacing w:before="240" w:line="360" w:lineRule="auto"/>
        <w:rPr>
          <w:rFonts w:ascii="Arial" w:hAnsi="Arial" w:cs="Arial"/>
        </w:rPr>
      </w:pPr>
      <w:bookmarkStart w:id="122" w:name="_Hlk172031392"/>
      <w:r w:rsidRPr="00217A46">
        <w:rPr>
          <w:rFonts w:ascii="Arial" w:hAnsi="Arial" w:cs="Arial"/>
          <w:b/>
          <w:bCs/>
          <w:sz w:val="24"/>
          <w:szCs w:val="24"/>
        </w:rPr>
        <w:t>Life Sciences 2 (£2.6m)</w:t>
      </w:r>
      <w:r w:rsidRPr="00217A46">
        <w:rPr>
          <w:rFonts w:ascii="Arial" w:hAnsi="Arial" w:cs="Arial"/>
          <w:sz w:val="24"/>
          <w:szCs w:val="24"/>
        </w:rPr>
        <w:t xml:space="preserve"> </w:t>
      </w:r>
      <w:bookmarkEnd w:id="122"/>
      <w:r w:rsidRPr="00217A46">
        <w:rPr>
          <w:rFonts w:ascii="Arial" w:hAnsi="Arial" w:cs="Arial"/>
          <w:sz w:val="24"/>
          <w:szCs w:val="24"/>
        </w:rPr>
        <w:t>– this is an investment into a fund that provides seed and early-stage funding to life sciences businesses. The Fund Manager have reviewed each investment and considered the value based on performance and market comparables in line with the Accounting Standards including FRS 102. The Fund Manager concluded that the value of the total portfolio is in line with the capital invested.</w:t>
      </w:r>
    </w:p>
    <w:p w14:paraId="77D9C75E" w14:textId="77777777" w:rsidR="00217A46" w:rsidRPr="00217A46" w:rsidRDefault="00217A46" w:rsidP="00217A46">
      <w:pPr>
        <w:pStyle w:val="ListParagraph"/>
        <w:rPr>
          <w:rFonts w:ascii="Arial" w:hAnsi="Arial" w:cs="Arial"/>
        </w:rPr>
      </w:pPr>
    </w:p>
    <w:p w14:paraId="65223F71" w14:textId="4524431D" w:rsidR="00217A46" w:rsidRPr="00217A46" w:rsidRDefault="00217A46" w:rsidP="00D15D90">
      <w:pPr>
        <w:pStyle w:val="ListParagraph"/>
        <w:numPr>
          <w:ilvl w:val="0"/>
          <w:numId w:val="82"/>
        </w:numPr>
        <w:spacing w:before="240" w:line="360" w:lineRule="auto"/>
        <w:rPr>
          <w:rFonts w:ascii="Arial" w:hAnsi="Arial" w:cs="Arial"/>
          <w:b/>
          <w:bCs/>
        </w:rPr>
      </w:pPr>
      <w:r w:rsidRPr="00217A46">
        <w:rPr>
          <w:rFonts w:ascii="Arial" w:hAnsi="Arial" w:cs="Arial"/>
          <w:b/>
          <w:bCs/>
        </w:rPr>
        <w:t xml:space="preserve">Bankifi Technology Limited (£1.0m) </w:t>
      </w:r>
      <w:r w:rsidRPr="00217A46">
        <w:rPr>
          <w:rFonts w:ascii="Arial" w:hAnsi="Arial" w:cs="Arial"/>
          <w:sz w:val="24"/>
          <w:szCs w:val="24"/>
        </w:rPr>
        <w:t>– this is an investment into Bankifi which sells software services to banks, allowing their customers to get paid quickly using open banking. The business has cut costs to conserve cash and is launching a new product and key partnership. It has healthy cash balances and aims to increase ARR during the course of the year.</w:t>
      </w:r>
    </w:p>
    <w:p w14:paraId="7FE84C5A" w14:textId="77777777" w:rsidR="00217A46" w:rsidRPr="00217A46" w:rsidRDefault="00217A46" w:rsidP="00217A46">
      <w:pPr>
        <w:pStyle w:val="ListParagraph"/>
        <w:spacing w:before="240" w:line="360" w:lineRule="auto"/>
      </w:pPr>
    </w:p>
    <w:p w14:paraId="769DF549" w14:textId="57735DF4" w:rsidR="00217A46" w:rsidRPr="00217A46" w:rsidRDefault="00217A46" w:rsidP="00D15D90">
      <w:pPr>
        <w:pStyle w:val="ListParagraph"/>
        <w:numPr>
          <w:ilvl w:val="0"/>
          <w:numId w:val="82"/>
        </w:numPr>
        <w:spacing w:before="240" w:line="360" w:lineRule="auto"/>
      </w:pPr>
      <w:r w:rsidRPr="00217A46">
        <w:rPr>
          <w:rFonts w:ascii="Arial" w:hAnsi="Arial" w:cs="Arial"/>
          <w:b/>
          <w:bCs/>
        </w:rPr>
        <w:lastRenderedPageBreak/>
        <w:t xml:space="preserve">Hive Homes LLP (£2.0m) </w:t>
      </w:r>
      <w:r w:rsidRPr="00217A46">
        <w:rPr>
          <w:rFonts w:ascii="Arial" w:hAnsi="Arial" w:cs="Arial"/>
          <w:sz w:val="24"/>
          <w:szCs w:val="24"/>
        </w:rPr>
        <w:t>– Hive Homes is a joint venture between GMCA based registered housing providers to develop homes for sale across the city region. The current analysis is estimating a return on an investment and is held at cost.</w:t>
      </w:r>
    </w:p>
    <w:p w14:paraId="24D7FB77" w14:textId="77777777" w:rsidR="00217A46" w:rsidRPr="00217A46" w:rsidRDefault="00217A46" w:rsidP="00217A46">
      <w:pPr>
        <w:pStyle w:val="ListParagraph"/>
      </w:pPr>
    </w:p>
    <w:p w14:paraId="0CD6C725" w14:textId="77777777" w:rsidR="00217A46" w:rsidRPr="00217A46" w:rsidRDefault="00217A46" w:rsidP="00D15D90">
      <w:pPr>
        <w:pStyle w:val="ListParagraph"/>
        <w:numPr>
          <w:ilvl w:val="0"/>
          <w:numId w:val="82"/>
        </w:numPr>
        <w:spacing w:before="240" w:line="360" w:lineRule="auto"/>
      </w:pPr>
      <w:r w:rsidRPr="00217A46">
        <w:rPr>
          <w:rFonts w:ascii="Arial" w:hAnsi="Arial" w:cs="Arial"/>
          <w:b/>
          <w:bCs/>
        </w:rPr>
        <w:t xml:space="preserve">Resonance Supported Homes Fund Ltd Partnership (£5.0m) </w:t>
      </w:r>
      <w:r w:rsidRPr="00217A46">
        <w:rPr>
          <w:rFonts w:ascii="Arial" w:hAnsi="Arial" w:cs="Arial"/>
          <w:sz w:val="24"/>
          <w:szCs w:val="24"/>
        </w:rPr>
        <w:t>– This social impact fund acquires and substantially refits apartments for adults with learning disabilities/autism, with the homes then being leased on to charities. The latest yield is in line with the original forecast. The investment is held at cost</w:t>
      </w:r>
      <w:r w:rsidRPr="00217A46">
        <w:t>.</w:t>
      </w:r>
    </w:p>
    <w:p w14:paraId="26A291C9" w14:textId="77777777" w:rsidR="00217A46" w:rsidRPr="00217A46" w:rsidRDefault="00217A46" w:rsidP="00217A46">
      <w:pPr>
        <w:pStyle w:val="ListParagraph"/>
        <w:rPr>
          <w:rFonts w:ascii="Arial" w:hAnsi="Arial" w:cs="Arial"/>
          <w:sz w:val="24"/>
          <w:szCs w:val="24"/>
        </w:rPr>
      </w:pPr>
    </w:p>
    <w:p w14:paraId="1E176A7C" w14:textId="7885BD88" w:rsidR="00217A46" w:rsidRPr="00217A46" w:rsidRDefault="00217A46" w:rsidP="00D15D90">
      <w:pPr>
        <w:pStyle w:val="ListParagraph"/>
        <w:numPr>
          <w:ilvl w:val="0"/>
          <w:numId w:val="82"/>
        </w:numPr>
        <w:spacing w:before="240" w:line="360" w:lineRule="auto"/>
      </w:pPr>
      <w:r w:rsidRPr="00217A46">
        <w:rPr>
          <w:rFonts w:ascii="Arial" w:hAnsi="Arial" w:cs="Arial"/>
          <w:b/>
          <w:bCs/>
          <w:sz w:val="24"/>
          <w:szCs w:val="24"/>
        </w:rPr>
        <w:t>S</w:t>
      </w:r>
      <w:r w:rsidRPr="00217A46">
        <w:rPr>
          <w:rFonts w:ascii="Arial" w:hAnsi="Arial" w:cs="Arial"/>
          <w:b/>
          <w:bCs/>
        </w:rPr>
        <w:t xml:space="preserve">ocial and Sustainable Housing I Ltd Partnership (£0.9m) &amp; Social and Sustainable Housing II Ltd Partnership (£2.5m) </w:t>
      </w:r>
      <w:r w:rsidRPr="00217A46">
        <w:rPr>
          <w:rFonts w:ascii="Arial" w:hAnsi="Arial" w:cs="Arial"/>
          <w:sz w:val="24"/>
          <w:szCs w:val="24"/>
        </w:rPr>
        <w:t>– These social impact funds on-lend to charities and similar organisations to acquire, refurbish or build property for vulnerable people including homeless, domestic violence victims and care leavers. The investment is held at cost</w:t>
      </w:r>
      <w:r w:rsidRPr="00217A46">
        <w:t>.</w:t>
      </w:r>
    </w:p>
    <w:p w14:paraId="3916FFEF" w14:textId="77777777" w:rsidR="00217A46" w:rsidRPr="00217A46" w:rsidRDefault="00217A46" w:rsidP="00217A46">
      <w:pPr>
        <w:pStyle w:val="ListParagraph"/>
        <w:spacing w:before="240" w:line="360" w:lineRule="auto"/>
      </w:pPr>
    </w:p>
    <w:p w14:paraId="035CCA4D" w14:textId="2C1B945A" w:rsidR="00217A46" w:rsidRPr="00217A46" w:rsidRDefault="00217A46" w:rsidP="00D15D90">
      <w:pPr>
        <w:pStyle w:val="ListParagraph"/>
        <w:numPr>
          <w:ilvl w:val="0"/>
          <w:numId w:val="82"/>
        </w:numPr>
        <w:spacing w:before="240" w:line="360" w:lineRule="auto"/>
      </w:pPr>
      <w:r w:rsidRPr="00217A46">
        <w:rPr>
          <w:rFonts w:ascii="Arial" w:hAnsi="Arial" w:cs="Arial"/>
          <w:b/>
          <w:bCs/>
        </w:rPr>
        <w:t xml:space="preserve">SMIDSY Limited (£1.0m) </w:t>
      </w:r>
      <w:r w:rsidRPr="00217A46">
        <w:rPr>
          <w:rFonts w:ascii="Arial" w:hAnsi="Arial" w:cs="Arial"/>
          <w:sz w:val="24"/>
          <w:szCs w:val="24"/>
        </w:rPr>
        <w:t>– SMIDSY Limited, trading as Beryl, is a provider of mobility-share schemes, offering bike and escooters to towns and cities across the UK. The company is continuing to win new bids and in the process of conducting fundraise from existing investors. This early-stage investment is held at cost.</w:t>
      </w:r>
    </w:p>
    <w:p w14:paraId="19C9A8BE" w14:textId="77777777" w:rsidR="00217A46" w:rsidRPr="00217A46" w:rsidRDefault="00217A46" w:rsidP="00217A46">
      <w:pPr>
        <w:pStyle w:val="ListParagraph"/>
        <w:rPr>
          <w:rFonts w:ascii="Arial" w:hAnsi="Arial" w:cs="Arial"/>
          <w:b/>
          <w:bCs/>
        </w:rPr>
      </w:pPr>
    </w:p>
    <w:p w14:paraId="685B4069" w14:textId="77777777" w:rsidR="00217A46" w:rsidRPr="00217A46" w:rsidRDefault="00217A46" w:rsidP="00D15D90">
      <w:pPr>
        <w:pStyle w:val="ListParagraph"/>
        <w:numPr>
          <w:ilvl w:val="0"/>
          <w:numId w:val="82"/>
        </w:numPr>
        <w:spacing w:before="240" w:line="360" w:lineRule="auto"/>
      </w:pPr>
      <w:r w:rsidRPr="00217A46">
        <w:rPr>
          <w:rFonts w:ascii="Arial" w:hAnsi="Arial" w:cs="Arial"/>
          <w:b/>
          <w:bCs/>
        </w:rPr>
        <w:t xml:space="preserve">Other Investments (£2.7m) </w:t>
      </w:r>
      <w:r w:rsidRPr="00217A46">
        <w:rPr>
          <w:rFonts w:ascii="Arial" w:hAnsi="Arial" w:cs="Arial"/>
          <w:sz w:val="24"/>
          <w:szCs w:val="24"/>
        </w:rPr>
        <w:t>– This covers all other equity investments made into various sectors covering Digital &amp; Creative, Social fund, Technology and Innovation. The investment is made in line with the investment strategy to maximise the growth opportunities of the designated businesses and companies in the region. The basis of valuation varies depending on several factors, including the nature of the investment.</w:t>
      </w:r>
    </w:p>
    <w:p w14:paraId="0B0D36D3" w14:textId="77777777" w:rsidR="00190AF8" w:rsidRPr="00190AF8" w:rsidRDefault="00190AF8" w:rsidP="00190AF8">
      <w:pPr>
        <w:spacing w:line="360" w:lineRule="auto"/>
        <w:rPr>
          <w:rFonts w:ascii="Arial" w:hAnsi="Arial" w:cs="Arial"/>
          <w:b/>
          <w:sz w:val="22"/>
          <w:szCs w:val="22"/>
        </w:rPr>
      </w:pPr>
    </w:p>
    <w:p w14:paraId="79BD9CD1" w14:textId="77777777" w:rsidR="006216D4" w:rsidRDefault="006216D4">
      <w:pPr>
        <w:rPr>
          <w:rFonts w:ascii="Arial" w:eastAsia="Palatino Linotype" w:hAnsi="Arial" w:cs="Arial"/>
          <w:b/>
          <w:bCs/>
          <w:szCs w:val="28"/>
          <w:lang w:val="en-US"/>
        </w:rPr>
      </w:pPr>
      <w:r>
        <w:br w:type="page"/>
      </w:r>
    </w:p>
    <w:p w14:paraId="1CF16AAE" w14:textId="3A58BFAA" w:rsidR="00F2757F" w:rsidRPr="0007572B" w:rsidRDefault="00FC62F7" w:rsidP="006F1659">
      <w:pPr>
        <w:pStyle w:val="Heading3greennumbered"/>
        <w:spacing w:line="360" w:lineRule="auto"/>
      </w:pPr>
      <w:r w:rsidRPr="0007572B">
        <w:lastRenderedPageBreak/>
        <w:t>1</w:t>
      </w:r>
      <w:r w:rsidR="0003456C" w:rsidRPr="0007572B">
        <w:t>1</w:t>
      </w:r>
      <w:r w:rsidRPr="0007572B">
        <w:t xml:space="preserve"> </w:t>
      </w:r>
      <w:r w:rsidR="00867D36" w:rsidRPr="0007572B">
        <w:t xml:space="preserve">Expenditure and Income Analysed by </w:t>
      </w:r>
      <w:r w:rsidR="00E913C8" w:rsidRPr="0007572B">
        <w:t>Nature</w:t>
      </w:r>
      <w:bookmarkEnd w:id="119"/>
      <w:bookmarkEnd w:id="120"/>
      <w:bookmarkEnd w:id="121"/>
    </w:p>
    <w:p w14:paraId="05B328C6" w14:textId="77777777" w:rsidR="005403AF" w:rsidRDefault="005403AF" w:rsidP="006F1659">
      <w:pPr>
        <w:spacing w:line="360" w:lineRule="auto"/>
        <w:rPr>
          <w:rFonts w:ascii="Arial" w:hAnsi="Arial" w:cs="Arial"/>
        </w:rPr>
      </w:pPr>
    </w:p>
    <w:p w14:paraId="4501F304" w14:textId="6E491B8F" w:rsidR="00F2757F" w:rsidRPr="0007572B" w:rsidRDefault="00DC5AAB" w:rsidP="006F1659">
      <w:pPr>
        <w:spacing w:line="360" w:lineRule="auto"/>
        <w:rPr>
          <w:rFonts w:ascii="Arial" w:hAnsi="Arial" w:cs="Arial"/>
        </w:rPr>
      </w:pPr>
      <w:r w:rsidRPr="0007572B">
        <w:rPr>
          <w:rFonts w:ascii="Arial" w:hAnsi="Arial" w:cs="Arial"/>
        </w:rPr>
        <w:t>This table shows the underlying nature of the income and expenditure of the Authority:</w:t>
      </w:r>
    </w:p>
    <w:p w14:paraId="71ABC11D" w14:textId="7F1DA70F" w:rsidR="00E853C6" w:rsidRDefault="00E853C6" w:rsidP="006F1659">
      <w:pPr>
        <w:spacing w:line="360" w:lineRule="auto"/>
        <w:rPr>
          <w:rFonts w:ascii="Arial" w:hAnsi="Arial" w:cs="Arial"/>
          <w:sz w:val="22"/>
          <w:szCs w:val="22"/>
        </w:rPr>
      </w:pPr>
      <w:bookmarkStart w:id="123" w:name="_Toc92894884"/>
      <w:bookmarkStart w:id="124" w:name="_Toc92895188"/>
    </w:p>
    <w:p w14:paraId="33A95B6F" w14:textId="7BCD8892" w:rsidR="006B05F5" w:rsidRDefault="006B05F5" w:rsidP="006F1659">
      <w:pPr>
        <w:spacing w:line="360" w:lineRule="auto"/>
        <w:rPr>
          <w:rFonts w:ascii="Arial" w:eastAsia="Palatino Linotype" w:hAnsi="Arial" w:cs="Arial"/>
          <w:b/>
          <w:bCs/>
          <w:szCs w:val="28"/>
          <w:lang w:val="en-US"/>
        </w:rPr>
      </w:pPr>
      <w:r w:rsidRPr="006B05F5">
        <w:rPr>
          <w:rFonts w:eastAsia="Palatino Linotype"/>
          <w:noProof/>
        </w:rPr>
        <w:drawing>
          <wp:inline distT="0" distB="0" distL="0" distR="0" wp14:anchorId="0AFD4FB3" wp14:editId="30F3BB7B">
            <wp:extent cx="5708650" cy="3435350"/>
            <wp:effectExtent l="0" t="0" r="6350" b="0"/>
            <wp:docPr id="1977137875"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137875" name="Picture 12">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08650" cy="3435350"/>
                    </a:xfrm>
                    <a:prstGeom prst="rect">
                      <a:avLst/>
                    </a:prstGeom>
                    <a:noFill/>
                    <a:ln>
                      <a:noFill/>
                    </a:ln>
                  </pic:spPr>
                </pic:pic>
              </a:graphicData>
            </a:graphic>
          </wp:inline>
        </w:drawing>
      </w:r>
    </w:p>
    <w:p w14:paraId="331D0175" w14:textId="16FD3444" w:rsidR="00C06A3D" w:rsidRDefault="00C06A3D" w:rsidP="006F1659">
      <w:pPr>
        <w:spacing w:line="360" w:lineRule="auto"/>
        <w:rPr>
          <w:rFonts w:ascii="Arial" w:eastAsia="Palatino Linotype" w:hAnsi="Arial" w:cs="Arial"/>
          <w:b/>
          <w:bCs/>
          <w:szCs w:val="28"/>
          <w:lang w:val="en-US"/>
        </w:rPr>
      </w:pPr>
      <w:bookmarkStart w:id="125" w:name="_Toc109922622"/>
    </w:p>
    <w:p w14:paraId="2006E30A" w14:textId="77777777" w:rsidR="006B05F5" w:rsidRDefault="006B05F5" w:rsidP="006F1659">
      <w:pPr>
        <w:spacing w:line="360" w:lineRule="auto"/>
        <w:rPr>
          <w:rFonts w:ascii="Arial" w:eastAsia="Palatino Linotype" w:hAnsi="Arial" w:cs="Arial"/>
          <w:b/>
          <w:bCs/>
          <w:szCs w:val="28"/>
          <w:lang w:val="en-US"/>
        </w:rPr>
      </w:pPr>
    </w:p>
    <w:p w14:paraId="0F3DE993" w14:textId="0C7D045C" w:rsidR="00FC62F7" w:rsidRPr="0007572B" w:rsidRDefault="00FC62F7" w:rsidP="006F1659">
      <w:pPr>
        <w:pStyle w:val="Heading3greennumbered"/>
        <w:spacing w:line="360" w:lineRule="auto"/>
      </w:pPr>
      <w:r w:rsidRPr="0007572B">
        <w:t>1</w:t>
      </w:r>
      <w:r w:rsidR="0003456C" w:rsidRPr="0007572B">
        <w:t>2</w:t>
      </w:r>
      <w:r w:rsidRPr="0007572B">
        <w:t xml:space="preserve"> Revenue Expenditure Funded from Capital under Statute</w:t>
      </w:r>
      <w:bookmarkEnd w:id="123"/>
      <w:bookmarkEnd w:id="124"/>
      <w:bookmarkEnd w:id="125"/>
    </w:p>
    <w:p w14:paraId="5C00B91B" w14:textId="77777777" w:rsidR="005403AF" w:rsidRDefault="005403AF" w:rsidP="006F1659">
      <w:pPr>
        <w:spacing w:line="360" w:lineRule="auto"/>
        <w:rPr>
          <w:rFonts w:ascii="Arial" w:hAnsi="Arial" w:cs="Arial"/>
        </w:rPr>
      </w:pPr>
    </w:p>
    <w:p w14:paraId="20AA5C31" w14:textId="452FF617" w:rsidR="00D35A13" w:rsidRDefault="00FC62F7" w:rsidP="006F1659">
      <w:pPr>
        <w:spacing w:line="360" w:lineRule="auto"/>
        <w:rPr>
          <w:rFonts w:ascii="Arial" w:hAnsi="Arial" w:cs="Arial"/>
        </w:rPr>
      </w:pPr>
      <w:r w:rsidRPr="0007572B">
        <w:rPr>
          <w:rFonts w:ascii="Arial" w:hAnsi="Arial" w:cs="Arial"/>
        </w:rPr>
        <w:t>Capital grants payable to TfGM/</w:t>
      </w:r>
      <w:r w:rsidR="002952F9" w:rsidRPr="0007572B">
        <w:rPr>
          <w:rFonts w:ascii="Arial" w:hAnsi="Arial" w:cs="Arial"/>
        </w:rPr>
        <w:t>GM Authorities</w:t>
      </w:r>
      <w:r w:rsidRPr="0007572B">
        <w:rPr>
          <w:rFonts w:ascii="Arial" w:hAnsi="Arial" w:cs="Arial"/>
        </w:rPr>
        <w:t xml:space="preserve"> and </w:t>
      </w:r>
      <w:r w:rsidR="0063513E" w:rsidRPr="0007572B">
        <w:rPr>
          <w:rFonts w:ascii="Arial" w:hAnsi="Arial" w:cs="Arial"/>
        </w:rPr>
        <w:t xml:space="preserve">other </w:t>
      </w:r>
      <w:r w:rsidRPr="0007572B">
        <w:rPr>
          <w:rFonts w:ascii="Arial" w:hAnsi="Arial" w:cs="Arial"/>
        </w:rPr>
        <w:t xml:space="preserve">bodies delivering economic development and regeneration projects are charged to the Comprehensive Income and Expenditure </w:t>
      </w:r>
      <w:r w:rsidR="00DC5AAB" w:rsidRPr="0007572B">
        <w:rPr>
          <w:rFonts w:ascii="Arial" w:hAnsi="Arial" w:cs="Arial"/>
        </w:rPr>
        <w:t>S</w:t>
      </w:r>
      <w:r w:rsidRPr="0007572B">
        <w:rPr>
          <w:rFonts w:ascii="Arial" w:hAnsi="Arial" w:cs="Arial"/>
        </w:rPr>
        <w:t xml:space="preserve">tatement as expenditure incurred and </w:t>
      </w:r>
      <w:r w:rsidR="00DC5AAB" w:rsidRPr="0007572B">
        <w:rPr>
          <w:rFonts w:ascii="Arial" w:hAnsi="Arial" w:cs="Arial"/>
        </w:rPr>
        <w:t>they are</w:t>
      </w:r>
      <w:r w:rsidRPr="0007572B">
        <w:rPr>
          <w:rFonts w:ascii="Arial" w:hAnsi="Arial" w:cs="Arial"/>
        </w:rPr>
        <w:t xml:space="preserve"> then r</w:t>
      </w:r>
      <w:r w:rsidR="0063513E" w:rsidRPr="0007572B">
        <w:rPr>
          <w:rFonts w:ascii="Arial" w:hAnsi="Arial" w:cs="Arial"/>
        </w:rPr>
        <w:t>eversed out in the Movement in R</w:t>
      </w:r>
      <w:r w:rsidRPr="0007572B">
        <w:rPr>
          <w:rFonts w:ascii="Arial" w:hAnsi="Arial" w:cs="Arial"/>
        </w:rPr>
        <w:t>eserves Statement.</w:t>
      </w:r>
    </w:p>
    <w:p w14:paraId="77661830" w14:textId="77777777" w:rsidR="006B05F5" w:rsidRPr="0007572B" w:rsidRDefault="006B05F5" w:rsidP="006F1659">
      <w:pPr>
        <w:spacing w:line="360" w:lineRule="auto"/>
        <w:rPr>
          <w:rFonts w:ascii="Arial" w:hAnsi="Arial" w:cs="Arial"/>
        </w:rPr>
      </w:pPr>
    </w:p>
    <w:p w14:paraId="41CAE94C" w14:textId="711DFDC4" w:rsidR="00C06A3D" w:rsidRDefault="006B05F5" w:rsidP="006F1659">
      <w:pPr>
        <w:spacing w:line="360" w:lineRule="auto"/>
        <w:jc w:val="both"/>
        <w:rPr>
          <w:rFonts w:ascii="Arial" w:hAnsi="Arial" w:cs="Arial"/>
          <w:sz w:val="22"/>
          <w:szCs w:val="22"/>
        </w:rPr>
      </w:pPr>
      <w:bookmarkStart w:id="126" w:name="_Toc92894885"/>
      <w:bookmarkStart w:id="127" w:name="_Toc92895189"/>
      <w:r w:rsidRPr="006B05F5">
        <w:rPr>
          <w:noProof/>
        </w:rPr>
        <w:drawing>
          <wp:inline distT="0" distB="0" distL="0" distR="0" wp14:anchorId="2128AFAB" wp14:editId="6CC08679">
            <wp:extent cx="5588000" cy="895350"/>
            <wp:effectExtent l="0" t="0" r="0" b="0"/>
            <wp:docPr id="278162477"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162477" name="Picture 13">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88000" cy="895350"/>
                    </a:xfrm>
                    <a:prstGeom prst="rect">
                      <a:avLst/>
                    </a:prstGeom>
                    <a:noFill/>
                    <a:ln>
                      <a:noFill/>
                    </a:ln>
                  </pic:spPr>
                </pic:pic>
              </a:graphicData>
            </a:graphic>
          </wp:inline>
        </w:drawing>
      </w:r>
    </w:p>
    <w:p w14:paraId="588130C2" w14:textId="77777777" w:rsidR="00C06A3D" w:rsidRPr="008D2DA5" w:rsidRDefault="00C06A3D" w:rsidP="006F1659">
      <w:pPr>
        <w:spacing w:line="360" w:lineRule="auto"/>
        <w:jc w:val="both"/>
        <w:rPr>
          <w:rFonts w:ascii="Arial" w:hAnsi="Arial" w:cs="Arial"/>
          <w:sz w:val="22"/>
          <w:szCs w:val="22"/>
        </w:rPr>
      </w:pPr>
    </w:p>
    <w:p w14:paraId="31753C35" w14:textId="77777777" w:rsidR="00C06A3D" w:rsidRDefault="00C06A3D" w:rsidP="006F1659">
      <w:pPr>
        <w:spacing w:line="360" w:lineRule="auto"/>
        <w:rPr>
          <w:rFonts w:ascii="Arial" w:eastAsia="Palatino Linotype" w:hAnsi="Arial" w:cs="Arial"/>
          <w:b/>
          <w:bCs/>
          <w:szCs w:val="28"/>
          <w:lang w:val="en-US"/>
        </w:rPr>
      </w:pPr>
      <w:bookmarkStart w:id="128" w:name="_Toc109922623"/>
      <w:r>
        <w:br w:type="page"/>
      </w:r>
    </w:p>
    <w:p w14:paraId="414D5B15" w14:textId="1C70E105" w:rsidR="000B67F1" w:rsidRPr="0007572B" w:rsidRDefault="00BE7266" w:rsidP="006F1659">
      <w:pPr>
        <w:pStyle w:val="Heading3greennumbered"/>
        <w:spacing w:line="360" w:lineRule="auto"/>
      </w:pPr>
      <w:r w:rsidRPr="0007572B">
        <w:lastRenderedPageBreak/>
        <w:t>1</w:t>
      </w:r>
      <w:r w:rsidR="0003456C" w:rsidRPr="0007572B">
        <w:t>3</w:t>
      </w:r>
      <w:r w:rsidR="000B67F1" w:rsidRPr="0007572B">
        <w:t xml:space="preserve"> </w:t>
      </w:r>
      <w:r w:rsidR="00AE492B" w:rsidRPr="0007572B">
        <w:t>Grants and Contributions</w:t>
      </w:r>
      <w:r w:rsidR="00FB0A7D" w:rsidRPr="0007572B">
        <w:t xml:space="preserve"> Credited to Comprehensive Income</w:t>
      </w:r>
      <w:bookmarkEnd w:id="126"/>
      <w:bookmarkEnd w:id="127"/>
      <w:bookmarkEnd w:id="128"/>
    </w:p>
    <w:p w14:paraId="34D24AAB" w14:textId="77777777" w:rsidR="00582177" w:rsidRDefault="00582177" w:rsidP="006F1659">
      <w:pPr>
        <w:spacing w:line="360" w:lineRule="auto"/>
        <w:rPr>
          <w:rFonts w:ascii="Arial" w:hAnsi="Arial" w:cs="Arial"/>
        </w:rPr>
      </w:pPr>
    </w:p>
    <w:p w14:paraId="122964EE" w14:textId="1A8D2BB4" w:rsidR="00582177" w:rsidRDefault="00DC5AAB" w:rsidP="006F1659">
      <w:pPr>
        <w:spacing w:line="360" w:lineRule="auto"/>
        <w:rPr>
          <w:rFonts w:ascii="Arial" w:hAnsi="Arial" w:cs="Arial"/>
        </w:rPr>
      </w:pPr>
      <w:r w:rsidRPr="0007572B">
        <w:rPr>
          <w:rFonts w:ascii="Arial" w:hAnsi="Arial" w:cs="Arial"/>
        </w:rPr>
        <w:t>The Authority</w:t>
      </w:r>
      <w:r w:rsidR="000B67F1" w:rsidRPr="0007572B">
        <w:rPr>
          <w:rFonts w:ascii="Arial" w:hAnsi="Arial" w:cs="Arial"/>
        </w:rPr>
        <w:t xml:space="preserve"> credited the following grants and contributions to the Comprehensive Income and Expenditure Statement:</w:t>
      </w:r>
      <w:r w:rsidR="0081587D" w:rsidRPr="0081587D">
        <w:rPr>
          <w:rFonts w:ascii="Arial" w:hAnsi="Arial" w:cs="Arial"/>
        </w:rPr>
        <w:t xml:space="preserve"> </w:t>
      </w:r>
    </w:p>
    <w:p w14:paraId="6187630A" w14:textId="70BC8E38" w:rsidR="005427F0" w:rsidRDefault="006B05F5" w:rsidP="006F1659">
      <w:pPr>
        <w:spacing w:line="360" w:lineRule="auto"/>
        <w:rPr>
          <w:rFonts w:ascii="Arial" w:hAnsi="Arial" w:cs="Arial"/>
        </w:rPr>
      </w:pPr>
      <w:r w:rsidRPr="006B05F5">
        <w:rPr>
          <w:noProof/>
        </w:rPr>
        <w:drawing>
          <wp:inline distT="0" distB="0" distL="0" distR="0" wp14:anchorId="32600508" wp14:editId="7DA0F81C">
            <wp:extent cx="4984750" cy="7580341"/>
            <wp:effectExtent l="0" t="0" r="6350" b="1905"/>
            <wp:docPr id="803101491"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101491" name="Picture 14">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93671" cy="7593908"/>
                    </a:xfrm>
                    <a:prstGeom prst="rect">
                      <a:avLst/>
                    </a:prstGeom>
                    <a:noFill/>
                    <a:ln>
                      <a:noFill/>
                    </a:ln>
                  </pic:spPr>
                </pic:pic>
              </a:graphicData>
            </a:graphic>
          </wp:inline>
        </w:drawing>
      </w:r>
    </w:p>
    <w:p w14:paraId="2CADF287" w14:textId="3900D5C1" w:rsidR="006B05F5" w:rsidRDefault="006B05F5" w:rsidP="006F1659">
      <w:pPr>
        <w:spacing w:line="360" w:lineRule="auto"/>
        <w:rPr>
          <w:rFonts w:ascii="Arial" w:hAnsi="Arial" w:cs="Arial"/>
        </w:rPr>
      </w:pPr>
      <w:r w:rsidRPr="006B05F5">
        <w:rPr>
          <w:noProof/>
        </w:rPr>
        <w:lastRenderedPageBreak/>
        <w:drawing>
          <wp:inline distT="0" distB="0" distL="0" distR="0" wp14:anchorId="4EEE4648" wp14:editId="235B4655">
            <wp:extent cx="5885180" cy="1668780"/>
            <wp:effectExtent l="0" t="0" r="1270" b="7620"/>
            <wp:docPr id="3917919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791915" name="Picture 15">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85180" cy="1668780"/>
                    </a:xfrm>
                    <a:prstGeom prst="rect">
                      <a:avLst/>
                    </a:prstGeom>
                    <a:noFill/>
                    <a:ln>
                      <a:noFill/>
                    </a:ln>
                  </pic:spPr>
                </pic:pic>
              </a:graphicData>
            </a:graphic>
          </wp:inline>
        </w:drawing>
      </w:r>
    </w:p>
    <w:p w14:paraId="41D3FEE5" w14:textId="77777777" w:rsidR="006B05F5" w:rsidRPr="0007572B" w:rsidRDefault="006B05F5" w:rsidP="006F1659">
      <w:pPr>
        <w:spacing w:line="360" w:lineRule="auto"/>
        <w:rPr>
          <w:rFonts w:ascii="Arial" w:hAnsi="Arial" w:cs="Arial"/>
        </w:rPr>
      </w:pPr>
    </w:p>
    <w:p w14:paraId="2B533040" w14:textId="01748683" w:rsidR="0007382A" w:rsidRDefault="0007382A" w:rsidP="006F1659">
      <w:pPr>
        <w:spacing w:line="360" w:lineRule="auto"/>
        <w:rPr>
          <w:rFonts w:ascii="Arial" w:hAnsi="Arial" w:cs="Arial"/>
        </w:rPr>
      </w:pPr>
      <w:r w:rsidRPr="00C06A3D">
        <w:rPr>
          <w:rFonts w:ascii="Arial" w:hAnsi="Arial" w:cs="Arial"/>
        </w:rPr>
        <w:t>*The full benefit of the saving from a loan provided at below market rate interest is treated as a grant in the year the loan funds are received. In future years the benefit is reduced annually over the remaining years of the loan term using a fair value effective interest rate.</w:t>
      </w:r>
    </w:p>
    <w:p w14:paraId="2923C24B" w14:textId="0068A692" w:rsidR="00AC4453" w:rsidRDefault="00AC4453" w:rsidP="006F1659">
      <w:pPr>
        <w:spacing w:line="360" w:lineRule="auto"/>
        <w:rPr>
          <w:rFonts w:ascii="Arial" w:eastAsia="Palatino Linotype" w:hAnsi="Arial" w:cs="Arial"/>
          <w:b/>
          <w:bCs/>
          <w:szCs w:val="28"/>
          <w:lang w:val="en-US"/>
        </w:rPr>
      </w:pPr>
      <w:bookmarkStart w:id="129" w:name="_Toc92894886"/>
      <w:bookmarkStart w:id="130" w:name="_Toc92895190"/>
    </w:p>
    <w:p w14:paraId="08DC228F" w14:textId="6A6016AA" w:rsidR="00EB27EB" w:rsidRDefault="00EB27EB" w:rsidP="006F1659">
      <w:pPr>
        <w:spacing w:line="360" w:lineRule="auto"/>
        <w:rPr>
          <w:rFonts w:ascii="Arial" w:eastAsia="Palatino Linotype" w:hAnsi="Arial" w:cs="Arial"/>
          <w:b/>
          <w:bCs/>
          <w:szCs w:val="28"/>
          <w:lang w:val="en-US"/>
        </w:rPr>
      </w:pPr>
      <w:r>
        <w:br w:type="page"/>
      </w:r>
    </w:p>
    <w:p w14:paraId="005777B9" w14:textId="331F4931" w:rsidR="000B67F1" w:rsidRPr="0007572B" w:rsidRDefault="00BE7266" w:rsidP="006F1659">
      <w:pPr>
        <w:pStyle w:val="Heading3greennumbered"/>
        <w:spacing w:line="360" w:lineRule="auto"/>
      </w:pPr>
      <w:bookmarkStart w:id="131" w:name="_Toc109922624"/>
      <w:r w:rsidRPr="0007572B">
        <w:lastRenderedPageBreak/>
        <w:t>1</w:t>
      </w:r>
      <w:r w:rsidR="0003456C" w:rsidRPr="0007572B">
        <w:t>4</w:t>
      </w:r>
      <w:r w:rsidR="000B67F1" w:rsidRPr="0007572B">
        <w:t xml:space="preserve"> Grants and Contributions </w:t>
      </w:r>
      <w:r w:rsidRPr="0007572B">
        <w:t>Received in Advance</w:t>
      </w:r>
      <w:bookmarkEnd w:id="129"/>
      <w:bookmarkEnd w:id="130"/>
      <w:bookmarkEnd w:id="131"/>
    </w:p>
    <w:p w14:paraId="37A0C9F3" w14:textId="77777777" w:rsidR="005403AF" w:rsidRDefault="005403AF" w:rsidP="006F1659">
      <w:pPr>
        <w:spacing w:line="360" w:lineRule="auto"/>
        <w:rPr>
          <w:rFonts w:ascii="Arial" w:hAnsi="Arial" w:cs="Arial"/>
        </w:rPr>
      </w:pPr>
    </w:p>
    <w:p w14:paraId="1654F98E" w14:textId="6AB8F61E" w:rsidR="000B67F1" w:rsidRDefault="00DC5AAB" w:rsidP="006F1659">
      <w:pPr>
        <w:spacing w:line="360" w:lineRule="auto"/>
        <w:rPr>
          <w:rFonts w:ascii="Arial" w:hAnsi="Arial" w:cs="Arial"/>
        </w:rPr>
      </w:pPr>
      <w:r w:rsidRPr="0007572B">
        <w:rPr>
          <w:rFonts w:ascii="Arial" w:hAnsi="Arial" w:cs="Arial"/>
        </w:rPr>
        <w:t>The Authority</w:t>
      </w:r>
      <w:r w:rsidR="000B67F1" w:rsidRPr="0007572B">
        <w:rPr>
          <w:rFonts w:ascii="Arial" w:hAnsi="Arial" w:cs="Arial"/>
        </w:rPr>
        <w:t xml:space="preserve"> received the following grants</w:t>
      </w:r>
      <w:r w:rsidR="00FD37D7" w:rsidRPr="0007572B">
        <w:rPr>
          <w:rFonts w:ascii="Arial" w:hAnsi="Arial" w:cs="Arial"/>
        </w:rPr>
        <w:t xml:space="preserve"> and contributions</w:t>
      </w:r>
      <w:r w:rsidR="000B67F1" w:rsidRPr="0007572B">
        <w:rPr>
          <w:rFonts w:ascii="Arial" w:hAnsi="Arial" w:cs="Arial"/>
        </w:rPr>
        <w:t xml:space="preserve"> in advance. These were not credited to the</w:t>
      </w:r>
      <w:r w:rsidR="000B67F1" w:rsidRPr="0007572B">
        <w:rPr>
          <w:rFonts w:ascii="Arial" w:hAnsi="Arial" w:cs="Arial"/>
          <w:b/>
        </w:rPr>
        <w:t xml:space="preserve"> </w:t>
      </w:r>
      <w:r w:rsidR="000B67F1" w:rsidRPr="0007572B">
        <w:rPr>
          <w:rFonts w:ascii="Arial" w:hAnsi="Arial" w:cs="Arial"/>
        </w:rPr>
        <w:t>Comprehensive Income and Expenditure Statement as they have conditions that have not yet been met.</w:t>
      </w:r>
    </w:p>
    <w:p w14:paraId="79CCB661" w14:textId="77777777" w:rsidR="006B05F5" w:rsidRDefault="006B05F5" w:rsidP="006F1659">
      <w:pPr>
        <w:spacing w:line="360" w:lineRule="auto"/>
        <w:rPr>
          <w:rFonts w:ascii="Arial" w:hAnsi="Arial" w:cs="Arial"/>
        </w:rPr>
      </w:pPr>
    </w:p>
    <w:p w14:paraId="49FC6304" w14:textId="19B49585" w:rsidR="00AD5C22" w:rsidRPr="0007572B" w:rsidRDefault="006B05F5" w:rsidP="006F1659">
      <w:pPr>
        <w:spacing w:line="360" w:lineRule="auto"/>
        <w:rPr>
          <w:rFonts w:ascii="Arial" w:hAnsi="Arial" w:cs="Arial"/>
          <w:b/>
          <w:sz w:val="22"/>
          <w:szCs w:val="22"/>
        </w:rPr>
      </w:pPr>
      <w:r w:rsidRPr="006B05F5">
        <w:rPr>
          <w:noProof/>
        </w:rPr>
        <w:drawing>
          <wp:inline distT="0" distB="0" distL="0" distR="0" wp14:anchorId="6D09CB88" wp14:editId="7FA5DD9A">
            <wp:extent cx="5099050" cy="6864350"/>
            <wp:effectExtent l="0" t="0" r="6350" b="0"/>
            <wp:docPr id="1143381860"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381860" name="Picture 16">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99050" cy="6864350"/>
                    </a:xfrm>
                    <a:prstGeom prst="rect">
                      <a:avLst/>
                    </a:prstGeom>
                    <a:noFill/>
                    <a:ln>
                      <a:noFill/>
                    </a:ln>
                  </pic:spPr>
                </pic:pic>
              </a:graphicData>
            </a:graphic>
          </wp:inline>
        </w:drawing>
      </w:r>
      <w:r w:rsidR="00AD5C22" w:rsidRPr="0007572B">
        <w:rPr>
          <w:rFonts w:ascii="Arial" w:hAnsi="Arial" w:cs="Arial"/>
          <w:b/>
          <w:sz w:val="22"/>
          <w:szCs w:val="22"/>
        </w:rPr>
        <w:br w:type="page"/>
      </w:r>
    </w:p>
    <w:p w14:paraId="2FF4837E" w14:textId="31D8798C" w:rsidR="00BF67F6" w:rsidRPr="0007572B" w:rsidRDefault="00BE7266" w:rsidP="006F1659">
      <w:pPr>
        <w:pStyle w:val="Heading3greennumbered"/>
        <w:spacing w:line="360" w:lineRule="auto"/>
      </w:pPr>
      <w:bookmarkStart w:id="132" w:name="_Toc92894887"/>
      <w:bookmarkStart w:id="133" w:name="_Toc92895191"/>
      <w:bookmarkStart w:id="134" w:name="_Toc109922625"/>
      <w:r w:rsidRPr="0007572B">
        <w:lastRenderedPageBreak/>
        <w:t>1</w:t>
      </w:r>
      <w:r w:rsidR="0003456C" w:rsidRPr="0007572B">
        <w:t>5</w:t>
      </w:r>
      <w:r w:rsidR="00FC62F7" w:rsidRPr="0007572B">
        <w:t xml:space="preserve"> </w:t>
      </w:r>
      <w:r w:rsidR="00F2757F" w:rsidRPr="0007572B">
        <w:t xml:space="preserve">Financing and Investment </w:t>
      </w:r>
      <w:r w:rsidRPr="0007572B">
        <w:t xml:space="preserve">Income </w:t>
      </w:r>
      <w:r w:rsidR="000E5378" w:rsidRPr="0007572B">
        <w:t>and Expenditure</w:t>
      </w:r>
      <w:bookmarkEnd w:id="132"/>
      <w:bookmarkEnd w:id="133"/>
      <w:bookmarkEnd w:id="134"/>
    </w:p>
    <w:p w14:paraId="3AFF52A2" w14:textId="77777777" w:rsidR="005403AF" w:rsidRDefault="005403AF" w:rsidP="006F1659">
      <w:pPr>
        <w:spacing w:line="360" w:lineRule="auto"/>
        <w:rPr>
          <w:rFonts w:ascii="Arial" w:hAnsi="Arial" w:cs="Arial"/>
          <w:b/>
          <w:sz w:val="22"/>
          <w:szCs w:val="22"/>
        </w:rPr>
      </w:pPr>
    </w:p>
    <w:p w14:paraId="7F10BF90" w14:textId="40250962" w:rsidR="005403AF" w:rsidRDefault="006B05F5" w:rsidP="006F1659">
      <w:pPr>
        <w:spacing w:line="360" w:lineRule="auto"/>
        <w:rPr>
          <w:rFonts w:ascii="Arial" w:hAnsi="Arial" w:cs="Arial"/>
          <w:b/>
          <w:sz w:val="22"/>
          <w:szCs w:val="22"/>
        </w:rPr>
      </w:pPr>
      <w:r w:rsidRPr="006B05F5">
        <w:rPr>
          <w:noProof/>
        </w:rPr>
        <w:drawing>
          <wp:inline distT="0" distB="0" distL="0" distR="0" wp14:anchorId="1BFEFD3C" wp14:editId="19335C07">
            <wp:extent cx="5041900" cy="848339"/>
            <wp:effectExtent l="0" t="0" r="0" b="9525"/>
            <wp:docPr id="2055080028"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080028" name="Picture 17">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50566" cy="849797"/>
                    </a:xfrm>
                    <a:prstGeom prst="rect">
                      <a:avLst/>
                    </a:prstGeom>
                    <a:noFill/>
                    <a:ln>
                      <a:noFill/>
                    </a:ln>
                  </pic:spPr>
                </pic:pic>
              </a:graphicData>
            </a:graphic>
          </wp:inline>
        </w:drawing>
      </w:r>
    </w:p>
    <w:p w14:paraId="78471E89" w14:textId="77777777" w:rsidR="006B05F5" w:rsidRDefault="006B05F5" w:rsidP="006F1659">
      <w:pPr>
        <w:spacing w:line="360" w:lineRule="auto"/>
        <w:rPr>
          <w:rFonts w:ascii="Arial" w:hAnsi="Arial" w:cs="Arial"/>
          <w:b/>
          <w:sz w:val="22"/>
          <w:szCs w:val="22"/>
        </w:rPr>
      </w:pPr>
    </w:p>
    <w:p w14:paraId="3D95B897" w14:textId="0CA06728" w:rsidR="006B05F5" w:rsidRDefault="006B05F5" w:rsidP="006F1659">
      <w:pPr>
        <w:spacing w:line="360" w:lineRule="auto"/>
        <w:rPr>
          <w:rFonts w:ascii="Arial" w:hAnsi="Arial" w:cs="Arial"/>
          <w:b/>
          <w:sz w:val="22"/>
          <w:szCs w:val="22"/>
        </w:rPr>
      </w:pPr>
      <w:r w:rsidRPr="006B05F5">
        <w:rPr>
          <w:noProof/>
        </w:rPr>
        <w:drawing>
          <wp:inline distT="0" distB="0" distL="0" distR="0" wp14:anchorId="48162C00" wp14:editId="5FDEA7E2">
            <wp:extent cx="5048250" cy="972211"/>
            <wp:effectExtent l="0" t="0" r="0" b="0"/>
            <wp:docPr id="114176756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767562" name="Picture 18">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76384" cy="977629"/>
                    </a:xfrm>
                    <a:prstGeom prst="rect">
                      <a:avLst/>
                    </a:prstGeom>
                    <a:noFill/>
                    <a:ln>
                      <a:noFill/>
                    </a:ln>
                  </pic:spPr>
                </pic:pic>
              </a:graphicData>
            </a:graphic>
          </wp:inline>
        </w:drawing>
      </w:r>
    </w:p>
    <w:p w14:paraId="6FF979AB" w14:textId="77777777" w:rsidR="001F7108" w:rsidRPr="0007572B" w:rsidRDefault="001F7108" w:rsidP="006F1659">
      <w:pPr>
        <w:spacing w:line="360" w:lineRule="auto"/>
        <w:rPr>
          <w:rFonts w:ascii="Arial" w:hAnsi="Arial" w:cs="Arial"/>
          <w:b/>
          <w:sz w:val="22"/>
          <w:szCs w:val="22"/>
        </w:rPr>
      </w:pPr>
    </w:p>
    <w:p w14:paraId="2427C34B" w14:textId="2CB1B9CA" w:rsidR="00FC62F7" w:rsidRPr="0007572B" w:rsidRDefault="00BF67F6" w:rsidP="006F1659">
      <w:pPr>
        <w:pStyle w:val="Heading3greennumbered"/>
        <w:spacing w:line="360" w:lineRule="auto"/>
      </w:pPr>
      <w:bookmarkStart w:id="135" w:name="_Toc92894888"/>
      <w:bookmarkStart w:id="136" w:name="_Toc92895192"/>
      <w:bookmarkStart w:id="137" w:name="_Toc109922626"/>
      <w:r w:rsidRPr="0007572B">
        <w:t>1</w:t>
      </w:r>
      <w:r w:rsidR="0003456C" w:rsidRPr="0007572B">
        <w:t>6</w:t>
      </w:r>
      <w:r w:rsidR="00FC62F7" w:rsidRPr="0007572B">
        <w:t xml:space="preserve"> Taxation and Non</w:t>
      </w:r>
      <w:r w:rsidR="000C364F" w:rsidRPr="0007572B">
        <w:t>-</w:t>
      </w:r>
      <w:r w:rsidR="00FC62F7" w:rsidRPr="0007572B">
        <w:t>Specific Grant Income</w:t>
      </w:r>
      <w:bookmarkEnd w:id="135"/>
      <w:bookmarkEnd w:id="136"/>
      <w:bookmarkEnd w:id="137"/>
    </w:p>
    <w:p w14:paraId="22327D43" w14:textId="77777777" w:rsidR="006B05F5" w:rsidRDefault="006B05F5" w:rsidP="006F1659">
      <w:pPr>
        <w:spacing w:line="360" w:lineRule="auto"/>
        <w:rPr>
          <w:rFonts w:ascii="Arial" w:hAnsi="Arial" w:cs="Arial"/>
          <w:sz w:val="22"/>
          <w:szCs w:val="22"/>
        </w:rPr>
      </w:pPr>
    </w:p>
    <w:p w14:paraId="2CA7B3EA" w14:textId="0A8A2395" w:rsidR="006B05F5" w:rsidRPr="006B05F5" w:rsidRDefault="006B05F5" w:rsidP="006F1659">
      <w:pPr>
        <w:spacing w:line="360" w:lineRule="auto"/>
        <w:rPr>
          <w:rFonts w:ascii="Arial" w:hAnsi="Arial" w:cs="Arial"/>
          <w:sz w:val="22"/>
          <w:szCs w:val="22"/>
        </w:rPr>
      </w:pPr>
      <w:r w:rsidRPr="006B05F5">
        <w:rPr>
          <w:noProof/>
        </w:rPr>
        <w:drawing>
          <wp:inline distT="0" distB="0" distL="0" distR="0" wp14:anchorId="12390185" wp14:editId="540CBEA4">
            <wp:extent cx="4901384" cy="5207000"/>
            <wp:effectExtent l="0" t="0" r="0" b="0"/>
            <wp:docPr id="1570890281"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890281" name="Picture 19">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08606" cy="5214672"/>
                    </a:xfrm>
                    <a:prstGeom prst="rect">
                      <a:avLst/>
                    </a:prstGeom>
                    <a:noFill/>
                    <a:ln>
                      <a:noFill/>
                    </a:ln>
                  </pic:spPr>
                </pic:pic>
              </a:graphicData>
            </a:graphic>
          </wp:inline>
        </w:drawing>
      </w:r>
    </w:p>
    <w:p w14:paraId="61BA394F" w14:textId="6C617CF4" w:rsidR="00115DCD" w:rsidRPr="0007572B" w:rsidRDefault="00E913C8" w:rsidP="006F1659">
      <w:pPr>
        <w:pStyle w:val="Heading3greennumbered"/>
        <w:spacing w:line="360" w:lineRule="auto"/>
      </w:pPr>
      <w:bookmarkStart w:id="138" w:name="_Toc92894889"/>
      <w:bookmarkStart w:id="139" w:name="_Toc92895193"/>
      <w:bookmarkStart w:id="140" w:name="_Toc109922627"/>
      <w:r w:rsidRPr="0007572B">
        <w:lastRenderedPageBreak/>
        <w:t>17</w:t>
      </w:r>
      <w:r w:rsidR="00FC62F7" w:rsidRPr="0007572B">
        <w:t xml:space="preserve"> External Audit Fees</w:t>
      </w:r>
      <w:bookmarkEnd w:id="138"/>
      <w:bookmarkEnd w:id="139"/>
      <w:bookmarkEnd w:id="140"/>
      <w:r w:rsidR="009C096E" w:rsidRPr="0007572B">
        <w:tab/>
      </w:r>
    </w:p>
    <w:p w14:paraId="773D9E4F" w14:textId="77777777" w:rsidR="005403AF" w:rsidRDefault="005403AF" w:rsidP="006F1659">
      <w:pPr>
        <w:spacing w:line="360" w:lineRule="auto"/>
        <w:rPr>
          <w:rFonts w:ascii="Arial" w:hAnsi="Arial" w:cs="Arial"/>
        </w:rPr>
      </w:pPr>
    </w:p>
    <w:p w14:paraId="5F060874" w14:textId="0E501CDC" w:rsidR="00FC62F7" w:rsidRDefault="00DC5AAB" w:rsidP="006F1659">
      <w:pPr>
        <w:spacing w:line="360" w:lineRule="auto"/>
        <w:rPr>
          <w:rFonts w:ascii="Arial" w:hAnsi="Arial" w:cs="Arial"/>
        </w:rPr>
      </w:pPr>
      <w:r w:rsidRPr="0007572B">
        <w:rPr>
          <w:rFonts w:ascii="Arial" w:hAnsi="Arial" w:cs="Arial"/>
        </w:rPr>
        <w:t>The Authority</w:t>
      </w:r>
      <w:r w:rsidR="00FC62F7" w:rsidRPr="0007572B">
        <w:rPr>
          <w:rFonts w:ascii="Arial" w:hAnsi="Arial" w:cs="Arial"/>
        </w:rPr>
        <w:t xml:space="preserve"> has incurred the following External Audit costs in relation to the audit of the Statement of Accounts.</w:t>
      </w:r>
    </w:p>
    <w:p w14:paraId="711F4EB6" w14:textId="77777777" w:rsidR="006B05F5" w:rsidRDefault="006B05F5" w:rsidP="006F1659">
      <w:pPr>
        <w:spacing w:line="360" w:lineRule="auto"/>
        <w:rPr>
          <w:rFonts w:ascii="Arial" w:hAnsi="Arial" w:cs="Arial"/>
        </w:rPr>
      </w:pPr>
    </w:p>
    <w:p w14:paraId="58401553" w14:textId="0646377C" w:rsidR="00EB27EB" w:rsidRDefault="00317C98" w:rsidP="006F1659">
      <w:pPr>
        <w:spacing w:line="360" w:lineRule="auto"/>
        <w:rPr>
          <w:noProof/>
        </w:rPr>
      </w:pPr>
      <w:r w:rsidRPr="00317C98">
        <w:rPr>
          <w:noProof/>
        </w:rPr>
        <w:drawing>
          <wp:inline distT="0" distB="0" distL="0" distR="0" wp14:anchorId="3BF01CAF" wp14:editId="51CD0A4D">
            <wp:extent cx="4978400" cy="618473"/>
            <wp:effectExtent l="0" t="0" r="0" b="0"/>
            <wp:docPr id="180931714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317142" name="Picture 22">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58645" cy="628442"/>
                    </a:xfrm>
                    <a:prstGeom prst="rect">
                      <a:avLst/>
                    </a:prstGeom>
                    <a:noFill/>
                    <a:ln>
                      <a:noFill/>
                    </a:ln>
                  </pic:spPr>
                </pic:pic>
              </a:graphicData>
            </a:graphic>
          </wp:inline>
        </w:drawing>
      </w:r>
    </w:p>
    <w:p w14:paraId="08F1F4F5" w14:textId="77777777" w:rsidR="006B05F5" w:rsidRDefault="006B05F5" w:rsidP="006F1659">
      <w:pPr>
        <w:spacing w:line="360" w:lineRule="auto"/>
        <w:rPr>
          <w:rFonts w:ascii="Arial" w:hAnsi="Arial" w:cs="Arial"/>
          <w:b/>
          <w:sz w:val="22"/>
          <w:szCs w:val="22"/>
        </w:rPr>
      </w:pPr>
    </w:p>
    <w:p w14:paraId="5DAA969E" w14:textId="68594D5E" w:rsidR="00672FC1" w:rsidRPr="0007572B" w:rsidRDefault="00413C79" w:rsidP="006F1659">
      <w:pPr>
        <w:pStyle w:val="Heading3greennumbered"/>
        <w:spacing w:line="360" w:lineRule="auto"/>
      </w:pPr>
      <w:bookmarkStart w:id="141" w:name="_Toc92894890"/>
      <w:bookmarkStart w:id="142" w:name="_Toc92895194"/>
      <w:bookmarkStart w:id="143" w:name="_Toc109922628"/>
      <w:r w:rsidRPr="0007572B">
        <w:t>18</w:t>
      </w:r>
      <w:r w:rsidR="00672FC1" w:rsidRPr="0007572B">
        <w:t xml:space="preserve"> Officer Remuneration</w:t>
      </w:r>
      <w:bookmarkEnd w:id="141"/>
      <w:bookmarkEnd w:id="142"/>
      <w:bookmarkEnd w:id="143"/>
    </w:p>
    <w:p w14:paraId="74610E3A" w14:textId="77777777" w:rsidR="007C64B7" w:rsidRPr="0007572B" w:rsidRDefault="007C64B7" w:rsidP="006F1659">
      <w:pPr>
        <w:spacing w:line="360" w:lineRule="auto"/>
        <w:rPr>
          <w:rFonts w:ascii="Arial" w:hAnsi="Arial" w:cs="Arial"/>
          <w:b/>
          <w:sz w:val="22"/>
          <w:szCs w:val="22"/>
        </w:rPr>
      </w:pPr>
    </w:p>
    <w:p w14:paraId="4A6BB750" w14:textId="77777777" w:rsidR="00672FC1" w:rsidRPr="0007572B" w:rsidRDefault="00672FC1" w:rsidP="006F1659">
      <w:pPr>
        <w:pStyle w:val="Heading4bold"/>
        <w:spacing w:line="360" w:lineRule="auto"/>
      </w:pPr>
      <w:r w:rsidRPr="0007572B">
        <w:t>Officers with Remuneration above £50,000</w:t>
      </w:r>
    </w:p>
    <w:p w14:paraId="216455CD" w14:textId="51ACC9F4" w:rsidR="00672FC1" w:rsidRPr="0007572B" w:rsidRDefault="00216825" w:rsidP="006F1659">
      <w:pPr>
        <w:spacing w:line="360" w:lineRule="auto"/>
        <w:rPr>
          <w:rFonts w:ascii="Arial" w:hAnsi="Arial" w:cs="Arial"/>
          <w:b/>
        </w:rPr>
      </w:pPr>
      <w:r w:rsidRPr="0007572B">
        <w:rPr>
          <w:rFonts w:ascii="Arial" w:hAnsi="Arial" w:cs="Arial"/>
        </w:rPr>
        <w:t>The number of employees (</w:t>
      </w:r>
      <w:r w:rsidR="00740996" w:rsidRPr="0007572B">
        <w:rPr>
          <w:rFonts w:ascii="Arial" w:hAnsi="Arial" w:cs="Arial"/>
        </w:rPr>
        <w:t>in</w:t>
      </w:r>
      <w:r w:rsidR="00672FC1" w:rsidRPr="0007572B">
        <w:rPr>
          <w:rFonts w:ascii="Arial" w:hAnsi="Arial" w:cs="Arial"/>
        </w:rPr>
        <w:t>cluding senior employees) receiving more than £50,000 remuneration for the year (excluding employer's pension contributions) were as follows</w:t>
      </w:r>
      <w:r w:rsidR="00672FC1" w:rsidRPr="0007572B">
        <w:rPr>
          <w:rFonts w:ascii="Arial" w:hAnsi="Arial" w:cs="Arial"/>
          <w:b/>
        </w:rPr>
        <w:t>:</w:t>
      </w:r>
    </w:p>
    <w:p w14:paraId="6CCC7EB0" w14:textId="77777777" w:rsidR="00437C52" w:rsidRPr="0007572B" w:rsidRDefault="00437C52" w:rsidP="006F1659">
      <w:pPr>
        <w:spacing w:line="360" w:lineRule="auto"/>
        <w:jc w:val="both"/>
        <w:rPr>
          <w:rFonts w:ascii="Arial" w:hAnsi="Arial" w:cs="Arial"/>
          <w:b/>
          <w:sz w:val="22"/>
          <w:szCs w:val="22"/>
        </w:rPr>
      </w:pPr>
    </w:p>
    <w:p w14:paraId="1264BFFD" w14:textId="17810A64" w:rsidR="003439C3" w:rsidRPr="0007572B" w:rsidRDefault="006B05F5" w:rsidP="006F1659">
      <w:pPr>
        <w:spacing w:line="360" w:lineRule="auto"/>
        <w:rPr>
          <w:rFonts w:ascii="Arial" w:hAnsi="Arial" w:cs="Arial"/>
          <w:b/>
          <w:sz w:val="22"/>
          <w:szCs w:val="22"/>
        </w:rPr>
        <w:sectPr w:rsidR="003439C3" w:rsidRPr="0007572B" w:rsidSect="004833A2">
          <w:pgSz w:w="11906" w:h="16838"/>
          <w:pgMar w:top="1444" w:right="1558" w:bottom="1440" w:left="1080" w:header="568" w:footer="567" w:gutter="0"/>
          <w:cols w:space="708"/>
          <w:docGrid w:linePitch="360"/>
        </w:sectPr>
      </w:pPr>
      <w:r w:rsidRPr="006B05F5">
        <w:rPr>
          <w:noProof/>
        </w:rPr>
        <w:drawing>
          <wp:inline distT="0" distB="0" distL="0" distR="0" wp14:anchorId="09DB235C" wp14:editId="42110630">
            <wp:extent cx="5376639" cy="4572000"/>
            <wp:effectExtent l="0" t="0" r="0" b="0"/>
            <wp:docPr id="150703906"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03906" name="Picture 21">
                      <a:extLst>
                        <a:ext uri="{C183D7F6-B498-43B3-948B-1728B52AA6E4}">
                          <adec:decorative xmlns:adec="http://schemas.microsoft.com/office/drawing/2017/decorative" val="1"/>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92521" cy="4585505"/>
                    </a:xfrm>
                    <a:prstGeom prst="rect">
                      <a:avLst/>
                    </a:prstGeom>
                    <a:noFill/>
                    <a:ln>
                      <a:noFill/>
                    </a:ln>
                  </pic:spPr>
                </pic:pic>
              </a:graphicData>
            </a:graphic>
          </wp:inline>
        </w:drawing>
      </w:r>
    </w:p>
    <w:p w14:paraId="3E260E2C" w14:textId="77777777" w:rsidR="0014202A" w:rsidRPr="0007572B" w:rsidRDefault="0014202A" w:rsidP="006F1659">
      <w:pPr>
        <w:pStyle w:val="Heading4bold"/>
        <w:spacing w:line="360" w:lineRule="auto"/>
      </w:pPr>
      <w:r w:rsidRPr="0007572B">
        <w:lastRenderedPageBreak/>
        <w:t xml:space="preserve">Senior </w:t>
      </w:r>
      <w:r w:rsidR="001867BA" w:rsidRPr="0007572B">
        <w:t>Employees</w:t>
      </w:r>
      <w:r w:rsidRPr="0007572B">
        <w:t xml:space="preserve"> Remuneration</w:t>
      </w:r>
    </w:p>
    <w:p w14:paraId="54FA8FD7" w14:textId="5D4B0E5F" w:rsidR="00A47196" w:rsidRPr="0007572B" w:rsidRDefault="00D9207B" w:rsidP="006F1659">
      <w:pPr>
        <w:spacing w:line="360" w:lineRule="auto"/>
        <w:rPr>
          <w:rFonts w:ascii="Arial" w:hAnsi="Arial" w:cs="Arial"/>
        </w:rPr>
      </w:pPr>
      <w:r w:rsidRPr="0007572B">
        <w:rPr>
          <w:rFonts w:ascii="Arial" w:hAnsi="Arial" w:cs="Arial"/>
        </w:rPr>
        <w:t>E</w:t>
      </w:r>
      <w:r w:rsidR="0014202A" w:rsidRPr="0007572B">
        <w:rPr>
          <w:rFonts w:ascii="Arial" w:hAnsi="Arial" w:cs="Arial"/>
        </w:rPr>
        <w:t xml:space="preserve">mployees are classed as senior employees </w:t>
      </w:r>
      <w:r w:rsidRPr="0007572B">
        <w:rPr>
          <w:rFonts w:ascii="Arial" w:hAnsi="Arial" w:cs="Arial"/>
        </w:rPr>
        <w:t>when</w:t>
      </w:r>
      <w:r w:rsidR="0014202A" w:rsidRPr="0007572B">
        <w:rPr>
          <w:rFonts w:ascii="Arial" w:hAnsi="Arial" w:cs="Arial"/>
        </w:rPr>
        <w:t xml:space="preserve"> they receive</w:t>
      </w:r>
      <w:r w:rsidRPr="0007572B">
        <w:rPr>
          <w:rFonts w:ascii="Arial" w:hAnsi="Arial" w:cs="Arial"/>
        </w:rPr>
        <w:t>d</w:t>
      </w:r>
      <w:r w:rsidR="0014202A" w:rsidRPr="0007572B">
        <w:rPr>
          <w:rFonts w:ascii="Arial" w:hAnsi="Arial" w:cs="Arial"/>
        </w:rPr>
        <w:t xml:space="preserve"> a salary in excess of £150,000 (disclosed by name) or receive</w:t>
      </w:r>
      <w:r w:rsidRPr="0007572B">
        <w:rPr>
          <w:rFonts w:ascii="Arial" w:hAnsi="Arial" w:cs="Arial"/>
        </w:rPr>
        <w:t>d</w:t>
      </w:r>
      <w:r w:rsidR="0014202A" w:rsidRPr="0007572B">
        <w:rPr>
          <w:rFonts w:ascii="Arial" w:hAnsi="Arial" w:cs="Arial"/>
        </w:rPr>
        <w:t xml:space="preserve"> </w:t>
      </w:r>
      <w:r w:rsidR="00102E58" w:rsidRPr="0007572B">
        <w:rPr>
          <w:rFonts w:ascii="Arial" w:hAnsi="Arial" w:cs="Arial"/>
        </w:rPr>
        <w:t>a salary in excess of £50,000 and</w:t>
      </w:r>
      <w:r w:rsidR="0014202A" w:rsidRPr="0007572B">
        <w:rPr>
          <w:rFonts w:ascii="Arial" w:hAnsi="Arial" w:cs="Arial"/>
        </w:rPr>
        <w:t xml:space="preserve"> report</w:t>
      </w:r>
      <w:r w:rsidR="00CB67FA" w:rsidRPr="0007572B">
        <w:rPr>
          <w:rFonts w:ascii="Arial" w:hAnsi="Arial" w:cs="Arial"/>
        </w:rPr>
        <w:t>ed</w:t>
      </w:r>
      <w:r w:rsidR="0014202A" w:rsidRPr="0007572B">
        <w:rPr>
          <w:rFonts w:ascii="Arial" w:hAnsi="Arial" w:cs="Arial"/>
        </w:rPr>
        <w:t xml:space="preserve"> to the Head of Paid Service for the Authority</w:t>
      </w:r>
      <w:r w:rsidR="00EB1576" w:rsidRPr="0007572B">
        <w:rPr>
          <w:rFonts w:ascii="Arial" w:hAnsi="Arial" w:cs="Arial"/>
        </w:rPr>
        <w:t xml:space="preserve">. In </w:t>
      </w:r>
      <w:r w:rsidR="003543D4" w:rsidRPr="0007572B">
        <w:rPr>
          <w:rFonts w:ascii="Arial" w:hAnsi="Arial" w:cs="Arial"/>
        </w:rPr>
        <w:t>addition,</w:t>
      </w:r>
      <w:r w:rsidR="00EB1576" w:rsidRPr="0007572B">
        <w:rPr>
          <w:rFonts w:ascii="Arial" w:hAnsi="Arial" w:cs="Arial"/>
        </w:rPr>
        <w:t xml:space="preserve"> the salaries for the Mayor</w:t>
      </w:r>
      <w:r w:rsidR="00943F46">
        <w:rPr>
          <w:rFonts w:ascii="Arial" w:hAnsi="Arial" w:cs="Arial"/>
        </w:rPr>
        <w:t xml:space="preserve"> and the</w:t>
      </w:r>
      <w:r w:rsidR="00EB1576" w:rsidRPr="0007572B">
        <w:rPr>
          <w:rFonts w:ascii="Arial" w:hAnsi="Arial" w:cs="Arial"/>
        </w:rPr>
        <w:t xml:space="preserve"> Deputy Mayor for Police and Crime </w:t>
      </w:r>
      <w:r w:rsidR="00943F46">
        <w:rPr>
          <w:rFonts w:ascii="Arial" w:hAnsi="Arial" w:cs="Arial"/>
        </w:rPr>
        <w:t>a</w:t>
      </w:r>
      <w:r w:rsidR="00EB1576" w:rsidRPr="0007572B">
        <w:rPr>
          <w:rFonts w:ascii="Arial" w:hAnsi="Arial" w:cs="Arial"/>
        </w:rPr>
        <w:t>re disclosed.</w:t>
      </w:r>
    </w:p>
    <w:p w14:paraId="742D94ED" w14:textId="16AF7C41" w:rsidR="004F1EB1" w:rsidRPr="0007572B" w:rsidRDefault="004F1EB1" w:rsidP="006F1659">
      <w:pPr>
        <w:spacing w:line="360" w:lineRule="auto"/>
        <w:rPr>
          <w:rFonts w:ascii="Arial" w:hAnsi="Arial" w:cs="Arial"/>
          <w:b/>
          <w:sz w:val="22"/>
          <w:szCs w:val="22"/>
        </w:rPr>
      </w:pPr>
    </w:p>
    <w:p w14:paraId="0F5B6FE7" w14:textId="06B396C5" w:rsidR="004D4FF0" w:rsidRDefault="00317C98" w:rsidP="006F1659">
      <w:pPr>
        <w:spacing w:line="360" w:lineRule="auto"/>
        <w:rPr>
          <w:noProof/>
        </w:rPr>
      </w:pPr>
      <w:r w:rsidRPr="00317C98">
        <w:rPr>
          <w:noProof/>
        </w:rPr>
        <w:drawing>
          <wp:inline distT="0" distB="0" distL="0" distR="0" wp14:anchorId="15680955" wp14:editId="625E2E6A">
            <wp:extent cx="8860790" cy="2296160"/>
            <wp:effectExtent l="0" t="0" r="0" b="8890"/>
            <wp:docPr id="20492037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20374" name="Picture 24">
                      <a:extLst>
                        <a:ext uri="{C183D7F6-B498-43B3-948B-1728B52AA6E4}">
                          <adec:decorative xmlns:adec="http://schemas.microsoft.com/office/drawing/2017/decorative" val="1"/>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860790" cy="2296160"/>
                    </a:xfrm>
                    <a:prstGeom prst="rect">
                      <a:avLst/>
                    </a:prstGeom>
                    <a:noFill/>
                    <a:ln>
                      <a:noFill/>
                    </a:ln>
                  </pic:spPr>
                </pic:pic>
              </a:graphicData>
            </a:graphic>
          </wp:inline>
        </w:drawing>
      </w:r>
    </w:p>
    <w:p w14:paraId="34F0EA31" w14:textId="77777777" w:rsidR="00317C98" w:rsidRDefault="00317C98" w:rsidP="006F1659">
      <w:pPr>
        <w:spacing w:line="360" w:lineRule="auto"/>
        <w:rPr>
          <w:noProof/>
        </w:rPr>
      </w:pPr>
    </w:p>
    <w:p w14:paraId="237DEA44" w14:textId="77777777" w:rsidR="00317C98" w:rsidRPr="00317C98" w:rsidRDefault="00317C98" w:rsidP="00317C98">
      <w:pPr>
        <w:spacing w:line="360" w:lineRule="auto"/>
        <w:rPr>
          <w:rFonts w:ascii="Arial" w:hAnsi="Arial" w:cs="Arial"/>
          <w:bCs/>
        </w:rPr>
      </w:pPr>
      <w:r w:rsidRPr="00317C98">
        <w:rPr>
          <w:rFonts w:ascii="Arial" w:hAnsi="Arial" w:cs="Arial"/>
          <w:bCs/>
        </w:rPr>
        <w:t>A</w:t>
      </w:r>
      <w:r w:rsidRPr="00317C98">
        <w:rPr>
          <w:rFonts w:ascii="Arial" w:hAnsi="Arial" w:cs="Arial"/>
          <w:bCs/>
        </w:rPr>
        <w:tab/>
        <w:t>Post holder commenced 9th January 2023. (2022/23: FTE salary £89,900)</w:t>
      </w:r>
    </w:p>
    <w:p w14:paraId="309101C1" w14:textId="77777777" w:rsidR="00317C98" w:rsidRPr="00317C98" w:rsidRDefault="00317C98" w:rsidP="00317C98">
      <w:pPr>
        <w:spacing w:line="360" w:lineRule="auto"/>
        <w:rPr>
          <w:rFonts w:ascii="Arial" w:hAnsi="Arial" w:cs="Arial"/>
          <w:bCs/>
        </w:rPr>
      </w:pPr>
      <w:r w:rsidRPr="00317C98">
        <w:rPr>
          <w:rFonts w:ascii="Arial" w:hAnsi="Arial" w:cs="Arial"/>
          <w:bCs/>
        </w:rPr>
        <w:t>B</w:t>
      </w:r>
      <w:r w:rsidRPr="00317C98">
        <w:rPr>
          <w:rFonts w:ascii="Arial" w:hAnsi="Arial" w:cs="Arial"/>
          <w:bCs/>
        </w:rPr>
        <w:tab/>
        <w:t>Post holder left 8th January 2023.</w:t>
      </w:r>
    </w:p>
    <w:p w14:paraId="45FD14CA" w14:textId="12A67487" w:rsidR="00317C98" w:rsidRPr="00317C98" w:rsidRDefault="00317C98" w:rsidP="00317C98">
      <w:pPr>
        <w:spacing w:line="360" w:lineRule="auto"/>
        <w:ind w:left="720" w:hanging="720"/>
        <w:rPr>
          <w:rFonts w:ascii="Arial" w:hAnsi="Arial" w:cs="Arial"/>
          <w:bCs/>
        </w:rPr>
      </w:pPr>
      <w:r w:rsidRPr="00317C98">
        <w:rPr>
          <w:rFonts w:ascii="Arial" w:hAnsi="Arial" w:cs="Arial"/>
          <w:bCs/>
        </w:rPr>
        <w:t>C</w:t>
      </w:r>
      <w:r w:rsidRPr="00317C98">
        <w:rPr>
          <w:rFonts w:ascii="Arial" w:hAnsi="Arial" w:cs="Arial"/>
          <w:bCs/>
        </w:rPr>
        <w:tab/>
        <w:t>The GMCA received a contribution of £115,682.88 in 2023/24 (50% of Basic Pay and Employers NI) for the Chief Executive</w:t>
      </w:r>
      <w:r>
        <w:rPr>
          <w:rFonts w:ascii="Arial" w:hAnsi="Arial" w:cs="Arial"/>
          <w:bCs/>
        </w:rPr>
        <w:t xml:space="preserve"> </w:t>
      </w:r>
      <w:r w:rsidRPr="00317C98">
        <w:rPr>
          <w:rFonts w:ascii="Arial" w:hAnsi="Arial" w:cs="Arial"/>
          <w:bCs/>
        </w:rPr>
        <w:t xml:space="preserve">also performing the duties of Chief Executive at Transport for Greater Manchester ( £114,720 in FY 22/23). </w:t>
      </w:r>
    </w:p>
    <w:p w14:paraId="191374C2" w14:textId="77777777" w:rsidR="00317C98" w:rsidRPr="00317C98" w:rsidRDefault="00317C98" w:rsidP="00317C98">
      <w:pPr>
        <w:spacing w:line="360" w:lineRule="auto"/>
        <w:rPr>
          <w:rFonts w:ascii="Arial" w:hAnsi="Arial" w:cs="Arial"/>
          <w:bCs/>
        </w:rPr>
      </w:pPr>
      <w:r w:rsidRPr="00317C98">
        <w:rPr>
          <w:rFonts w:ascii="Arial" w:hAnsi="Arial" w:cs="Arial"/>
          <w:bCs/>
        </w:rPr>
        <w:t>D</w:t>
      </w:r>
      <w:r w:rsidRPr="00317C98">
        <w:rPr>
          <w:rFonts w:ascii="Arial" w:hAnsi="Arial" w:cs="Arial"/>
          <w:bCs/>
        </w:rPr>
        <w:tab/>
        <w:t xml:space="preserve">Post holder left post 31st July 2022 </w:t>
      </w:r>
    </w:p>
    <w:p w14:paraId="66CCE478" w14:textId="1A72F51F" w:rsidR="00056761" w:rsidRPr="004D4FF0" w:rsidRDefault="00317C98" w:rsidP="00317C98">
      <w:pPr>
        <w:spacing w:line="360" w:lineRule="auto"/>
        <w:rPr>
          <w:rFonts w:ascii="Arial" w:hAnsi="Arial" w:cs="Arial"/>
          <w:bCs/>
        </w:rPr>
        <w:sectPr w:rsidR="00056761" w:rsidRPr="004D4FF0" w:rsidSect="004833A2">
          <w:pgSz w:w="16838" w:h="11906" w:orient="landscape"/>
          <w:pgMar w:top="1080" w:right="1444" w:bottom="1416" w:left="1440" w:header="568" w:footer="567" w:gutter="0"/>
          <w:cols w:space="708"/>
          <w:docGrid w:linePitch="360"/>
        </w:sectPr>
      </w:pPr>
      <w:r w:rsidRPr="00317C98">
        <w:rPr>
          <w:rFonts w:ascii="Arial" w:hAnsi="Arial" w:cs="Arial"/>
          <w:bCs/>
        </w:rPr>
        <w:t>E</w:t>
      </w:r>
      <w:r w:rsidRPr="00317C98">
        <w:rPr>
          <w:rFonts w:ascii="Arial" w:hAnsi="Arial" w:cs="Arial"/>
          <w:bCs/>
        </w:rPr>
        <w:tab/>
        <w:t>Post holder commenced 26th September 2022. (2023/24: FTE salary £136,542.36)</w:t>
      </w:r>
    </w:p>
    <w:p w14:paraId="22C55A9B" w14:textId="079E88CD" w:rsidR="00216825" w:rsidRPr="00943897" w:rsidRDefault="00672FC1" w:rsidP="006F1659">
      <w:pPr>
        <w:pStyle w:val="Heading4bold"/>
        <w:spacing w:line="360" w:lineRule="auto"/>
      </w:pPr>
      <w:r w:rsidRPr="0007572B">
        <w:lastRenderedPageBreak/>
        <w:t>Exit Costs</w:t>
      </w:r>
    </w:p>
    <w:p w14:paraId="7712E26A" w14:textId="4B111C0B" w:rsidR="00A47196" w:rsidRDefault="00672FC1" w:rsidP="006F1659">
      <w:pPr>
        <w:spacing w:line="360" w:lineRule="auto"/>
        <w:rPr>
          <w:rFonts w:ascii="Arial" w:hAnsi="Arial" w:cs="Arial"/>
        </w:rPr>
      </w:pPr>
      <w:r w:rsidRPr="0007572B">
        <w:rPr>
          <w:rFonts w:ascii="Arial" w:hAnsi="Arial" w:cs="Arial"/>
        </w:rPr>
        <w:t>Exit payments are made as a result of the departure of staff from the Authority. The total cost per band and the total cost of compulsory and other redundancies are set out in the table below</w:t>
      </w:r>
      <w:r w:rsidR="00A47196" w:rsidRPr="0007572B">
        <w:rPr>
          <w:rFonts w:ascii="Arial" w:hAnsi="Arial" w:cs="Arial"/>
        </w:rPr>
        <w:t>:</w:t>
      </w:r>
    </w:p>
    <w:p w14:paraId="0C8E409B" w14:textId="77777777" w:rsidR="00317C98" w:rsidRDefault="00317C98" w:rsidP="006F1659">
      <w:pPr>
        <w:spacing w:line="360" w:lineRule="auto"/>
        <w:rPr>
          <w:rFonts w:ascii="Arial" w:hAnsi="Arial" w:cs="Arial"/>
        </w:rPr>
      </w:pPr>
    </w:p>
    <w:p w14:paraId="701F299E" w14:textId="3B20A9E9" w:rsidR="00317C98" w:rsidRPr="00317C98" w:rsidRDefault="00317C98" w:rsidP="006F1659">
      <w:pPr>
        <w:spacing w:line="360" w:lineRule="auto"/>
        <w:rPr>
          <w:rFonts w:ascii="Arial" w:hAnsi="Arial" w:cs="Arial"/>
        </w:rPr>
      </w:pPr>
      <w:r w:rsidRPr="00317C98">
        <w:rPr>
          <w:noProof/>
        </w:rPr>
        <w:drawing>
          <wp:inline distT="0" distB="0" distL="0" distR="0" wp14:anchorId="0AFA1EAF" wp14:editId="52278959">
            <wp:extent cx="6064250" cy="1097280"/>
            <wp:effectExtent l="0" t="0" r="0" b="7620"/>
            <wp:docPr id="556933703"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933703" name="Picture 25">
                      <a:extLst>
                        <a:ext uri="{C183D7F6-B498-43B3-948B-1728B52AA6E4}">
                          <adec:decorative xmlns:adec="http://schemas.microsoft.com/office/drawing/2017/decorative" val="1"/>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64250" cy="1097280"/>
                    </a:xfrm>
                    <a:prstGeom prst="rect">
                      <a:avLst/>
                    </a:prstGeom>
                    <a:noFill/>
                    <a:ln>
                      <a:noFill/>
                    </a:ln>
                  </pic:spPr>
                </pic:pic>
              </a:graphicData>
            </a:graphic>
          </wp:inline>
        </w:drawing>
      </w:r>
    </w:p>
    <w:p w14:paraId="4D8EBAFD" w14:textId="141C9288" w:rsidR="00026E51" w:rsidRDefault="00026E51" w:rsidP="006F1659">
      <w:pPr>
        <w:spacing w:line="360" w:lineRule="auto"/>
        <w:rPr>
          <w:rFonts w:ascii="Arial" w:hAnsi="Arial" w:cs="Arial"/>
          <w:b/>
          <w:sz w:val="22"/>
          <w:szCs w:val="22"/>
        </w:rPr>
      </w:pPr>
    </w:p>
    <w:p w14:paraId="4DD33E0C" w14:textId="77777777" w:rsidR="00317C98" w:rsidRPr="0007572B" w:rsidRDefault="00317C98" w:rsidP="006F1659">
      <w:pPr>
        <w:spacing w:line="360" w:lineRule="auto"/>
        <w:rPr>
          <w:rFonts w:ascii="Arial" w:hAnsi="Arial" w:cs="Arial"/>
          <w:b/>
          <w:sz w:val="22"/>
          <w:szCs w:val="22"/>
        </w:rPr>
      </w:pPr>
    </w:p>
    <w:p w14:paraId="0EA3E74C" w14:textId="72BE4C81" w:rsidR="007F381A" w:rsidRPr="0007572B" w:rsidRDefault="00413C79" w:rsidP="006F1659">
      <w:pPr>
        <w:pStyle w:val="Heading3greennumbered"/>
        <w:spacing w:line="360" w:lineRule="auto"/>
      </w:pPr>
      <w:bookmarkStart w:id="144" w:name="_Toc92894891"/>
      <w:bookmarkStart w:id="145" w:name="_Toc92895195"/>
      <w:bookmarkStart w:id="146" w:name="_Toc109922629"/>
      <w:r w:rsidRPr="0007572B">
        <w:t>19</w:t>
      </w:r>
      <w:r w:rsidR="007F381A" w:rsidRPr="0007572B">
        <w:t xml:space="preserve"> Capital Expenditure and Capital Financing</w:t>
      </w:r>
      <w:bookmarkEnd w:id="144"/>
      <w:bookmarkEnd w:id="145"/>
      <w:bookmarkEnd w:id="146"/>
    </w:p>
    <w:p w14:paraId="2302F007" w14:textId="77777777" w:rsidR="005403AF" w:rsidRDefault="005403AF" w:rsidP="006F1659">
      <w:pPr>
        <w:spacing w:line="360" w:lineRule="auto"/>
        <w:rPr>
          <w:rFonts w:ascii="Arial" w:hAnsi="Arial" w:cs="Arial"/>
        </w:rPr>
      </w:pPr>
    </w:p>
    <w:p w14:paraId="46AF3617" w14:textId="2F64940A" w:rsidR="0038082E" w:rsidRDefault="007F381A" w:rsidP="006F1659">
      <w:pPr>
        <w:spacing w:line="360" w:lineRule="auto"/>
        <w:rPr>
          <w:rFonts w:ascii="Arial" w:hAnsi="Arial" w:cs="Arial"/>
        </w:rPr>
      </w:pPr>
      <w:r w:rsidRPr="0007572B">
        <w:rPr>
          <w:rFonts w:ascii="Arial" w:hAnsi="Arial" w:cs="Arial"/>
        </w:rPr>
        <w:t>Where capital expenditure is to be financed in future years by charges to revenue as assets are used by the Authority, the expenditure results in an increase in the Capital Financing Requirement (CFR), a measure of the capital expenditure incurred historically by the Authority that has yet to be financed. The CFR is analysed below.</w:t>
      </w:r>
    </w:p>
    <w:p w14:paraId="14351203" w14:textId="77777777" w:rsidR="00C27F3B" w:rsidRDefault="00C27F3B" w:rsidP="006F1659">
      <w:pPr>
        <w:spacing w:line="360" w:lineRule="auto"/>
        <w:rPr>
          <w:rFonts w:ascii="Arial" w:hAnsi="Arial" w:cs="Arial"/>
        </w:rPr>
      </w:pPr>
    </w:p>
    <w:p w14:paraId="2A1A6737" w14:textId="1EC799D4" w:rsidR="00B07451" w:rsidRDefault="00C27F3B" w:rsidP="006F1659">
      <w:pPr>
        <w:spacing w:line="360" w:lineRule="auto"/>
        <w:rPr>
          <w:rFonts w:ascii="Arial" w:hAnsi="Arial" w:cs="Arial"/>
        </w:rPr>
      </w:pPr>
      <w:r w:rsidRPr="00C27F3B">
        <w:rPr>
          <w:noProof/>
        </w:rPr>
        <w:drawing>
          <wp:inline distT="0" distB="0" distL="0" distR="0" wp14:anchorId="32549287" wp14:editId="22272D97">
            <wp:extent cx="4762500" cy="3448050"/>
            <wp:effectExtent l="0" t="0" r="0" b="0"/>
            <wp:docPr id="1832942431"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942431" name="Picture 26">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62500" cy="3448050"/>
                    </a:xfrm>
                    <a:prstGeom prst="rect">
                      <a:avLst/>
                    </a:prstGeom>
                    <a:noFill/>
                    <a:ln>
                      <a:noFill/>
                    </a:ln>
                  </pic:spPr>
                </pic:pic>
              </a:graphicData>
            </a:graphic>
          </wp:inline>
        </w:drawing>
      </w:r>
    </w:p>
    <w:p w14:paraId="462A39C0" w14:textId="77777777" w:rsidR="00C27F3B" w:rsidRDefault="00C27F3B" w:rsidP="006F1659">
      <w:pPr>
        <w:spacing w:line="360" w:lineRule="auto"/>
        <w:rPr>
          <w:rFonts w:ascii="Arial" w:hAnsi="Arial" w:cs="Arial"/>
        </w:rPr>
      </w:pPr>
    </w:p>
    <w:p w14:paraId="7065BE8B" w14:textId="78D7FF2D" w:rsidR="00C27F3B" w:rsidRDefault="00C27F3B" w:rsidP="006F1659">
      <w:pPr>
        <w:spacing w:line="360" w:lineRule="auto"/>
        <w:rPr>
          <w:rFonts w:ascii="Arial" w:hAnsi="Arial" w:cs="Arial"/>
        </w:rPr>
      </w:pPr>
      <w:r w:rsidRPr="00C27F3B">
        <w:rPr>
          <w:noProof/>
        </w:rPr>
        <w:lastRenderedPageBreak/>
        <w:drawing>
          <wp:inline distT="0" distB="0" distL="0" distR="0" wp14:anchorId="36B2C412" wp14:editId="2CB4F25B">
            <wp:extent cx="4762500" cy="1670050"/>
            <wp:effectExtent l="0" t="0" r="0" b="6350"/>
            <wp:docPr id="743437746"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437746" name="Picture 27">
                      <a:extLst>
                        <a:ext uri="{C183D7F6-B498-43B3-948B-1728B52AA6E4}">
                          <adec:decorative xmlns:adec="http://schemas.microsoft.com/office/drawing/2017/decorative" val="1"/>
                        </a:ext>
                      </a:extLs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62500" cy="1670050"/>
                    </a:xfrm>
                    <a:prstGeom prst="rect">
                      <a:avLst/>
                    </a:prstGeom>
                    <a:noFill/>
                    <a:ln>
                      <a:noFill/>
                    </a:ln>
                  </pic:spPr>
                </pic:pic>
              </a:graphicData>
            </a:graphic>
          </wp:inline>
        </w:drawing>
      </w:r>
    </w:p>
    <w:p w14:paraId="7656F2D4" w14:textId="77777777" w:rsidR="00C27F3B" w:rsidRDefault="00C27F3B" w:rsidP="006F1659">
      <w:pPr>
        <w:spacing w:line="360" w:lineRule="auto"/>
        <w:rPr>
          <w:rFonts w:ascii="Arial" w:hAnsi="Arial" w:cs="Arial"/>
        </w:rPr>
      </w:pPr>
    </w:p>
    <w:p w14:paraId="5E14BFB3" w14:textId="4F812A76" w:rsidR="00C27F3B" w:rsidRDefault="007F381A" w:rsidP="006F1659">
      <w:pPr>
        <w:spacing w:line="360" w:lineRule="auto"/>
        <w:rPr>
          <w:rFonts w:ascii="Arial" w:hAnsi="Arial" w:cs="Arial"/>
        </w:rPr>
      </w:pPr>
      <w:r w:rsidRPr="0007572B">
        <w:rPr>
          <w:rFonts w:ascii="Arial" w:hAnsi="Arial" w:cs="Arial"/>
        </w:rPr>
        <w:t>Many capital schemes take two or more years to complete. At the Balance Sheet date the main contractual commitments relating to ongoing schemes were as follows:</w:t>
      </w:r>
    </w:p>
    <w:p w14:paraId="1EE37083" w14:textId="77777777" w:rsidR="00C27F3B" w:rsidRDefault="00C27F3B" w:rsidP="006F1659">
      <w:pPr>
        <w:spacing w:line="360" w:lineRule="auto"/>
        <w:rPr>
          <w:rFonts w:ascii="Arial" w:hAnsi="Arial" w:cs="Arial"/>
        </w:rPr>
      </w:pPr>
    </w:p>
    <w:p w14:paraId="0C8C27E7" w14:textId="045C07D7" w:rsidR="00C27F3B" w:rsidRPr="00C27F3B" w:rsidRDefault="00004436" w:rsidP="006F1659">
      <w:pPr>
        <w:spacing w:line="360" w:lineRule="auto"/>
        <w:rPr>
          <w:rFonts w:ascii="Arial" w:hAnsi="Arial" w:cs="Arial"/>
        </w:rPr>
      </w:pPr>
      <w:r>
        <w:rPr>
          <w:rFonts w:ascii="Arial" w:hAnsi="Arial" w:cs="Arial"/>
          <w:noProof/>
        </w:rPr>
        <w:drawing>
          <wp:inline distT="0" distB="0" distL="0" distR="0" wp14:anchorId="58D85FD9" wp14:editId="07FA69AE">
            <wp:extent cx="4590415" cy="1207135"/>
            <wp:effectExtent l="0" t="0" r="635" b="0"/>
            <wp:docPr id="95129077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290777" name="Picture 1">
                      <a:extLst>
                        <a:ext uri="{C183D7F6-B498-43B3-948B-1728B52AA6E4}">
                          <adec:decorative xmlns:adec="http://schemas.microsoft.com/office/drawing/2017/decorative" val="1"/>
                        </a:ext>
                      </a:extLs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90415" cy="1207135"/>
                    </a:xfrm>
                    <a:prstGeom prst="rect">
                      <a:avLst/>
                    </a:prstGeom>
                    <a:noFill/>
                  </pic:spPr>
                </pic:pic>
              </a:graphicData>
            </a:graphic>
          </wp:inline>
        </w:drawing>
      </w:r>
    </w:p>
    <w:p w14:paraId="6891D045" w14:textId="77777777" w:rsidR="00943897" w:rsidRDefault="00943897" w:rsidP="006F1659">
      <w:pPr>
        <w:spacing w:line="360" w:lineRule="auto"/>
        <w:rPr>
          <w:rFonts w:ascii="Arial" w:hAnsi="Arial" w:cs="Arial"/>
          <w:b/>
          <w:sz w:val="22"/>
          <w:szCs w:val="22"/>
        </w:rPr>
      </w:pPr>
    </w:p>
    <w:p w14:paraId="7C982FE1" w14:textId="77777777" w:rsidR="00C27F3B" w:rsidRPr="0007572B" w:rsidRDefault="00C27F3B" w:rsidP="006F1659">
      <w:pPr>
        <w:spacing w:line="360" w:lineRule="auto"/>
        <w:rPr>
          <w:rFonts w:ascii="Arial" w:hAnsi="Arial" w:cs="Arial"/>
          <w:b/>
          <w:sz w:val="22"/>
          <w:szCs w:val="22"/>
        </w:rPr>
      </w:pPr>
    </w:p>
    <w:p w14:paraId="613418CF" w14:textId="5081CF32" w:rsidR="00115DCD" w:rsidRPr="0007572B" w:rsidRDefault="00413C79" w:rsidP="006F1659">
      <w:pPr>
        <w:pStyle w:val="Heading3greennumbered"/>
        <w:spacing w:line="360" w:lineRule="auto"/>
      </w:pPr>
      <w:bookmarkStart w:id="147" w:name="_Toc92894892"/>
      <w:bookmarkStart w:id="148" w:name="_Toc92895196"/>
      <w:bookmarkStart w:id="149" w:name="_Toc109922630"/>
      <w:r w:rsidRPr="0007572B">
        <w:t>20</w:t>
      </w:r>
      <w:r w:rsidR="0063513E" w:rsidRPr="0007572B">
        <w:t xml:space="preserve"> Property, Plant and Equipment Including Disposals</w:t>
      </w:r>
      <w:bookmarkEnd w:id="147"/>
      <w:bookmarkEnd w:id="148"/>
      <w:bookmarkEnd w:id="149"/>
    </w:p>
    <w:p w14:paraId="34ED8041" w14:textId="77777777" w:rsidR="005403AF" w:rsidRDefault="005403AF" w:rsidP="006F1659">
      <w:pPr>
        <w:spacing w:line="360" w:lineRule="auto"/>
        <w:rPr>
          <w:rFonts w:ascii="Arial" w:hAnsi="Arial" w:cs="Arial"/>
          <w:bCs/>
          <w:color w:val="000000"/>
          <w:lang w:val="en-US" w:eastAsia="en-GB"/>
        </w:rPr>
      </w:pPr>
    </w:p>
    <w:p w14:paraId="5EB94A61" w14:textId="77777777" w:rsidR="00556989" w:rsidRDefault="00387571" w:rsidP="006F1659">
      <w:pPr>
        <w:spacing w:line="360" w:lineRule="auto"/>
        <w:rPr>
          <w:rFonts w:ascii="Arial" w:hAnsi="Arial" w:cs="Arial"/>
          <w:bCs/>
          <w:color w:val="000000"/>
          <w:lang w:val="en-US" w:eastAsia="en-GB"/>
        </w:rPr>
      </w:pPr>
      <w:r w:rsidRPr="0007572B">
        <w:rPr>
          <w:rFonts w:ascii="Arial" w:hAnsi="Arial" w:cs="Arial"/>
          <w:bCs/>
          <w:color w:val="000000"/>
          <w:lang w:val="en-US" w:eastAsia="en-GB"/>
        </w:rPr>
        <w:t>Full det</w:t>
      </w:r>
      <w:r w:rsidR="00314193" w:rsidRPr="0007572B">
        <w:rPr>
          <w:rFonts w:ascii="Arial" w:hAnsi="Arial" w:cs="Arial"/>
          <w:bCs/>
          <w:color w:val="000000"/>
          <w:lang w:val="en-US" w:eastAsia="en-GB"/>
        </w:rPr>
        <w:t>ails of how assets are capitalis</w:t>
      </w:r>
      <w:r w:rsidRPr="0007572B">
        <w:rPr>
          <w:rFonts w:ascii="Arial" w:hAnsi="Arial" w:cs="Arial"/>
          <w:bCs/>
          <w:color w:val="000000"/>
          <w:lang w:val="en-US" w:eastAsia="en-GB"/>
        </w:rPr>
        <w:t xml:space="preserve">ed, valued, depreciated, </w:t>
      </w:r>
      <w:r w:rsidR="00556989" w:rsidRPr="0007572B">
        <w:rPr>
          <w:rFonts w:ascii="Arial" w:hAnsi="Arial" w:cs="Arial"/>
          <w:bCs/>
          <w:color w:val="000000"/>
          <w:lang w:val="en-US" w:eastAsia="en-GB"/>
        </w:rPr>
        <w:t>impaired,</w:t>
      </w:r>
      <w:r w:rsidRPr="0007572B">
        <w:rPr>
          <w:rFonts w:ascii="Arial" w:hAnsi="Arial" w:cs="Arial"/>
          <w:bCs/>
          <w:color w:val="000000"/>
          <w:lang w:val="en-US" w:eastAsia="en-GB"/>
        </w:rPr>
        <w:t xml:space="preserve"> and disposed of are provided in the accounting policies </w:t>
      </w:r>
      <w:r w:rsidR="007E5937" w:rsidRPr="0007572B">
        <w:rPr>
          <w:rFonts w:ascii="Arial" w:hAnsi="Arial" w:cs="Arial"/>
          <w:bCs/>
          <w:color w:val="000000"/>
          <w:lang w:val="en-US" w:eastAsia="en-GB"/>
        </w:rPr>
        <w:t>note</w:t>
      </w:r>
      <w:r w:rsidRPr="0007572B">
        <w:rPr>
          <w:rFonts w:ascii="Arial" w:hAnsi="Arial" w:cs="Arial"/>
          <w:bCs/>
          <w:color w:val="000000"/>
          <w:lang w:val="en-US" w:eastAsia="en-GB"/>
        </w:rPr>
        <w:t>.</w:t>
      </w:r>
    </w:p>
    <w:p w14:paraId="6581658E" w14:textId="77777777" w:rsidR="00556989" w:rsidRDefault="00556989" w:rsidP="006F1659">
      <w:pPr>
        <w:spacing w:line="360" w:lineRule="auto"/>
        <w:rPr>
          <w:rFonts w:ascii="Arial" w:hAnsi="Arial" w:cs="Arial"/>
          <w:bCs/>
          <w:color w:val="000000"/>
          <w:lang w:val="en-US" w:eastAsia="en-GB"/>
        </w:rPr>
      </w:pPr>
    </w:p>
    <w:p w14:paraId="2033C0AD" w14:textId="77777777" w:rsidR="00556989" w:rsidRDefault="00BF335D" w:rsidP="006F1659">
      <w:pPr>
        <w:spacing w:line="360" w:lineRule="auto"/>
        <w:rPr>
          <w:rFonts w:ascii="Arial" w:hAnsi="Arial" w:cs="Arial"/>
          <w:bCs/>
          <w:color w:val="000000"/>
          <w:lang w:val="en-US" w:eastAsia="en-GB"/>
        </w:rPr>
      </w:pPr>
      <w:r w:rsidRPr="00BF335D">
        <w:rPr>
          <w:rFonts w:ascii="Arial" w:hAnsi="Arial" w:cs="Arial"/>
          <w:bCs/>
          <w:color w:val="000000"/>
          <w:lang w:val="en-US" w:eastAsia="en-GB"/>
        </w:rPr>
        <w:t>The Authority carries out a rolling programme to ensure that all property required to be measured at current value is revalued at least every 5 years. Valuations of land and buildings were carried out in accordance with the methodologies and bases for estimation set out in the professional standards of the Royal Institute of Chartered Surveyors. All valuations were carried out externally.</w:t>
      </w:r>
    </w:p>
    <w:p w14:paraId="26EE6191" w14:textId="77777777" w:rsidR="00421474" w:rsidRDefault="00421474" w:rsidP="006F1659">
      <w:pPr>
        <w:spacing w:line="360" w:lineRule="auto"/>
        <w:rPr>
          <w:rFonts w:ascii="Arial" w:hAnsi="Arial" w:cs="Arial"/>
          <w:bCs/>
          <w:color w:val="000000"/>
          <w:lang w:val="en-US" w:eastAsia="en-GB"/>
        </w:rPr>
      </w:pPr>
    </w:p>
    <w:p w14:paraId="5A3F648F" w14:textId="7C737410" w:rsidR="00F6613F" w:rsidRPr="00556989" w:rsidRDefault="00F6613F" w:rsidP="006F1659">
      <w:pPr>
        <w:spacing w:line="360" w:lineRule="auto"/>
        <w:rPr>
          <w:rFonts w:ascii="Arial" w:hAnsi="Arial" w:cs="Arial"/>
          <w:bCs/>
          <w:color w:val="000000"/>
          <w:lang w:val="en-US" w:eastAsia="en-GB"/>
        </w:rPr>
      </w:pPr>
      <w:r w:rsidRPr="0007572B">
        <w:rPr>
          <w:rFonts w:ascii="Arial" w:hAnsi="Arial" w:cs="Arial"/>
          <w:bCs/>
          <w:color w:val="000000"/>
          <w:u w:val="single"/>
          <w:lang w:val="en-US" w:eastAsia="en-GB"/>
        </w:rPr>
        <w:t>Waste Assets</w:t>
      </w:r>
    </w:p>
    <w:p w14:paraId="4D01AD2C" w14:textId="77777777" w:rsidR="0060522D" w:rsidRPr="0007572B" w:rsidRDefault="0060522D" w:rsidP="006F1659">
      <w:pPr>
        <w:spacing w:line="360" w:lineRule="auto"/>
        <w:rPr>
          <w:rFonts w:ascii="Arial" w:hAnsi="Arial" w:cs="Arial"/>
          <w:bCs/>
          <w:color w:val="000000"/>
          <w:lang w:val="en-US" w:eastAsia="en-GB"/>
        </w:rPr>
      </w:pPr>
    </w:p>
    <w:p w14:paraId="545D480D" w14:textId="77777777" w:rsidR="00F6613F" w:rsidRPr="00044139" w:rsidRDefault="00F6613F" w:rsidP="006F1659">
      <w:pPr>
        <w:pStyle w:val="ListParagraph"/>
        <w:numPr>
          <w:ilvl w:val="0"/>
          <w:numId w:val="29"/>
        </w:numPr>
        <w:spacing w:line="360" w:lineRule="auto"/>
        <w:rPr>
          <w:rFonts w:ascii="Arial" w:hAnsi="Arial" w:cs="Arial"/>
          <w:bCs/>
          <w:color w:val="000000"/>
          <w:sz w:val="24"/>
          <w:szCs w:val="24"/>
          <w:lang w:val="en-US"/>
        </w:rPr>
      </w:pPr>
      <w:r w:rsidRPr="00044139">
        <w:rPr>
          <w:rFonts w:ascii="Arial" w:hAnsi="Arial" w:cs="Arial"/>
          <w:bCs/>
          <w:color w:val="000000"/>
          <w:sz w:val="24"/>
          <w:szCs w:val="24"/>
          <w:lang w:val="en-US"/>
        </w:rPr>
        <w:t>Valuations were</w:t>
      </w:r>
      <w:r w:rsidR="00B329D0" w:rsidRPr="00044139">
        <w:rPr>
          <w:rFonts w:ascii="Arial" w:hAnsi="Arial" w:cs="Arial"/>
          <w:bCs/>
          <w:color w:val="000000"/>
          <w:sz w:val="24"/>
          <w:szCs w:val="24"/>
          <w:lang w:val="en-US"/>
        </w:rPr>
        <w:t xml:space="preserve"> carried out by Avison Young, an independent valuer, for all land, buildings and infrastructure revaluations, in accordance with the provisions of the professional standards of the Royal Institute of Chartered Surveyors. </w:t>
      </w:r>
    </w:p>
    <w:p w14:paraId="4CC710C7" w14:textId="77777777" w:rsidR="004B42D8" w:rsidRPr="00044139" w:rsidRDefault="004B42D8" w:rsidP="006F1659">
      <w:pPr>
        <w:pStyle w:val="ListParagraph"/>
        <w:spacing w:line="360" w:lineRule="auto"/>
        <w:ind w:left="360"/>
        <w:rPr>
          <w:rFonts w:ascii="Arial" w:hAnsi="Arial" w:cs="Arial"/>
          <w:bCs/>
          <w:color w:val="000000"/>
          <w:sz w:val="24"/>
          <w:szCs w:val="24"/>
          <w:lang w:val="en-US"/>
        </w:rPr>
      </w:pPr>
    </w:p>
    <w:p w14:paraId="69E846EB" w14:textId="77777777" w:rsidR="00556989" w:rsidRPr="00044139" w:rsidRDefault="00F6613F" w:rsidP="006F1659">
      <w:pPr>
        <w:pStyle w:val="ListParagraph"/>
        <w:numPr>
          <w:ilvl w:val="0"/>
          <w:numId w:val="29"/>
        </w:numPr>
        <w:spacing w:line="360" w:lineRule="auto"/>
        <w:rPr>
          <w:rFonts w:ascii="Arial" w:hAnsi="Arial" w:cs="Arial"/>
          <w:bCs/>
          <w:color w:val="000000"/>
          <w:sz w:val="24"/>
          <w:szCs w:val="24"/>
          <w:lang w:val="en-US"/>
        </w:rPr>
      </w:pPr>
      <w:r w:rsidRPr="00044139">
        <w:rPr>
          <w:rFonts w:ascii="Arial" w:hAnsi="Arial" w:cs="Arial"/>
          <w:bCs/>
          <w:color w:val="000000"/>
          <w:sz w:val="24"/>
          <w:szCs w:val="24"/>
          <w:lang w:val="en-US"/>
        </w:rPr>
        <w:t xml:space="preserve">Hilco Appraisals Limited carried </w:t>
      </w:r>
      <w:r w:rsidR="00B329D0" w:rsidRPr="00044139">
        <w:rPr>
          <w:rFonts w:ascii="Arial" w:hAnsi="Arial" w:cs="Arial"/>
          <w:bCs/>
          <w:color w:val="000000"/>
          <w:sz w:val="24"/>
          <w:szCs w:val="24"/>
          <w:lang w:val="en-US"/>
        </w:rPr>
        <w:t>out plant and machinery valuations</w:t>
      </w:r>
      <w:r w:rsidRPr="00044139">
        <w:rPr>
          <w:rFonts w:ascii="Arial" w:hAnsi="Arial" w:cs="Arial"/>
          <w:bCs/>
          <w:color w:val="000000"/>
          <w:sz w:val="24"/>
          <w:szCs w:val="24"/>
          <w:lang w:val="en-US"/>
        </w:rPr>
        <w:t>.</w:t>
      </w:r>
    </w:p>
    <w:p w14:paraId="376D5BD1" w14:textId="77777777" w:rsidR="00556989" w:rsidRDefault="00556989" w:rsidP="006F1659">
      <w:pPr>
        <w:pStyle w:val="ListParagraph"/>
        <w:spacing w:line="360" w:lineRule="auto"/>
        <w:ind w:left="360"/>
        <w:rPr>
          <w:rFonts w:ascii="Arial" w:hAnsi="Arial" w:cs="Arial"/>
          <w:bCs/>
          <w:color w:val="000000"/>
          <w:sz w:val="24"/>
          <w:szCs w:val="24"/>
          <w:lang w:val="en-US"/>
        </w:rPr>
      </w:pPr>
    </w:p>
    <w:p w14:paraId="7591C596" w14:textId="734BA106" w:rsidR="00F6613F" w:rsidRPr="00556989" w:rsidRDefault="00F6613F" w:rsidP="006F1659">
      <w:pPr>
        <w:pStyle w:val="ListParagraph"/>
        <w:spacing w:line="360" w:lineRule="auto"/>
        <w:ind w:left="360"/>
        <w:rPr>
          <w:rFonts w:ascii="Arial" w:hAnsi="Arial" w:cs="Arial"/>
          <w:bCs/>
          <w:color w:val="000000"/>
          <w:sz w:val="24"/>
          <w:szCs w:val="24"/>
          <w:lang w:val="en-US"/>
        </w:rPr>
      </w:pPr>
      <w:r w:rsidRPr="00556989">
        <w:rPr>
          <w:rFonts w:ascii="Arial" w:hAnsi="Arial" w:cs="Arial"/>
          <w:bCs/>
          <w:color w:val="000000"/>
          <w:u w:val="single"/>
          <w:lang w:val="en-US"/>
        </w:rPr>
        <w:t>Other Assets</w:t>
      </w:r>
    </w:p>
    <w:p w14:paraId="7455F237" w14:textId="77777777" w:rsidR="00F6613F" w:rsidRPr="0007572B" w:rsidRDefault="00F6613F" w:rsidP="006F1659">
      <w:pPr>
        <w:pStyle w:val="ListParagraph"/>
        <w:spacing w:line="360" w:lineRule="auto"/>
        <w:rPr>
          <w:rFonts w:ascii="Arial" w:hAnsi="Arial" w:cs="Arial"/>
          <w:bCs/>
          <w:color w:val="000000"/>
          <w:sz w:val="24"/>
          <w:szCs w:val="24"/>
          <w:lang w:val="en-US"/>
        </w:rPr>
      </w:pPr>
    </w:p>
    <w:p w14:paraId="00773780" w14:textId="72AF8965" w:rsidR="00044139" w:rsidRPr="00044139" w:rsidRDefault="00044139" w:rsidP="00044139">
      <w:pPr>
        <w:pStyle w:val="ListParagraph"/>
        <w:numPr>
          <w:ilvl w:val="0"/>
          <w:numId w:val="29"/>
        </w:numPr>
        <w:rPr>
          <w:rFonts w:ascii="Arial" w:hAnsi="Arial" w:cs="Arial"/>
          <w:bCs/>
          <w:sz w:val="24"/>
          <w:szCs w:val="24"/>
        </w:rPr>
      </w:pPr>
      <w:r w:rsidRPr="00044139">
        <w:rPr>
          <w:rFonts w:ascii="Arial" w:hAnsi="Arial" w:cs="Arial"/>
          <w:bCs/>
          <w:sz w:val="24"/>
          <w:szCs w:val="24"/>
        </w:rPr>
        <w:t>Valuations of the Authority’s Fire Properties have been carried out by Montagu Evans, in accordance with the provisions of the professional standards of the Royal Institute of Chartered Surveyors.</w:t>
      </w:r>
    </w:p>
    <w:p w14:paraId="2F44A4C9" w14:textId="52C775C0" w:rsidR="00556989" w:rsidRPr="00C27F3B" w:rsidRDefault="001E470D" w:rsidP="006F1659">
      <w:pPr>
        <w:pStyle w:val="ListParagraph"/>
        <w:numPr>
          <w:ilvl w:val="0"/>
          <w:numId w:val="29"/>
        </w:numPr>
        <w:autoSpaceDE w:val="0"/>
        <w:autoSpaceDN w:val="0"/>
        <w:adjustRightInd w:val="0"/>
        <w:spacing w:line="360" w:lineRule="auto"/>
        <w:ind w:left="357"/>
        <w:rPr>
          <w:rFonts w:ascii="Arial" w:hAnsi="Arial" w:cs="Arial"/>
          <w:b/>
          <w:sz w:val="24"/>
          <w:szCs w:val="24"/>
        </w:rPr>
      </w:pPr>
      <w:r w:rsidRPr="00044139">
        <w:rPr>
          <w:rFonts w:ascii="Arial" w:hAnsi="Arial" w:cs="Arial"/>
          <w:bCs/>
          <w:color w:val="000000"/>
          <w:sz w:val="24"/>
          <w:szCs w:val="24"/>
          <w:lang w:val="en-US"/>
        </w:rPr>
        <w:t xml:space="preserve">Salford City Council Property Services </w:t>
      </w:r>
      <w:r w:rsidR="00F6613F" w:rsidRPr="00044139">
        <w:rPr>
          <w:rFonts w:ascii="Arial" w:hAnsi="Arial" w:cs="Arial"/>
          <w:bCs/>
          <w:color w:val="000000"/>
          <w:sz w:val="24"/>
          <w:szCs w:val="24"/>
          <w:lang w:val="en-US"/>
        </w:rPr>
        <w:t xml:space="preserve">carried out valuations of the Authority’s </w:t>
      </w:r>
      <w:r w:rsidR="00044139" w:rsidRPr="00044139">
        <w:rPr>
          <w:rFonts w:ascii="Arial" w:hAnsi="Arial" w:cs="Arial"/>
          <w:bCs/>
          <w:color w:val="000000"/>
          <w:sz w:val="24"/>
          <w:szCs w:val="24"/>
          <w:lang w:val="en-US"/>
        </w:rPr>
        <w:t>Police</w:t>
      </w:r>
      <w:r w:rsidR="00F6613F" w:rsidRPr="00044139">
        <w:rPr>
          <w:rFonts w:ascii="Arial" w:hAnsi="Arial" w:cs="Arial"/>
          <w:bCs/>
          <w:color w:val="000000"/>
          <w:sz w:val="24"/>
          <w:szCs w:val="24"/>
          <w:lang w:val="en-US"/>
        </w:rPr>
        <w:t xml:space="preserve"> assets</w:t>
      </w:r>
      <w:r w:rsidR="0031699E" w:rsidRPr="00044139">
        <w:rPr>
          <w:rFonts w:ascii="Arial" w:hAnsi="Arial" w:cs="Arial"/>
          <w:bCs/>
          <w:color w:val="000000"/>
          <w:sz w:val="24"/>
          <w:szCs w:val="24"/>
          <w:lang w:val="en-US"/>
        </w:rPr>
        <w:t>.</w:t>
      </w:r>
    </w:p>
    <w:p w14:paraId="28A31B63" w14:textId="77777777" w:rsidR="00C27F3B" w:rsidRDefault="00C27F3B" w:rsidP="00C27F3B">
      <w:pPr>
        <w:autoSpaceDE w:val="0"/>
        <w:autoSpaceDN w:val="0"/>
        <w:adjustRightInd w:val="0"/>
        <w:spacing w:line="360" w:lineRule="auto"/>
        <w:rPr>
          <w:rFonts w:ascii="Arial" w:hAnsi="Arial" w:cs="Arial"/>
          <w:b/>
        </w:rPr>
      </w:pPr>
    </w:p>
    <w:p w14:paraId="3DF0DFEB" w14:textId="4FCE7D49" w:rsidR="00C27F3B" w:rsidRPr="00C27F3B" w:rsidRDefault="00C27F3B" w:rsidP="00C27F3B">
      <w:pPr>
        <w:autoSpaceDE w:val="0"/>
        <w:autoSpaceDN w:val="0"/>
        <w:adjustRightInd w:val="0"/>
        <w:spacing w:line="360" w:lineRule="auto"/>
        <w:rPr>
          <w:rFonts w:ascii="Arial" w:hAnsi="Arial" w:cs="Arial"/>
          <w:b/>
        </w:rPr>
      </w:pPr>
      <w:r w:rsidRPr="00C27F3B">
        <w:rPr>
          <w:noProof/>
        </w:rPr>
        <w:drawing>
          <wp:inline distT="0" distB="0" distL="0" distR="0" wp14:anchorId="771E39B9" wp14:editId="39E7822A">
            <wp:extent cx="6064250" cy="1895475"/>
            <wp:effectExtent l="0" t="0" r="0" b="9525"/>
            <wp:docPr id="82933303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333039" name="Picture 29">
                      <a:extLst>
                        <a:ext uri="{C183D7F6-B498-43B3-948B-1728B52AA6E4}">
                          <adec:decorative xmlns:adec="http://schemas.microsoft.com/office/drawing/2017/decorative" val="1"/>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64250" cy="1895475"/>
                    </a:xfrm>
                    <a:prstGeom prst="rect">
                      <a:avLst/>
                    </a:prstGeom>
                    <a:noFill/>
                    <a:ln>
                      <a:noFill/>
                    </a:ln>
                  </pic:spPr>
                </pic:pic>
              </a:graphicData>
            </a:graphic>
          </wp:inline>
        </w:drawing>
      </w:r>
    </w:p>
    <w:p w14:paraId="52A62F17" w14:textId="77777777" w:rsidR="00556989" w:rsidRDefault="00556989" w:rsidP="00085EF8">
      <w:pPr>
        <w:autoSpaceDE w:val="0"/>
        <w:autoSpaceDN w:val="0"/>
        <w:adjustRightInd w:val="0"/>
        <w:spacing w:line="360" w:lineRule="auto"/>
        <w:ind w:left="-3"/>
        <w:rPr>
          <w:rFonts w:ascii="Arial" w:hAnsi="Arial" w:cs="Arial"/>
          <w:b/>
        </w:rPr>
      </w:pPr>
    </w:p>
    <w:p w14:paraId="6E83D8D7" w14:textId="3453551A" w:rsidR="00E558A4" w:rsidRPr="0007572B" w:rsidRDefault="00E558A4" w:rsidP="006F1659">
      <w:pPr>
        <w:spacing w:line="360" w:lineRule="auto"/>
        <w:rPr>
          <w:rFonts w:ascii="Arial" w:hAnsi="Arial" w:cs="Arial"/>
          <w:b/>
          <w:sz w:val="36"/>
          <w:szCs w:val="36"/>
        </w:rPr>
        <w:sectPr w:rsidR="00E558A4" w:rsidRPr="0007572B" w:rsidSect="004833A2">
          <w:pgSz w:w="11906" w:h="16838"/>
          <w:pgMar w:top="1444" w:right="1276" w:bottom="1440" w:left="1080" w:header="568" w:footer="567" w:gutter="0"/>
          <w:cols w:space="708"/>
          <w:docGrid w:linePitch="360"/>
        </w:sectPr>
      </w:pPr>
    </w:p>
    <w:p w14:paraId="3408E279" w14:textId="03994719" w:rsidR="00AD1DA0" w:rsidRPr="0007572B" w:rsidRDefault="008671BE" w:rsidP="006F1659">
      <w:pPr>
        <w:spacing w:line="360" w:lineRule="auto"/>
        <w:rPr>
          <w:rFonts w:ascii="Arial" w:hAnsi="Arial" w:cs="Arial"/>
          <w:sz w:val="22"/>
          <w:szCs w:val="22"/>
        </w:rPr>
      </w:pPr>
      <w:r w:rsidRPr="008671BE">
        <w:rPr>
          <w:noProof/>
        </w:rPr>
        <w:lastRenderedPageBreak/>
        <w:drawing>
          <wp:inline distT="0" distB="0" distL="0" distR="0" wp14:anchorId="4BA98239" wp14:editId="50380EBD">
            <wp:extent cx="8964930" cy="3579495"/>
            <wp:effectExtent l="0" t="0" r="7620" b="1905"/>
            <wp:docPr id="1032942300"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942300" name="Picture 46">
                      <a:extLst>
                        <a:ext uri="{C183D7F6-B498-43B3-948B-1728B52AA6E4}">
                          <adec:decorative xmlns:adec="http://schemas.microsoft.com/office/drawing/2017/decorative" val="1"/>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964930" cy="3579495"/>
                    </a:xfrm>
                    <a:prstGeom prst="rect">
                      <a:avLst/>
                    </a:prstGeom>
                    <a:noFill/>
                    <a:ln>
                      <a:noFill/>
                    </a:ln>
                  </pic:spPr>
                </pic:pic>
              </a:graphicData>
            </a:graphic>
          </wp:inline>
        </w:drawing>
      </w:r>
    </w:p>
    <w:p w14:paraId="7D62F22D" w14:textId="51684DEA" w:rsidR="00B2139B" w:rsidRPr="0007572B" w:rsidRDefault="00B2139B" w:rsidP="006F1659">
      <w:pPr>
        <w:spacing w:line="360" w:lineRule="auto"/>
        <w:rPr>
          <w:rFonts w:ascii="Arial" w:hAnsi="Arial" w:cs="Arial"/>
          <w:sz w:val="22"/>
          <w:szCs w:val="22"/>
        </w:rPr>
      </w:pPr>
    </w:p>
    <w:p w14:paraId="7AA429A2" w14:textId="5E0749AD" w:rsidR="00B2139B" w:rsidRPr="0007572B" w:rsidRDefault="00B2139B" w:rsidP="006F1659">
      <w:pPr>
        <w:spacing w:line="360" w:lineRule="auto"/>
        <w:rPr>
          <w:rFonts w:ascii="Arial" w:hAnsi="Arial" w:cs="Arial"/>
          <w:b/>
          <w:sz w:val="22"/>
          <w:szCs w:val="22"/>
        </w:rPr>
      </w:pPr>
    </w:p>
    <w:p w14:paraId="7985EADB" w14:textId="132624AB" w:rsidR="001A7D30" w:rsidRPr="0007572B" w:rsidRDefault="001A7D30" w:rsidP="006F1659">
      <w:pPr>
        <w:spacing w:line="360" w:lineRule="auto"/>
        <w:rPr>
          <w:rFonts w:ascii="Arial" w:hAnsi="Arial" w:cs="Arial"/>
          <w:bCs/>
        </w:rPr>
      </w:pPr>
    </w:p>
    <w:p w14:paraId="249510E9" w14:textId="415CCC8F" w:rsidR="003103DC" w:rsidRDefault="008671BE" w:rsidP="006F1659">
      <w:pPr>
        <w:spacing w:line="360" w:lineRule="auto"/>
        <w:rPr>
          <w:rFonts w:ascii="Arial" w:hAnsi="Arial" w:cs="Arial"/>
          <w:b/>
          <w:sz w:val="36"/>
          <w:szCs w:val="36"/>
        </w:rPr>
      </w:pPr>
      <w:r w:rsidRPr="008671BE">
        <w:rPr>
          <w:noProof/>
        </w:rPr>
        <w:lastRenderedPageBreak/>
        <w:drawing>
          <wp:inline distT="0" distB="0" distL="0" distR="0" wp14:anchorId="1A2EF39A" wp14:editId="34C2651A">
            <wp:extent cx="8964930" cy="3647440"/>
            <wp:effectExtent l="0" t="0" r="7620" b="0"/>
            <wp:docPr id="1828408332"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408332" name="Picture 47">
                      <a:extLst>
                        <a:ext uri="{C183D7F6-B498-43B3-948B-1728B52AA6E4}">
                          <adec:decorative xmlns:adec="http://schemas.microsoft.com/office/drawing/2017/decorative" val="1"/>
                        </a:ext>
                      </a:extLs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964930" cy="3647440"/>
                    </a:xfrm>
                    <a:prstGeom prst="rect">
                      <a:avLst/>
                    </a:prstGeom>
                    <a:noFill/>
                    <a:ln>
                      <a:noFill/>
                    </a:ln>
                  </pic:spPr>
                </pic:pic>
              </a:graphicData>
            </a:graphic>
          </wp:inline>
        </w:drawing>
      </w:r>
    </w:p>
    <w:p w14:paraId="56EA7B75" w14:textId="77777777" w:rsidR="004B42D8" w:rsidRDefault="004B42D8" w:rsidP="006F1659">
      <w:pPr>
        <w:spacing w:line="360" w:lineRule="auto"/>
        <w:rPr>
          <w:rFonts w:ascii="Arial" w:hAnsi="Arial" w:cs="Arial"/>
          <w:b/>
          <w:sz w:val="36"/>
          <w:szCs w:val="36"/>
        </w:rPr>
        <w:sectPr w:rsidR="004B42D8" w:rsidSect="004833A2">
          <w:pgSz w:w="16838" w:h="11906" w:orient="landscape"/>
          <w:pgMar w:top="1080" w:right="1444" w:bottom="1416" w:left="1276" w:header="568" w:footer="567" w:gutter="0"/>
          <w:cols w:space="708"/>
          <w:docGrid w:linePitch="360"/>
        </w:sectPr>
      </w:pPr>
    </w:p>
    <w:p w14:paraId="571090FA" w14:textId="1611DAAD" w:rsidR="003103DC" w:rsidRDefault="003103DC" w:rsidP="006F1659">
      <w:pPr>
        <w:spacing w:line="360" w:lineRule="auto"/>
        <w:rPr>
          <w:rFonts w:ascii="Arial" w:hAnsi="Arial" w:cs="Arial"/>
          <w:b/>
          <w:bCs/>
        </w:rPr>
      </w:pPr>
      <w:r w:rsidRPr="003103DC">
        <w:rPr>
          <w:rFonts w:ascii="Arial" w:hAnsi="Arial" w:cs="Arial"/>
          <w:b/>
          <w:bCs/>
        </w:rPr>
        <w:lastRenderedPageBreak/>
        <w:t>Movements on balances</w:t>
      </w:r>
    </w:p>
    <w:p w14:paraId="3196B245" w14:textId="77777777" w:rsidR="003103DC" w:rsidRPr="003103DC" w:rsidRDefault="003103DC" w:rsidP="006F1659">
      <w:pPr>
        <w:spacing w:line="360" w:lineRule="auto"/>
        <w:rPr>
          <w:rFonts w:ascii="Arial" w:hAnsi="Arial" w:cs="Arial"/>
        </w:rPr>
      </w:pPr>
      <w:r w:rsidRPr="003103DC">
        <w:rPr>
          <w:rFonts w:ascii="Arial" w:hAnsi="Arial" w:cs="Arial"/>
        </w:rPr>
        <w:t>In accordance with the temporary relief offered by the Update to the Code of Practice on infrastructure assets, this note does not include disclosure of gross cost and accumulated depreciation for infrastructure assets because historical reporting practices and resultant information deficits mean that this would not faithfully represent the asset position to the users of the financial statements.</w:t>
      </w:r>
    </w:p>
    <w:p w14:paraId="7D41C6AC" w14:textId="77777777" w:rsidR="003103DC" w:rsidRPr="003103DC" w:rsidRDefault="003103DC" w:rsidP="006F1659">
      <w:pPr>
        <w:spacing w:line="360" w:lineRule="auto"/>
        <w:rPr>
          <w:rFonts w:ascii="Arial" w:hAnsi="Arial" w:cs="Arial"/>
        </w:rPr>
      </w:pPr>
    </w:p>
    <w:p w14:paraId="191C6772" w14:textId="7CA55254" w:rsidR="003103DC" w:rsidRDefault="003103DC" w:rsidP="006F1659">
      <w:pPr>
        <w:spacing w:line="360" w:lineRule="auto"/>
        <w:rPr>
          <w:rFonts w:ascii="Arial" w:hAnsi="Arial" w:cs="Arial"/>
        </w:rPr>
      </w:pPr>
      <w:r w:rsidRPr="003103DC">
        <w:rPr>
          <w:rFonts w:ascii="Arial" w:hAnsi="Arial" w:cs="Arial"/>
        </w:rPr>
        <w:t xml:space="preserve">The authority has chosen not to disclose this information as the previously reported practices and resultant information deficits mean that gross cost and accumulated depreciation are not measured accurately and would not provide the basis for the users of the financial statements to take economic or other decisions relating to infrastructure assets. </w:t>
      </w:r>
    </w:p>
    <w:p w14:paraId="56DBDDF0" w14:textId="77777777" w:rsidR="00C27F3B" w:rsidRDefault="00C27F3B" w:rsidP="006F1659">
      <w:pPr>
        <w:spacing w:line="360" w:lineRule="auto"/>
        <w:rPr>
          <w:rFonts w:ascii="Arial" w:hAnsi="Arial" w:cs="Arial"/>
        </w:rPr>
      </w:pPr>
    </w:p>
    <w:p w14:paraId="23E6C137" w14:textId="2C6C5AFD" w:rsidR="00C27F3B" w:rsidRDefault="00C27F3B" w:rsidP="006F1659">
      <w:pPr>
        <w:spacing w:line="360" w:lineRule="auto"/>
        <w:rPr>
          <w:rFonts w:ascii="Arial" w:hAnsi="Arial" w:cs="Arial"/>
        </w:rPr>
      </w:pPr>
      <w:r w:rsidRPr="00C27F3B">
        <w:rPr>
          <w:noProof/>
        </w:rPr>
        <w:drawing>
          <wp:inline distT="0" distB="0" distL="0" distR="0" wp14:anchorId="69A85DC7" wp14:editId="20AD5A55">
            <wp:extent cx="4876800" cy="1371600"/>
            <wp:effectExtent l="0" t="0" r="0" b="0"/>
            <wp:docPr id="2049723039"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723039" name="Picture 32">
                      <a:extLst>
                        <a:ext uri="{C183D7F6-B498-43B3-948B-1728B52AA6E4}">
                          <adec:decorative xmlns:adec="http://schemas.microsoft.com/office/drawing/2017/decorative" val="1"/>
                        </a:ext>
                      </a:extLs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76800" cy="1371600"/>
                    </a:xfrm>
                    <a:prstGeom prst="rect">
                      <a:avLst/>
                    </a:prstGeom>
                    <a:noFill/>
                    <a:ln>
                      <a:noFill/>
                    </a:ln>
                  </pic:spPr>
                </pic:pic>
              </a:graphicData>
            </a:graphic>
          </wp:inline>
        </w:drawing>
      </w:r>
    </w:p>
    <w:p w14:paraId="52AE9AED" w14:textId="68FA43BD" w:rsidR="000121F2" w:rsidRDefault="000121F2" w:rsidP="006F1659">
      <w:pPr>
        <w:spacing w:line="360" w:lineRule="auto"/>
        <w:rPr>
          <w:rFonts w:ascii="Arial" w:hAnsi="Arial" w:cs="Arial"/>
        </w:rPr>
      </w:pPr>
    </w:p>
    <w:p w14:paraId="39EFC6CA" w14:textId="6AEA23B5" w:rsidR="000121F2" w:rsidRDefault="000121F2" w:rsidP="006F1659">
      <w:pPr>
        <w:spacing w:line="360" w:lineRule="auto"/>
        <w:rPr>
          <w:rFonts w:ascii="Arial" w:hAnsi="Arial" w:cs="Arial"/>
        </w:rPr>
      </w:pPr>
      <w:r>
        <w:rPr>
          <w:rFonts w:ascii="Arial" w:hAnsi="Arial" w:cs="Arial"/>
        </w:rPr>
        <w:t>Balance Sheet reconciling note:</w:t>
      </w:r>
    </w:p>
    <w:p w14:paraId="4920777F" w14:textId="577D1787" w:rsidR="003103DC" w:rsidRDefault="003103DC" w:rsidP="006F1659">
      <w:pPr>
        <w:spacing w:line="360" w:lineRule="auto"/>
        <w:rPr>
          <w:rFonts w:ascii="Arial" w:hAnsi="Arial" w:cs="Arial"/>
        </w:rPr>
      </w:pPr>
    </w:p>
    <w:p w14:paraId="070926DB" w14:textId="107618C1" w:rsidR="00C27F3B" w:rsidRDefault="00C27F3B" w:rsidP="006F1659">
      <w:pPr>
        <w:spacing w:line="360" w:lineRule="auto"/>
        <w:rPr>
          <w:rFonts w:ascii="Arial" w:hAnsi="Arial" w:cs="Arial"/>
        </w:rPr>
      </w:pPr>
      <w:r w:rsidRPr="00C27F3B">
        <w:rPr>
          <w:noProof/>
        </w:rPr>
        <w:drawing>
          <wp:inline distT="0" distB="0" distL="0" distR="0" wp14:anchorId="5E9291DB" wp14:editId="05A3DA2F">
            <wp:extent cx="4876800" cy="800100"/>
            <wp:effectExtent l="0" t="0" r="0" b="0"/>
            <wp:docPr id="1628420320"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420320" name="Picture 33">
                      <a:extLst>
                        <a:ext uri="{C183D7F6-B498-43B3-948B-1728B52AA6E4}">
                          <adec:decorative xmlns:adec="http://schemas.microsoft.com/office/drawing/2017/decorative" val="1"/>
                        </a:ext>
                      </a:extLs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76800" cy="800100"/>
                    </a:xfrm>
                    <a:prstGeom prst="rect">
                      <a:avLst/>
                    </a:prstGeom>
                    <a:noFill/>
                    <a:ln>
                      <a:noFill/>
                    </a:ln>
                  </pic:spPr>
                </pic:pic>
              </a:graphicData>
            </a:graphic>
          </wp:inline>
        </w:drawing>
      </w:r>
    </w:p>
    <w:p w14:paraId="368654FB" w14:textId="4984844E" w:rsidR="003103DC" w:rsidRDefault="003103DC" w:rsidP="006F1659">
      <w:pPr>
        <w:spacing w:line="360" w:lineRule="auto"/>
        <w:rPr>
          <w:rFonts w:ascii="Arial" w:hAnsi="Arial" w:cs="Arial"/>
        </w:rPr>
      </w:pPr>
    </w:p>
    <w:p w14:paraId="1FD72E98" w14:textId="77777777" w:rsidR="00D2560A" w:rsidRDefault="00D2560A" w:rsidP="006F1659">
      <w:pPr>
        <w:spacing w:line="360" w:lineRule="auto"/>
        <w:rPr>
          <w:rFonts w:ascii="Arial" w:hAnsi="Arial" w:cs="Arial"/>
        </w:rPr>
      </w:pPr>
      <w:r w:rsidRPr="00DD3623">
        <w:rPr>
          <w:rFonts w:ascii="Arial" w:hAnsi="Arial" w:cs="Arial"/>
        </w:rPr>
        <w:t>The authority has determined in accordance with the England amendment of the Local Authorities Capital Finance and Accounting Regulations 2022 that the carrying amounts to be derecognised for infrastructure assets when there is replacement expenditure is nil.</w:t>
      </w:r>
    </w:p>
    <w:p w14:paraId="6682A6D2" w14:textId="3D46A227" w:rsidR="003103DC" w:rsidRDefault="003103DC" w:rsidP="006F1659">
      <w:pPr>
        <w:spacing w:line="360" w:lineRule="auto"/>
        <w:rPr>
          <w:rFonts w:ascii="Arial" w:hAnsi="Arial" w:cs="Arial"/>
        </w:rPr>
      </w:pPr>
    </w:p>
    <w:p w14:paraId="201DCCC9" w14:textId="438D0543" w:rsidR="004B42D8" w:rsidRDefault="004B42D8" w:rsidP="006F1659">
      <w:pPr>
        <w:spacing w:line="360" w:lineRule="auto"/>
        <w:rPr>
          <w:rFonts w:ascii="Arial" w:eastAsia="Palatino Linotype" w:hAnsi="Arial" w:cs="Arial"/>
          <w:b/>
          <w:bCs/>
          <w:szCs w:val="28"/>
          <w:lang w:val="en-US"/>
        </w:rPr>
      </w:pPr>
      <w:bookmarkStart w:id="150" w:name="_Toc92894893"/>
      <w:bookmarkStart w:id="151" w:name="_Toc92895197"/>
      <w:bookmarkStart w:id="152" w:name="_Toc109922631"/>
    </w:p>
    <w:p w14:paraId="32460726" w14:textId="77777777" w:rsidR="004B42D8" w:rsidRDefault="004B42D8" w:rsidP="006F1659">
      <w:pPr>
        <w:pStyle w:val="Heading3greennumbered"/>
        <w:spacing w:line="360" w:lineRule="auto"/>
        <w:sectPr w:rsidR="004B42D8" w:rsidSect="004833A2">
          <w:pgSz w:w="11906" w:h="16838"/>
          <w:pgMar w:top="1444" w:right="1416" w:bottom="1276" w:left="1080" w:header="568" w:footer="567" w:gutter="0"/>
          <w:cols w:space="708"/>
          <w:docGrid w:linePitch="360"/>
        </w:sectPr>
      </w:pPr>
    </w:p>
    <w:p w14:paraId="4F87417C" w14:textId="4D85C685" w:rsidR="007F381A" w:rsidRPr="0007572B" w:rsidRDefault="00C01247" w:rsidP="006F1659">
      <w:pPr>
        <w:pStyle w:val="Heading3greennumbered"/>
        <w:spacing w:line="360" w:lineRule="auto"/>
      </w:pPr>
      <w:r w:rsidRPr="0007572B">
        <w:lastRenderedPageBreak/>
        <w:t>21</w:t>
      </w:r>
      <w:r w:rsidR="007F381A" w:rsidRPr="0007572B">
        <w:t xml:space="preserve"> </w:t>
      </w:r>
      <w:r w:rsidR="006301F8" w:rsidRPr="0007572B">
        <w:t>Intangible Assets</w:t>
      </w:r>
      <w:bookmarkEnd w:id="150"/>
      <w:bookmarkEnd w:id="151"/>
      <w:bookmarkEnd w:id="152"/>
    </w:p>
    <w:p w14:paraId="15508833" w14:textId="77777777" w:rsidR="004B42D8" w:rsidRDefault="004B42D8" w:rsidP="006F1659">
      <w:pPr>
        <w:spacing w:line="360" w:lineRule="auto"/>
        <w:rPr>
          <w:rFonts w:ascii="Arial" w:hAnsi="Arial" w:cs="Arial"/>
        </w:rPr>
      </w:pPr>
    </w:p>
    <w:p w14:paraId="41FDE929" w14:textId="1B61E30F" w:rsidR="006301F8" w:rsidRPr="0007572B" w:rsidRDefault="006301F8" w:rsidP="006F1659">
      <w:pPr>
        <w:spacing w:line="360" w:lineRule="auto"/>
        <w:rPr>
          <w:rFonts w:ascii="Arial" w:hAnsi="Arial" w:cs="Arial"/>
        </w:rPr>
      </w:pPr>
      <w:r w:rsidRPr="0007572B">
        <w:rPr>
          <w:rFonts w:ascii="Arial" w:hAnsi="Arial" w:cs="Arial"/>
        </w:rPr>
        <w:t xml:space="preserve">The Authority accounts for its software as intangible assets, to the extent that the software is not an integral part of a particular IT system and accounted for as part of the hardware item of property, plant and equipment. The intangible assets are purchased licenses. </w:t>
      </w:r>
    </w:p>
    <w:p w14:paraId="2858B524" w14:textId="33B48D8E" w:rsidR="006301F8" w:rsidRPr="0007572B" w:rsidRDefault="006301F8" w:rsidP="006F1659">
      <w:pPr>
        <w:spacing w:line="360" w:lineRule="auto"/>
        <w:rPr>
          <w:rFonts w:ascii="Arial" w:hAnsi="Arial" w:cs="Arial"/>
        </w:rPr>
      </w:pPr>
    </w:p>
    <w:p w14:paraId="30A74D77" w14:textId="6DC3AEB9" w:rsidR="006301F8" w:rsidRPr="0007572B" w:rsidRDefault="006301F8" w:rsidP="006F1659">
      <w:pPr>
        <w:spacing w:line="360" w:lineRule="auto"/>
        <w:rPr>
          <w:rFonts w:ascii="Arial" w:hAnsi="Arial" w:cs="Arial"/>
        </w:rPr>
      </w:pPr>
      <w:r w:rsidRPr="0007572B">
        <w:rPr>
          <w:rFonts w:ascii="Arial" w:hAnsi="Arial" w:cs="Arial"/>
        </w:rPr>
        <w:t>All software is given a finite useful life, based on assessments of the period that the software is expected to be used by the Authority. The useful lives assigned to the major software suites used by the Authority are:</w:t>
      </w:r>
    </w:p>
    <w:p w14:paraId="0712D08B" w14:textId="448EF4E8" w:rsidR="006301F8" w:rsidRPr="0007572B" w:rsidRDefault="006301F8" w:rsidP="006F1659">
      <w:pPr>
        <w:spacing w:line="36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317"/>
      </w:tblGrid>
      <w:tr w:rsidR="006301F8" w:rsidRPr="0007572B" w14:paraId="446AA16B" w14:textId="77777777" w:rsidTr="002E1BEE">
        <w:tc>
          <w:tcPr>
            <w:tcW w:w="7083" w:type="dxa"/>
          </w:tcPr>
          <w:p w14:paraId="68D2B622" w14:textId="16067371" w:rsidR="006301F8" w:rsidRPr="0007572B" w:rsidRDefault="006301F8" w:rsidP="006F1659">
            <w:pPr>
              <w:spacing w:line="360" w:lineRule="auto"/>
              <w:rPr>
                <w:rFonts w:ascii="Arial" w:hAnsi="Arial" w:cs="Arial"/>
              </w:rPr>
            </w:pPr>
            <w:r w:rsidRPr="0007572B">
              <w:rPr>
                <w:rFonts w:ascii="Arial" w:hAnsi="Arial" w:cs="Arial"/>
              </w:rPr>
              <w:t>Assets attributable to the Fire and Rescue Services</w:t>
            </w:r>
          </w:p>
        </w:tc>
        <w:tc>
          <w:tcPr>
            <w:tcW w:w="2317" w:type="dxa"/>
          </w:tcPr>
          <w:p w14:paraId="76A21E20" w14:textId="12CA62AD" w:rsidR="006301F8" w:rsidRPr="0007572B" w:rsidRDefault="002E1BEE" w:rsidP="006F1659">
            <w:pPr>
              <w:spacing w:line="360" w:lineRule="auto"/>
              <w:rPr>
                <w:rFonts w:ascii="Arial" w:hAnsi="Arial" w:cs="Arial"/>
              </w:rPr>
            </w:pPr>
            <w:r w:rsidRPr="0007572B">
              <w:rPr>
                <w:rFonts w:ascii="Arial" w:hAnsi="Arial" w:cs="Arial"/>
              </w:rPr>
              <w:t>3 to 10 years</w:t>
            </w:r>
          </w:p>
        </w:tc>
      </w:tr>
      <w:tr w:rsidR="006301F8" w:rsidRPr="0007572B" w14:paraId="36A3B856" w14:textId="77777777" w:rsidTr="002E1BEE">
        <w:tc>
          <w:tcPr>
            <w:tcW w:w="7083" w:type="dxa"/>
          </w:tcPr>
          <w:p w14:paraId="49BF6002" w14:textId="2A8F7DD4" w:rsidR="006301F8" w:rsidRPr="0007572B" w:rsidRDefault="002E1BEE" w:rsidP="006F1659">
            <w:pPr>
              <w:spacing w:line="360" w:lineRule="auto"/>
              <w:rPr>
                <w:rFonts w:ascii="Arial" w:hAnsi="Arial" w:cs="Arial"/>
              </w:rPr>
            </w:pPr>
            <w:r w:rsidRPr="0007572B">
              <w:rPr>
                <w:rFonts w:ascii="Arial" w:hAnsi="Arial" w:cs="Arial"/>
              </w:rPr>
              <w:t>Assets attributable to the Policing Service</w:t>
            </w:r>
          </w:p>
        </w:tc>
        <w:tc>
          <w:tcPr>
            <w:tcW w:w="2317" w:type="dxa"/>
          </w:tcPr>
          <w:p w14:paraId="4DD31A45" w14:textId="713BA48A" w:rsidR="006301F8" w:rsidRPr="0007572B" w:rsidRDefault="002E1BEE" w:rsidP="006F1659">
            <w:pPr>
              <w:spacing w:line="360" w:lineRule="auto"/>
              <w:rPr>
                <w:rFonts w:ascii="Arial" w:hAnsi="Arial" w:cs="Arial"/>
              </w:rPr>
            </w:pPr>
            <w:r w:rsidRPr="0007572B">
              <w:rPr>
                <w:rFonts w:ascii="Arial" w:hAnsi="Arial" w:cs="Arial"/>
              </w:rPr>
              <w:t>5 years</w:t>
            </w:r>
          </w:p>
        </w:tc>
      </w:tr>
      <w:tr w:rsidR="002E1BEE" w:rsidRPr="0007572B" w14:paraId="131E4420" w14:textId="77777777" w:rsidTr="002E1BEE">
        <w:tc>
          <w:tcPr>
            <w:tcW w:w="7083" w:type="dxa"/>
          </w:tcPr>
          <w:p w14:paraId="41E38AF7" w14:textId="3D02FE07" w:rsidR="002E1BEE" w:rsidRPr="0007572B" w:rsidRDefault="002E1BEE" w:rsidP="006F1659">
            <w:pPr>
              <w:spacing w:line="360" w:lineRule="auto"/>
              <w:rPr>
                <w:rFonts w:ascii="Arial" w:hAnsi="Arial" w:cs="Arial"/>
              </w:rPr>
            </w:pPr>
            <w:r w:rsidRPr="0007572B">
              <w:rPr>
                <w:rFonts w:ascii="Arial" w:hAnsi="Arial" w:cs="Arial"/>
              </w:rPr>
              <w:t>Assets attributable to the Waste Disposal Services</w:t>
            </w:r>
          </w:p>
        </w:tc>
        <w:tc>
          <w:tcPr>
            <w:tcW w:w="2317" w:type="dxa"/>
          </w:tcPr>
          <w:p w14:paraId="515709C2" w14:textId="30993463" w:rsidR="002E1BEE" w:rsidRPr="0007572B" w:rsidRDefault="002E1BEE" w:rsidP="006F1659">
            <w:pPr>
              <w:spacing w:line="360" w:lineRule="auto"/>
              <w:rPr>
                <w:rFonts w:ascii="Arial" w:hAnsi="Arial" w:cs="Arial"/>
              </w:rPr>
            </w:pPr>
            <w:r w:rsidRPr="0007572B">
              <w:rPr>
                <w:rFonts w:ascii="Arial" w:hAnsi="Arial" w:cs="Arial"/>
              </w:rPr>
              <w:t>5 years</w:t>
            </w:r>
          </w:p>
        </w:tc>
      </w:tr>
    </w:tbl>
    <w:p w14:paraId="3B563E13" w14:textId="6073A1C2" w:rsidR="006301F8" w:rsidRPr="0007572B" w:rsidRDefault="006301F8" w:rsidP="006F1659">
      <w:pPr>
        <w:spacing w:line="360" w:lineRule="auto"/>
        <w:rPr>
          <w:rFonts w:ascii="Arial" w:hAnsi="Arial" w:cs="Arial"/>
        </w:rPr>
      </w:pPr>
    </w:p>
    <w:p w14:paraId="4F1171A2" w14:textId="2EAB908F" w:rsidR="002E1BEE" w:rsidRPr="0007572B" w:rsidRDefault="002E1BEE" w:rsidP="006F1659">
      <w:pPr>
        <w:spacing w:line="360" w:lineRule="auto"/>
        <w:rPr>
          <w:rFonts w:ascii="Arial" w:hAnsi="Arial" w:cs="Arial"/>
        </w:rPr>
      </w:pPr>
      <w:r w:rsidRPr="0007572B">
        <w:rPr>
          <w:rFonts w:ascii="Arial" w:hAnsi="Arial" w:cs="Arial"/>
        </w:rPr>
        <w:t>The carrying amounts of intangible assets is amortised on a straight</w:t>
      </w:r>
      <w:r w:rsidR="00831A0A">
        <w:rPr>
          <w:rFonts w:ascii="Arial" w:hAnsi="Arial" w:cs="Arial"/>
        </w:rPr>
        <w:t>-</w:t>
      </w:r>
      <w:r w:rsidRPr="0007572B">
        <w:rPr>
          <w:rFonts w:ascii="Arial" w:hAnsi="Arial" w:cs="Arial"/>
        </w:rPr>
        <w:t>line basis. Amortisation has been charged to service headings in the cost of services as follows:</w:t>
      </w:r>
    </w:p>
    <w:p w14:paraId="0D240F0F" w14:textId="77777777" w:rsidR="00D04D7B" w:rsidRDefault="00D04D7B" w:rsidP="006F1659">
      <w:pPr>
        <w:spacing w:line="360" w:lineRule="auto"/>
        <w:rPr>
          <w:rFonts w:ascii="Arial" w:hAnsi="Arial" w:cs="Arial"/>
          <w:sz w:val="22"/>
          <w:szCs w:val="22"/>
        </w:rPr>
      </w:pPr>
    </w:p>
    <w:p w14:paraId="7853E3FC" w14:textId="69A363EE" w:rsidR="00ED71D4" w:rsidRPr="00D04D7B" w:rsidRDefault="00ED71D4" w:rsidP="006F1659">
      <w:pPr>
        <w:spacing w:line="360" w:lineRule="auto"/>
        <w:rPr>
          <w:rFonts w:ascii="Arial" w:hAnsi="Arial" w:cs="Arial"/>
          <w:sz w:val="22"/>
          <w:szCs w:val="22"/>
        </w:rPr>
      </w:pPr>
      <w:r w:rsidRPr="00ED71D4">
        <w:rPr>
          <w:noProof/>
        </w:rPr>
        <w:drawing>
          <wp:inline distT="0" distB="0" distL="0" distR="0" wp14:anchorId="45147CCE" wp14:editId="356F3816">
            <wp:extent cx="3943350" cy="641350"/>
            <wp:effectExtent l="0" t="0" r="0" b="6350"/>
            <wp:docPr id="424219179"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219179" name="Picture 34">
                      <a:extLst>
                        <a:ext uri="{C183D7F6-B498-43B3-948B-1728B52AA6E4}">
                          <adec:decorative xmlns:adec="http://schemas.microsoft.com/office/drawing/2017/decorative" val="1"/>
                        </a:ext>
                      </a:extLs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943350" cy="641350"/>
                    </a:xfrm>
                    <a:prstGeom prst="rect">
                      <a:avLst/>
                    </a:prstGeom>
                    <a:noFill/>
                    <a:ln>
                      <a:noFill/>
                    </a:ln>
                  </pic:spPr>
                </pic:pic>
              </a:graphicData>
            </a:graphic>
          </wp:inline>
        </w:drawing>
      </w:r>
    </w:p>
    <w:p w14:paraId="46D3A174" w14:textId="77777777" w:rsidR="00B07451" w:rsidRDefault="00B07451" w:rsidP="006F1659">
      <w:pPr>
        <w:spacing w:line="360" w:lineRule="auto"/>
        <w:rPr>
          <w:rFonts w:ascii="Arial" w:hAnsi="Arial" w:cs="Arial"/>
        </w:rPr>
      </w:pPr>
      <w:r>
        <w:rPr>
          <w:rFonts w:ascii="Arial" w:hAnsi="Arial" w:cs="Arial"/>
        </w:rPr>
        <w:br w:type="page"/>
      </w:r>
    </w:p>
    <w:p w14:paraId="04196B9B" w14:textId="751BCEA6" w:rsidR="002E1BEE" w:rsidRDefault="002E1BEE" w:rsidP="006F1659">
      <w:pPr>
        <w:spacing w:line="360" w:lineRule="auto"/>
        <w:rPr>
          <w:rFonts w:ascii="Arial" w:hAnsi="Arial" w:cs="Arial"/>
        </w:rPr>
      </w:pPr>
      <w:r w:rsidRPr="0007572B">
        <w:rPr>
          <w:rFonts w:ascii="Arial" w:hAnsi="Arial" w:cs="Arial"/>
        </w:rPr>
        <w:lastRenderedPageBreak/>
        <w:t>The movement on intangible asset balances during the year is as follows:</w:t>
      </w:r>
    </w:p>
    <w:p w14:paraId="74352874" w14:textId="77777777" w:rsidR="00F95397" w:rsidRDefault="00F95397" w:rsidP="006F1659">
      <w:pPr>
        <w:spacing w:line="360" w:lineRule="auto"/>
        <w:rPr>
          <w:rFonts w:ascii="Arial" w:hAnsi="Arial" w:cs="Arial"/>
        </w:rPr>
      </w:pPr>
    </w:p>
    <w:p w14:paraId="1E70A1FB" w14:textId="53536A37" w:rsidR="00ED71D4" w:rsidRPr="0007572B" w:rsidRDefault="00ED71D4" w:rsidP="006F1659">
      <w:pPr>
        <w:spacing w:line="360" w:lineRule="auto"/>
        <w:rPr>
          <w:rFonts w:ascii="Arial" w:hAnsi="Arial" w:cs="Arial"/>
        </w:rPr>
      </w:pPr>
      <w:r w:rsidRPr="00ED71D4">
        <w:rPr>
          <w:noProof/>
        </w:rPr>
        <w:drawing>
          <wp:inline distT="0" distB="0" distL="0" distR="0" wp14:anchorId="6088C520" wp14:editId="06C7693B">
            <wp:extent cx="8235950" cy="3200400"/>
            <wp:effectExtent l="0" t="0" r="0" b="0"/>
            <wp:docPr id="1358094167"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094167" name="Picture 35">
                      <a:extLst>
                        <a:ext uri="{C183D7F6-B498-43B3-948B-1728B52AA6E4}">
                          <adec:decorative xmlns:adec="http://schemas.microsoft.com/office/drawing/2017/decorative" val="1"/>
                        </a:ext>
                      </a:extLs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235950" cy="3200400"/>
                    </a:xfrm>
                    <a:prstGeom prst="rect">
                      <a:avLst/>
                    </a:prstGeom>
                    <a:noFill/>
                    <a:ln>
                      <a:noFill/>
                    </a:ln>
                  </pic:spPr>
                </pic:pic>
              </a:graphicData>
            </a:graphic>
          </wp:inline>
        </w:drawing>
      </w:r>
    </w:p>
    <w:p w14:paraId="446E5516" w14:textId="5B78A0E6" w:rsidR="002E1BEE" w:rsidRPr="0007572B" w:rsidRDefault="002E1BEE" w:rsidP="006F1659">
      <w:pPr>
        <w:spacing w:line="360" w:lineRule="auto"/>
        <w:rPr>
          <w:rFonts w:ascii="Arial" w:hAnsi="Arial" w:cs="Arial"/>
          <w:sz w:val="22"/>
          <w:szCs w:val="22"/>
        </w:rPr>
      </w:pPr>
    </w:p>
    <w:p w14:paraId="35BAD77C" w14:textId="6135BA54" w:rsidR="00057EEC" w:rsidRPr="0007572B" w:rsidRDefault="002E1BEE" w:rsidP="006F1659">
      <w:pPr>
        <w:spacing w:line="360" w:lineRule="auto"/>
        <w:rPr>
          <w:rFonts w:ascii="Arial" w:hAnsi="Arial" w:cs="Arial"/>
        </w:rPr>
      </w:pPr>
      <w:r w:rsidRPr="00044139">
        <w:rPr>
          <w:rFonts w:ascii="Arial" w:hAnsi="Arial" w:cs="Arial"/>
        </w:rPr>
        <w:t xml:space="preserve">There is one capitalised software suite that is individually material to the financial statements: The Information Services Transformation Programme had a </w:t>
      </w:r>
      <w:r w:rsidR="00951938" w:rsidRPr="00044139">
        <w:rPr>
          <w:rFonts w:ascii="Arial" w:hAnsi="Arial" w:cs="Arial"/>
        </w:rPr>
        <w:t xml:space="preserve">gross </w:t>
      </w:r>
      <w:r w:rsidRPr="00044139">
        <w:rPr>
          <w:rFonts w:ascii="Arial" w:hAnsi="Arial" w:cs="Arial"/>
        </w:rPr>
        <w:t>carrying amount of £</w:t>
      </w:r>
      <w:r w:rsidR="00B74D26" w:rsidRPr="00044139">
        <w:rPr>
          <w:rFonts w:ascii="Arial" w:hAnsi="Arial" w:cs="Arial"/>
        </w:rPr>
        <w:t>2</w:t>
      </w:r>
      <w:r w:rsidR="002F037F" w:rsidRPr="00044139">
        <w:rPr>
          <w:rFonts w:ascii="Arial" w:hAnsi="Arial" w:cs="Arial"/>
        </w:rPr>
        <w:t>5</w:t>
      </w:r>
      <w:r w:rsidRPr="00044139">
        <w:rPr>
          <w:rFonts w:ascii="Arial" w:hAnsi="Arial" w:cs="Arial"/>
        </w:rPr>
        <w:t>.</w:t>
      </w:r>
      <w:r w:rsidR="002F037F" w:rsidRPr="00044139">
        <w:rPr>
          <w:rFonts w:ascii="Arial" w:hAnsi="Arial" w:cs="Arial"/>
        </w:rPr>
        <w:t>306</w:t>
      </w:r>
      <w:r w:rsidRPr="00044139">
        <w:rPr>
          <w:rFonts w:ascii="Arial" w:hAnsi="Arial" w:cs="Arial"/>
        </w:rPr>
        <w:t>m at 31 March 202</w:t>
      </w:r>
      <w:r w:rsidR="00044139" w:rsidRPr="00044139">
        <w:rPr>
          <w:rFonts w:ascii="Arial" w:hAnsi="Arial" w:cs="Arial"/>
        </w:rPr>
        <w:t>4</w:t>
      </w:r>
      <w:r w:rsidRPr="00044139">
        <w:rPr>
          <w:rFonts w:ascii="Arial" w:hAnsi="Arial" w:cs="Arial"/>
        </w:rPr>
        <w:t xml:space="preserve"> and a remaining amortisation period of</w:t>
      </w:r>
      <w:r w:rsidR="00D04D7B" w:rsidRPr="00044139">
        <w:rPr>
          <w:rFonts w:ascii="Arial" w:hAnsi="Arial" w:cs="Arial"/>
        </w:rPr>
        <w:t xml:space="preserve"> </w:t>
      </w:r>
      <w:r w:rsidR="00044139" w:rsidRPr="00044139">
        <w:rPr>
          <w:rFonts w:ascii="Arial" w:hAnsi="Arial" w:cs="Arial"/>
        </w:rPr>
        <w:t xml:space="preserve">1 </w:t>
      </w:r>
      <w:r w:rsidRPr="00044139">
        <w:rPr>
          <w:rFonts w:ascii="Arial" w:hAnsi="Arial" w:cs="Arial"/>
        </w:rPr>
        <w:t>year.</w:t>
      </w:r>
    </w:p>
    <w:p w14:paraId="42D0C996" w14:textId="77777777" w:rsidR="00CB302B" w:rsidRPr="0007572B" w:rsidRDefault="00CB302B" w:rsidP="006F1659">
      <w:pPr>
        <w:spacing w:line="360" w:lineRule="auto"/>
        <w:jc w:val="both"/>
        <w:rPr>
          <w:rFonts w:ascii="Arial" w:hAnsi="Arial" w:cs="Arial"/>
          <w:sz w:val="22"/>
          <w:szCs w:val="22"/>
        </w:rPr>
        <w:sectPr w:rsidR="00CB302B" w:rsidRPr="0007572B" w:rsidSect="004833A2">
          <w:pgSz w:w="16838" w:h="11906" w:orient="landscape"/>
          <w:pgMar w:top="1080" w:right="1444" w:bottom="1416" w:left="1276" w:header="568" w:footer="567" w:gutter="0"/>
          <w:cols w:space="708"/>
          <w:docGrid w:linePitch="360"/>
        </w:sectPr>
      </w:pPr>
    </w:p>
    <w:p w14:paraId="2ED83915" w14:textId="39EB1095" w:rsidR="006301F8" w:rsidRPr="0007572B" w:rsidRDefault="006301F8" w:rsidP="006F1659">
      <w:pPr>
        <w:pStyle w:val="Heading3greennumbered"/>
        <w:spacing w:line="360" w:lineRule="auto"/>
      </w:pPr>
      <w:bookmarkStart w:id="153" w:name="_Toc92894894"/>
      <w:bookmarkStart w:id="154" w:name="_Toc92895198"/>
      <w:bookmarkStart w:id="155" w:name="_Toc109922632"/>
      <w:r w:rsidRPr="0007572B">
        <w:lastRenderedPageBreak/>
        <w:t>22 Short and Long Term Debtors</w:t>
      </w:r>
      <w:bookmarkEnd w:id="153"/>
      <w:bookmarkEnd w:id="154"/>
      <w:bookmarkEnd w:id="155"/>
    </w:p>
    <w:p w14:paraId="77730096" w14:textId="77777777" w:rsidR="005403AF" w:rsidRPr="005403AF" w:rsidRDefault="005403AF" w:rsidP="006F1659">
      <w:pPr>
        <w:spacing w:line="360" w:lineRule="auto"/>
      </w:pPr>
    </w:p>
    <w:p w14:paraId="6ABB1988" w14:textId="782A9B52" w:rsidR="007F381A" w:rsidRPr="0007572B" w:rsidRDefault="007F381A" w:rsidP="006F1659">
      <w:pPr>
        <w:pStyle w:val="Heading4bold"/>
        <w:spacing w:line="360" w:lineRule="auto"/>
      </w:pPr>
      <w:bookmarkStart w:id="156" w:name="_Hlk138338334"/>
      <w:r w:rsidRPr="0007572B">
        <w:t>Short Term Debtors</w:t>
      </w:r>
    </w:p>
    <w:p w14:paraId="26CF68D3" w14:textId="77777777" w:rsidR="007F381A" w:rsidRDefault="007F381A" w:rsidP="006F1659">
      <w:pPr>
        <w:spacing w:line="360" w:lineRule="auto"/>
        <w:rPr>
          <w:rFonts w:ascii="Arial" w:hAnsi="Arial" w:cs="Arial"/>
        </w:rPr>
      </w:pPr>
      <w:r w:rsidRPr="0007572B">
        <w:rPr>
          <w:rFonts w:ascii="Arial" w:hAnsi="Arial" w:cs="Arial"/>
        </w:rPr>
        <w:t>These are amounts owed to the Authority</w:t>
      </w:r>
      <w:r w:rsidR="00A06FE6" w:rsidRPr="0007572B">
        <w:rPr>
          <w:rFonts w:ascii="Arial" w:hAnsi="Arial" w:cs="Arial"/>
        </w:rPr>
        <w:t>,</w:t>
      </w:r>
      <w:r w:rsidRPr="0007572B">
        <w:rPr>
          <w:rFonts w:ascii="Arial" w:hAnsi="Arial" w:cs="Arial"/>
        </w:rPr>
        <w:t xml:space="preserve"> which will be repaid within a year.</w:t>
      </w:r>
    </w:p>
    <w:p w14:paraId="0867B51E" w14:textId="77777777" w:rsidR="00ED71D4" w:rsidRPr="0007572B" w:rsidRDefault="00ED71D4" w:rsidP="006F1659">
      <w:pPr>
        <w:spacing w:line="360" w:lineRule="auto"/>
        <w:rPr>
          <w:rFonts w:ascii="Arial" w:hAnsi="Arial" w:cs="Arial"/>
          <w:highlight w:val="yellow"/>
        </w:rPr>
      </w:pPr>
    </w:p>
    <w:p w14:paraId="46911DF4" w14:textId="073B37BF" w:rsidR="00B2139B" w:rsidRDefault="00ED71D4" w:rsidP="006F1659">
      <w:pPr>
        <w:spacing w:line="360" w:lineRule="auto"/>
        <w:rPr>
          <w:rFonts w:ascii="Arial" w:hAnsi="Arial" w:cs="Arial"/>
          <w:b/>
        </w:rPr>
      </w:pPr>
      <w:bookmarkStart w:id="157" w:name="_Hlk109151992"/>
      <w:r w:rsidRPr="00ED71D4">
        <w:rPr>
          <w:noProof/>
        </w:rPr>
        <w:drawing>
          <wp:inline distT="0" distB="0" distL="0" distR="0" wp14:anchorId="2FBC0B0B" wp14:editId="2B1CA99E">
            <wp:extent cx="5124450" cy="1504950"/>
            <wp:effectExtent l="0" t="0" r="0" b="0"/>
            <wp:docPr id="845507139"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507139" name="Picture 36">
                      <a:extLst>
                        <a:ext uri="{C183D7F6-B498-43B3-948B-1728B52AA6E4}">
                          <adec:decorative xmlns:adec="http://schemas.microsoft.com/office/drawing/2017/decorative" val="1"/>
                        </a:ext>
                      </a:extLs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24450" cy="1504950"/>
                    </a:xfrm>
                    <a:prstGeom prst="rect">
                      <a:avLst/>
                    </a:prstGeom>
                    <a:noFill/>
                    <a:ln>
                      <a:noFill/>
                    </a:ln>
                  </pic:spPr>
                </pic:pic>
              </a:graphicData>
            </a:graphic>
          </wp:inline>
        </w:drawing>
      </w:r>
    </w:p>
    <w:p w14:paraId="3B36A44F" w14:textId="77777777" w:rsidR="00ED71D4" w:rsidRDefault="00ED71D4" w:rsidP="006F1659">
      <w:pPr>
        <w:spacing w:line="360" w:lineRule="auto"/>
        <w:rPr>
          <w:rFonts w:ascii="Arial" w:hAnsi="Arial" w:cs="Arial"/>
          <w:b/>
        </w:rPr>
      </w:pPr>
    </w:p>
    <w:p w14:paraId="71575845" w14:textId="566762BD" w:rsidR="00B85FBC" w:rsidRPr="00F85CC2" w:rsidRDefault="00B85FBC" w:rsidP="006F1659">
      <w:pPr>
        <w:spacing w:line="360" w:lineRule="auto"/>
        <w:rPr>
          <w:rFonts w:ascii="Arial" w:hAnsi="Arial" w:cs="Arial"/>
          <w:bCs/>
        </w:rPr>
      </w:pPr>
      <w:r w:rsidRPr="00F85CC2">
        <w:rPr>
          <w:rFonts w:ascii="Arial" w:hAnsi="Arial" w:cs="Arial"/>
          <w:bCs/>
        </w:rPr>
        <w:t xml:space="preserve">Other entities and individuals </w:t>
      </w:r>
      <w:r w:rsidR="00D04D7B" w:rsidRPr="00F85CC2">
        <w:rPr>
          <w:rFonts w:ascii="Arial" w:hAnsi="Arial" w:cs="Arial"/>
          <w:bCs/>
        </w:rPr>
        <w:t>include</w:t>
      </w:r>
      <w:r w:rsidRPr="00F85CC2">
        <w:rPr>
          <w:rFonts w:ascii="Arial" w:hAnsi="Arial" w:cs="Arial"/>
          <w:bCs/>
        </w:rPr>
        <w:t xml:space="preserve"> the following </w:t>
      </w:r>
      <w:r w:rsidR="00D04D7B" w:rsidRPr="00F85CC2">
        <w:rPr>
          <w:rFonts w:ascii="Arial" w:hAnsi="Arial" w:cs="Arial"/>
          <w:bCs/>
        </w:rPr>
        <w:t>short</w:t>
      </w:r>
      <w:r w:rsidR="00F3496D" w:rsidRPr="00F85CC2">
        <w:rPr>
          <w:rFonts w:ascii="Arial" w:hAnsi="Arial" w:cs="Arial"/>
          <w:bCs/>
        </w:rPr>
        <w:t xml:space="preserve"> </w:t>
      </w:r>
      <w:r w:rsidR="00D04D7B" w:rsidRPr="00F85CC2">
        <w:rPr>
          <w:rFonts w:ascii="Arial" w:hAnsi="Arial" w:cs="Arial"/>
          <w:bCs/>
        </w:rPr>
        <w:t>term</w:t>
      </w:r>
      <w:r w:rsidRPr="00F85CC2">
        <w:rPr>
          <w:rFonts w:ascii="Arial" w:hAnsi="Arial" w:cs="Arial"/>
          <w:bCs/>
        </w:rPr>
        <w:t xml:space="preserve"> debtors:</w:t>
      </w:r>
    </w:p>
    <w:p w14:paraId="6D79077A" w14:textId="58FDCDB2" w:rsidR="00D04D7B" w:rsidRPr="00F85CC2" w:rsidRDefault="00D04D7B" w:rsidP="006F1659">
      <w:pPr>
        <w:pStyle w:val="ListParagraph"/>
        <w:numPr>
          <w:ilvl w:val="0"/>
          <w:numId w:val="29"/>
        </w:numPr>
        <w:spacing w:line="360" w:lineRule="auto"/>
        <w:ind w:left="709"/>
        <w:rPr>
          <w:rFonts w:ascii="Arial" w:hAnsi="Arial" w:cs="Arial"/>
          <w:bCs/>
          <w:sz w:val="24"/>
          <w:szCs w:val="24"/>
        </w:rPr>
      </w:pPr>
      <w:r w:rsidRPr="00F85CC2">
        <w:rPr>
          <w:rFonts w:ascii="Arial" w:hAnsi="Arial" w:cs="Arial"/>
          <w:bCs/>
          <w:sz w:val="24"/>
          <w:szCs w:val="24"/>
          <w:lang w:eastAsia="en-US"/>
        </w:rPr>
        <w:t>£</w:t>
      </w:r>
      <w:r w:rsidR="00F85CC2" w:rsidRPr="00F85CC2">
        <w:rPr>
          <w:rFonts w:ascii="Arial" w:hAnsi="Arial" w:cs="Arial"/>
          <w:bCs/>
          <w:sz w:val="24"/>
          <w:szCs w:val="24"/>
          <w:lang w:eastAsia="en-US"/>
        </w:rPr>
        <w:t>21.7</w:t>
      </w:r>
      <w:r w:rsidRPr="00F85CC2">
        <w:rPr>
          <w:rFonts w:ascii="Arial" w:hAnsi="Arial" w:cs="Arial"/>
          <w:bCs/>
          <w:sz w:val="24"/>
          <w:szCs w:val="24"/>
          <w:lang w:eastAsia="en-US"/>
        </w:rPr>
        <w:t>m where Housing Investment Fund loans have been provided to support GM’s economic growth by supporting the delivery of new homes (£</w:t>
      </w:r>
      <w:r w:rsidR="00F85CC2" w:rsidRPr="00F85CC2">
        <w:rPr>
          <w:rFonts w:ascii="Arial" w:hAnsi="Arial" w:cs="Arial"/>
          <w:bCs/>
          <w:sz w:val="24"/>
          <w:szCs w:val="24"/>
          <w:lang w:eastAsia="en-US"/>
        </w:rPr>
        <w:t>128</w:t>
      </w:r>
      <w:r w:rsidRPr="00F85CC2">
        <w:rPr>
          <w:rFonts w:ascii="Arial" w:hAnsi="Arial" w:cs="Arial"/>
          <w:bCs/>
          <w:sz w:val="24"/>
          <w:szCs w:val="24"/>
          <w:lang w:eastAsia="en-US"/>
        </w:rPr>
        <w:t>.0m in 2</w:t>
      </w:r>
      <w:r w:rsidR="00F85CC2" w:rsidRPr="00F85CC2">
        <w:rPr>
          <w:rFonts w:ascii="Arial" w:hAnsi="Arial" w:cs="Arial"/>
          <w:bCs/>
          <w:sz w:val="24"/>
          <w:szCs w:val="24"/>
          <w:lang w:eastAsia="en-US"/>
        </w:rPr>
        <w:t>2</w:t>
      </w:r>
      <w:r w:rsidRPr="00F85CC2">
        <w:rPr>
          <w:rFonts w:ascii="Arial" w:hAnsi="Arial" w:cs="Arial"/>
          <w:bCs/>
          <w:sz w:val="24"/>
          <w:szCs w:val="24"/>
          <w:lang w:eastAsia="en-US"/>
        </w:rPr>
        <w:t>/2</w:t>
      </w:r>
      <w:r w:rsidR="00F85CC2" w:rsidRPr="00F85CC2">
        <w:rPr>
          <w:rFonts w:ascii="Arial" w:hAnsi="Arial" w:cs="Arial"/>
          <w:bCs/>
          <w:sz w:val="24"/>
          <w:szCs w:val="24"/>
          <w:lang w:eastAsia="en-US"/>
        </w:rPr>
        <w:t>3</w:t>
      </w:r>
      <w:r w:rsidRPr="00F85CC2">
        <w:rPr>
          <w:rFonts w:ascii="Arial" w:hAnsi="Arial" w:cs="Arial"/>
          <w:bCs/>
          <w:sz w:val="24"/>
          <w:szCs w:val="24"/>
          <w:lang w:eastAsia="en-US"/>
        </w:rPr>
        <w:t>).</w:t>
      </w:r>
    </w:p>
    <w:p w14:paraId="75A4848D" w14:textId="480A3905" w:rsidR="00F85CC2" w:rsidRPr="00F85CC2" w:rsidRDefault="00D04D7B" w:rsidP="00F85CC2">
      <w:pPr>
        <w:pStyle w:val="ListParagraph"/>
        <w:numPr>
          <w:ilvl w:val="0"/>
          <w:numId w:val="29"/>
        </w:numPr>
        <w:spacing w:line="360" w:lineRule="auto"/>
        <w:ind w:left="709"/>
        <w:rPr>
          <w:rFonts w:ascii="Arial" w:hAnsi="Arial" w:cs="Arial"/>
          <w:bCs/>
          <w:sz w:val="24"/>
          <w:szCs w:val="24"/>
        </w:rPr>
      </w:pPr>
      <w:r w:rsidRPr="00F85CC2">
        <w:rPr>
          <w:rFonts w:ascii="Arial" w:hAnsi="Arial" w:cs="Arial"/>
          <w:bCs/>
          <w:sz w:val="24"/>
          <w:szCs w:val="24"/>
        </w:rPr>
        <w:t>£</w:t>
      </w:r>
      <w:r w:rsidR="00F85CC2" w:rsidRPr="00F85CC2">
        <w:rPr>
          <w:rFonts w:ascii="Arial" w:hAnsi="Arial" w:cs="Arial"/>
          <w:bCs/>
          <w:sz w:val="24"/>
          <w:szCs w:val="24"/>
        </w:rPr>
        <w:t>5</w:t>
      </w:r>
      <w:r w:rsidRPr="00F85CC2">
        <w:rPr>
          <w:rFonts w:ascii="Arial" w:hAnsi="Arial" w:cs="Arial"/>
          <w:bCs/>
          <w:sz w:val="24"/>
          <w:szCs w:val="24"/>
        </w:rPr>
        <w:t>.</w:t>
      </w:r>
      <w:r w:rsidR="00F85CC2" w:rsidRPr="00F85CC2">
        <w:rPr>
          <w:rFonts w:ascii="Arial" w:hAnsi="Arial" w:cs="Arial"/>
          <w:bCs/>
          <w:sz w:val="24"/>
          <w:szCs w:val="24"/>
        </w:rPr>
        <w:t>6</w:t>
      </w:r>
      <w:r w:rsidRPr="00F85CC2">
        <w:rPr>
          <w:rFonts w:ascii="Arial" w:hAnsi="Arial" w:cs="Arial"/>
          <w:bCs/>
          <w:sz w:val="24"/>
          <w:szCs w:val="24"/>
        </w:rPr>
        <w:t>m where Regional Growth Fund and Growing Places Fund (GPF) monies have been recycled and loans provided for investment in businesses and commercial property projects (£</w:t>
      </w:r>
      <w:r w:rsidR="00F85CC2" w:rsidRPr="00F85CC2">
        <w:rPr>
          <w:rFonts w:ascii="Arial" w:hAnsi="Arial" w:cs="Arial"/>
          <w:bCs/>
          <w:sz w:val="24"/>
          <w:szCs w:val="24"/>
        </w:rPr>
        <w:t>10</w:t>
      </w:r>
      <w:r w:rsidRPr="00F85CC2">
        <w:rPr>
          <w:rFonts w:ascii="Arial" w:hAnsi="Arial" w:cs="Arial"/>
          <w:bCs/>
          <w:sz w:val="24"/>
          <w:szCs w:val="24"/>
        </w:rPr>
        <w:t>.8m in 2</w:t>
      </w:r>
      <w:r w:rsidR="00F85CC2" w:rsidRPr="00F85CC2">
        <w:rPr>
          <w:rFonts w:ascii="Arial" w:hAnsi="Arial" w:cs="Arial"/>
          <w:bCs/>
          <w:sz w:val="24"/>
          <w:szCs w:val="24"/>
        </w:rPr>
        <w:t>2</w:t>
      </w:r>
      <w:r w:rsidRPr="00F85CC2">
        <w:rPr>
          <w:rFonts w:ascii="Arial" w:hAnsi="Arial" w:cs="Arial"/>
          <w:bCs/>
          <w:sz w:val="24"/>
          <w:szCs w:val="24"/>
        </w:rPr>
        <w:t>/2</w:t>
      </w:r>
      <w:r w:rsidR="00F85CC2" w:rsidRPr="00F85CC2">
        <w:rPr>
          <w:rFonts w:ascii="Arial" w:hAnsi="Arial" w:cs="Arial"/>
          <w:bCs/>
          <w:sz w:val="24"/>
          <w:szCs w:val="24"/>
        </w:rPr>
        <w:t>3</w:t>
      </w:r>
      <w:r w:rsidRPr="00F85CC2">
        <w:rPr>
          <w:rFonts w:ascii="Arial" w:hAnsi="Arial" w:cs="Arial"/>
          <w:bCs/>
          <w:sz w:val="24"/>
          <w:szCs w:val="24"/>
        </w:rPr>
        <w:t>).</w:t>
      </w:r>
    </w:p>
    <w:bookmarkEnd w:id="157"/>
    <w:p w14:paraId="1743E0F4" w14:textId="5F963A8F" w:rsidR="007F381A" w:rsidRPr="00F85CC2" w:rsidRDefault="007F381A" w:rsidP="006F1659">
      <w:pPr>
        <w:pStyle w:val="Heading4bold"/>
        <w:spacing w:line="360" w:lineRule="auto"/>
      </w:pPr>
      <w:r w:rsidRPr="00F85CC2">
        <w:t>Long Term Debtors</w:t>
      </w:r>
    </w:p>
    <w:p w14:paraId="2219B49A" w14:textId="3442BEFB" w:rsidR="007F381A" w:rsidRDefault="007F381A" w:rsidP="006F1659">
      <w:pPr>
        <w:spacing w:line="360" w:lineRule="auto"/>
        <w:rPr>
          <w:rFonts w:ascii="Arial" w:hAnsi="Arial" w:cs="Arial"/>
        </w:rPr>
      </w:pPr>
      <w:r w:rsidRPr="00F85CC2">
        <w:rPr>
          <w:rFonts w:ascii="Arial" w:hAnsi="Arial" w:cs="Arial"/>
        </w:rPr>
        <w:t>These are amounts owed to the Authority</w:t>
      </w:r>
      <w:r w:rsidR="00A06FE6" w:rsidRPr="0007572B">
        <w:rPr>
          <w:rFonts w:ascii="Arial" w:hAnsi="Arial" w:cs="Arial"/>
        </w:rPr>
        <w:t>,</w:t>
      </w:r>
      <w:r w:rsidRPr="0007572B">
        <w:rPr>
          <w:rFonts w:ascii="Arial" w:hAnsi="Arial" w:cs="Arial"/>
        </w:rPr>
        <w:t xml:space="preserve"> which are being repaid over various periods longer than one year.</w:t>
      </w:r>
    </w:p>
    <w:p w14:paraId="29D5179E" w14:textId="68716AED" w:rsidR="00F51726" w:rsidRDefault="00F51726" w:rsidP="006F1659">
      <w:pPr>
        <w:spacing w:line="360" w:lineRule="auto"/>
        <w:rPr>
          <w:noProof/>
        </w:rPr>
      </w:pPr>
    </w:p>
    <w:p w14:paraId="72AC4F77" w14:textId="64C396A6" w:rsidR="00ED71D4" w:rsidRDefault="00ED71D4" w:rsidP="006F1659">
      <w:pPr>
        <w:spacing w:line="360" w:lineRule="auto"/>
        <w:rPr>
          <w:rFonts w:ascii="Arial" w:hAnsi="Arial" w:cs="Arial"/>
          <w:b/>
        </w:rPr>
      </w:pPr>
      <w:r w:rsidRPr="00ED71D4">
        <w:rPr>
          <w:noProof/>
        </w:rPr>
        <w:drawing>
          <wp:inline distT="0" distB="0" distL="0" distR="0" wp14:anchorId="36E173C5" wp14:editId="5DCE58F8">
            <wp:extent cx="4584700" cy="946150"/>
            <wp:effectExtent l="0" t="0" r="6350" b="6350"/>
            <wp:docPr id="2141712075"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712075" name="Picture 37">
                      <a:extLst>
                        <a:ext uri="{C183D7F6-B498-43B3-948B-1728B52AA6E4}">
                          <adec:decorative xmlns:adec="http://schemas.microsoft.com/office/drawing/2017/decorative" val="1"/>
                        </a:ext>
                      </a:extLs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84700" cy="946150"/>
                    </a:xfrm>
                    <a:prstGeom prst="rect">
                      <a:avLst/>
                    </a:prstGeom>
                    <a:noFill/>
                    <a:ln>
                      <a:noFill/>
                    </a:ln>
                  </pic:spPr>
                </pic:pic>
              </a:graphicData>
            </a:graphic>
          </wp:inline>
        </w:drawing>
      </w:r>
    </w:p>
    <w:p w14:paraId="5682AC3B" w14:textId="77777777" w:rsidR="00F51726" w:rsidRDefault="00F51726" w:rsidP="006F1659">
      <w:pPr>
        <w:spacing w:line="360" w:lineRule="auto"/>
        <w:rPr>
          <w:rFonts w:ascii="Arial" w:hAnsi="Arial" w:cs="Arial"/>
          <w:bCs/>
        </w:rPr>
      </w:pPr>
    </w:p>
    <w:p w14:paraId="64C83E1A" w14:textId="2B7BD5DA" w:rsidR="00F51726" w:rsidRDefault="00F51726" w:rsidP="00ED71D4">
      <w:pPr>
        <w:pStyle w:val="Heading4bold"/>
        <w:spacing w:line="360" w:lineRule="auto"/>
      </w:pPr>
      <w:r w:rsidRPr="00F51726">
        <w:t>Ageing Analysis of Trade Debtors</w:t>
      </w:r>
    </w:p>
    <w:p w14:paraId="71034FC6" w14:textId="27828F8F" w:rsidR="00F51726" w:rsidRPr="001F1CDD" w:rsidRDefault="00F51726" w:rsidP="006F1659">
      <w:pPr>
        <w:spacing w:line="360" w:lineRule="auto"/>
        <w:rPr>
          <w:rFonts w:ascii="Arial" w:hAnsi="Arial" w:cs="Arial"/>
        </w:rPr>
      </w:pPr>
      <w:r w:rsidRPr="00ED71D4">
        <w:rPr>
          <w:rFonts w:ascii="Arial" w:hAnsi="Arial" w:cs="Arial"/>
        </w:rPr>
        <w:t>At 31 March 202</w:t>
      </w:r>
      <w:r w:rsidR="00ED71D4" w:rsidRPr="00ED71D4">
        <w:rPr>
          <w:rFonts w:ascii="Arial" w:hAnsi="Arial" w:cs="Arial"/>
        </w:rPr>
        <w:t>4</w:t>
      </w:r>
      <w:r w:rsidRPr="00ED71D4">
        <w:rPr>
          <w:rFonts w:ascii="Arial" w:hAnsi="Arial" w:cs="Arial"/>
        </w:rPr>
        <w:t>, trade debtors at a nominal value of £</w:t>
      </w:r>
      <w:r w:rsidR="00D04D7B" w:rsidRPr="00ED71D4">
        <w:rPr>
          <w:rFonts w:ascii="Arial" w:hAnsi="Arial" w:cs="Arial"/>
        </w:rPr>
        <w:t>1</w:t>
      </w:r>
      <w:r w:rsidR="00ED71D4" w:rsidRPr="00ED71D4">
        <w:rPr>
          <w:rFonts w:ascii="Arial" w:hAnsi="Arial" w:cs="Arial"/>
        </w:rPr>
        <w:t>11</w:t>
      </w:r>
      <w:r w:rsidR="00D04D7B" w:rsidRPr="00ED71D4">
        <w:rPr>
          <w:rFonts w:ascii="Arial" w:hAnsi="Arial" w:cs="Arial"/>
        </w:rPr>
        <w:t>,000</w:t>
      </w:r>
      <w:r w:rsidRPr="00ED71D4">
        <w:rPr>
          <w:rFonts w:ascii="Arial" w:hAnsi="Arial" w:cs="Arial"/>
        </w:rPr>
        <w:t xml:space="preserve"> (202</w:t>
      </w:r>
      <w:r w:rsidR="00ED71D4" w:rsidRPr="00ED71D4">
        <w:rPr>
          <w:rFonts w:ascii="Arial" w:hAnsi="Arial" w:cs="Arial"/>
        </w:rPr>
        <w:t>3</w:t>
      </w:r>
      <w:r w:rsidRPr="00ED71D4">
        <w:rPr>
          <w:rFonts w:ascii="Arial" w:hAnsi="Arial" w:cs="Arial"/>
        </w:rPr>
        <w:t>: £</w:t>
      </w:r>
      <w:r w:rsidR="00ED71D4" w:rsidRPr="00ED71D4">
        <w:rPr>
          <w:rFonts w:ascii="Arial" w:hAnsi="Arial" w:cs="Arial"/>
        </w:rPr>
        <w:t>194</w:t>
      </w:r>
      <w:r w:rsidRPr="00ED71D4">
        <w:rPr>
          <w:rFonts w:ascii="Arial" w:hAnsi="Arial" w:cs="Arial"/>
        </w:rPr>
        <w:t>,000) were impaired.</w:t>
      </w:r>
    </w:p>
    <w:p w14:paraId="27184116" w14:textId="77777777" w:rsidR="00F51726" w:rsidRPr="001F1CDD" w:rsidRDefault="00F51726" w:rsidP="006F1659">
      <w:pPr>
        <w:spacing w:line="360" w:lineRule="auto"/>
        <w:rPr>
          <w:rFonts w:ascii="Arial" w:hAnsi="Arial" w:cs="Arial"/>
        </w:rPr>
      </w:pPr>
    </w:p>
    <w:p w14:paraId="6885C108" w14:textId="3C8318F1" w:rsidR="00F51726" w:rsidRDefault="00F51726" w:rsidP="006F1659">
      <w:pPr>
        <w:spacing w:line="360" w:lineRule="auto"/>
        <w:rPr>
          <w:rFonts w:ascii="Arial" w:hAnsi="Arial" w:cs="Arial"/>
        </w:rPr>
      </w:pPr>
      <w:r w:rsidRPr="005D470D">
        <w:rPr>
          <w:rFonts w:ascii="Arial" w:hAnsi="Arial" w:cs="Arial"/>
        </w:rPr>
        <w:lastRenderedPageBreak/>
        <w:t>As at 31 March 202</w:t>
      </w:r>
      <w:r w:rsidR="00085EF8">
        <w:rPr>
          <w:rFonts w:ascii="Arial" w:hAnsi="Arial" w:cs="Arial"/>
        </w:rPr>
        <w:t>4</w:t>
      </w:r>
      <w:r w:rsidRPr="005D470D">
        <w:rPr>
          <w:rFonts w:ascii="Arial" w:hAnsi="Arial" w:cs="Arial"/>
        </w:rPr>
        <w:t>, the ageing analysis of trade debtors net of the provision</w:t>
      </w:r>
      <w:r>
        <w:rPr>
          <w:rFonts w:ascii="Arial" w:hAnsi="Arial" w:cs="Arial"/>
        </w:rPr>
        <w:t xml:space="preserve"> for impairment</w:t>
      </w:r>
      <w:r w:rsidRPr="005D470D">
        <w:rPr>
          <w:rFonts w:ascii="Arial" w:hAnsi="Arial" w:cs="Arial"/>
        </w:rPr>
        <w:t xml:space="preserve"> was as follows:</w:t>
      </w:r>
    </w:p>
    <w:p w14:paraId="6E4B3A27" w14:textId="77777777" w:rsidR="00F51726" w:rsidRDefault="00F51726" w:rsidP="006F1659">
      <w:pPr>
        <w:spacing w:line="360" w:lineRule="auto"/>
        <w:rPr>
          <w:rFonts w:ascii="Arial" w:hAnsi="Arial" w:cs="Arial"/>
        </w:rPr>
      </w:pPr>
    </w:p>
    <w:p w14:paraId="39B3ADB4" w14:textId="58EA318D" w:rsidR="00D04D7B" w:rsidRDefault="00ED71D4" w:rsidP="006F1659">
      <w:pPr>
        <w:spacing w:line="360" w:lineRule="auto"/>
        <w:rPr>
          <w:rFonts w:ascii="Arial" w:hAnsi="Arial" w:cs="Arial"/>
        </w:rPr>
      </w:pPr>
      <w:r w:rsidRPr="00ED71D4">
        <w:rPr>
          <w:noProof/>
        </w:rPr>
        <w:drawing>
          <wp:inline distT="0" distB="0" distL="0" distR="0" wp14:anchorId="2768BAB5" wp14:editId="79F5F0FF">
            <wp:extent cx="5810250" cy="641350"/>
            <wp:effectExtent l="0" t="0" r="0" b="6350"/>
            <wp:docPr id="2112221711"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221711" name="Picture 38">
                      <a:extLst>
                        <a:ext uri="{C183D7F6-B498-43B3-948B-1728B52AA6E4}">
                          <adec:decorative xmlns:adec="http://schemas.microsoft.com/office/drawing/2017/decorative" val="1"/>
                        </a:ext>
                      </a:extLs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10250" cy="641350"/>
                    </a:xfrm>
                    <a:prstGeom prst="rect">
                      <a:avLst/>
                    </a:prstGeom>
                    <a:noFill/>
                    <a:ln>
                      <a:noFill/>
                    </a:ln>
                  </pic:spPr>
                </pic:pic>
              </a:graphicData>
            </a:graphic>
          </wp:inline>
        </w:drawing>
      </w:r>
    </w:p>
    <w:bookmarkEnd w:id="156"/>
    <w:p w14:paraId="0C640C0A" w14:textId="77777777" w:rsidR="00860E50" w:rsidRDefault="00860E50" w:rsidP="006F1659">
      <w:pPr>
        <w:spacing w:line="360" w:lineRule="auto"/>
        <w:rPr>
          <w:rFonts w:ascii="Arial" w:hAnsi="Arial" w:cs="Arial"/>
          <w:b/>
          <w:sz w:val="22"/>
          <w:szCs w:val="22"/>
        </w:rPr>
      </w:pPr>
    </w:p>
    <w:p w14:paraId="58DFB19D" w14:textId="77777777" w:rsidR="00D04D7B" w:rsidRPr="0007572B" w:rsidRDefault="00D04D7B" w:rsidP="006F1659">
      <w:pPr>
        <w:spacing w:line="360" w:lineRule="auto"/>
        <w:rPr>
          <w:rFonts w:ascii="Arial" w:hAnsi="Arial" w:cs="Arial"/>
          <w:b/>
          <w:sz w:val="22"/>
          <w:szCs w:val="22"/>
        </w:rPr>
      </w:pPr>
    </w:p>
    <w:p w14:paraId="4A60E112" w14:textId="433E9E48" w:rsidR="001B7888" w:rsidRPr="0007572B" w:rsidRDefault="0040301F" w:rsidP="006F1659">
      <w:pPr>
        <w:pStyle w:val="Heading3greennumbered"/>
        <w:spacing w:line="360" w:lineRule="auto"/>
      </w:pPr>
      <w:bookmarkStart w:id="158" w:name="_Toc92894895"/>
      <w:bookmarkStart w:id="159" w:name="_Toc92895199"/>
      <w:bookmarkStart w:id="160" w:name="_Toc109922633"/>
      <w:r w:rsidRPr="0007572B">
        <w:t>2</w:t>
      </w:r>
      <w:r w:rsidR="00357FDB" w:rsidRPr="0007572B">
        <w:t>3</w:t>
      </w:r>
      <w:r w:rsidR="001B7888" w:rsidRPr="0007572B">
        <w:t xml:space="preserve"> Cash and Cash Equivalents</w:t>
      </w:r>
      <w:bookmarkEnd w:id="158"/>
      <w:bookmarkEnd w:id="159"/>
      <w:bookmarkEnd w:id="160"/>
    </w:p>
    <w:p w14:paraId="5ECFC64A" w14:textId="77777777" w:rsidR="005403AF" w:rsidRDefault="005403AF" w:rsidP="006F1659">
      <w:pPr>
        <w:spacing w:line="360" w:lineRule="auto"/>
        <w:rPr>
          <w:rFonts w:ascii="Arial" w:hAnsi="Arial" w:cs="Arial"/>
        </w:rPr>
      </w:pPr>
    </w:p>
    <w:p w14:paraId="0A327A5A" w14:textId="17C0E9A3" w:rsidR="003F32BF" w:rsidRPr="0007572B" w:rsidRDefault="003F32BF" w:rsidP="006F1659">
      <w:pPr>
        <w:spacing w:line="360" w:lineRule="auto"/>
        <w:rPr>
          <w:rFonts w:ascii="Arial" w:hAnsi="Arial" w:cs="Arial"/>
        </w:rPr>
      </w:pPr>
      <w:r w:rsidRPr="0007572B">
        <w:rPr>
          <w:rFonts w:ascii="Arial" w:hAnsi="Arial" w:cs="Arial"/>
        </w:rPr>
        <w:t>The balance of cash and cash equivalents is made up of the following elements:</w:t>
      </w:r>
    </w:p>
    <w:p w14:paraId="71291CF8" w14:textId="77777777" w:rsidR="00B4518D" w:rsidRPr="0007572B" w:rsidRDefault="00B4518D" w:rsidP="006F1659">
      <w:pPr>
        <w:spacing w:line="360" w:lineRule="auto"/>
        <w:rPr>
          <w:rFonts w:ascii="Arial" w:hAnsi="Arial" w:cs="Arial"/>
        </w:rPr>
      </w:pPr>
    </w:p>
    <w:p w14:paraId="47D6B3CE" w14:textId="7AB5093B" w:rsidR="00275033" w:rsidRPr="0007572B" w:rsidRDefault="007A5365" w:rsidP="006F1659">
      <w:pPr>
        <w:pStyle w:val="ListParagraph"/>
        <w:numPr>
          <w:ilvl w:val="0"/>
          <w:numId w:val="37"/>
        </w:numPr>
        <w:spacing w:after="0" w:line="360" w:lineRule="auto"/>
        <w:rPr>
          <w:rFonts w:ascii="Arial" w:hAnsi="Arial" w:cs="Arial"/>
          <w:sz w:val="24"/>
          <w:szCs w:val="24"/>
        </w:rPr>
      </w:pPr>
      <w:r w:rsidRPr="0007572B">
        <w:rPr>
          <w:rFonts w:ascii="Arial" w:hAnsi="Arial" w:cs="Arial"/>
          <w:sz w:val="24"/>
          <w:szCs w:val="24"/>
        </w:rPr>
        <w:t xml:space="preserve">Cash is represented by </w:t>
      </w:r>
      <w:r w:rsidR="00275033" w:rsidRPr="0007572B">
        <w:rPr>
          <w:rFonts w:ascii="Arial" w:hAnsi="Arial" w:cs="Arial"/>
          <w:sz w:val="24"/>
          <w:szCs w:val="24"/>
        </w:rPr>
        <w:t>operating bank accounts (shown net of bank overdrafts), deposits wit</w:t>
      </w:r>
      <w:r w:rsidR="002706DC" w:rsidRPr="0007572B">
        <w:rPr>
          <w:rFonts w:ascii="Arial" w:hAnsi="Arial" w:cs="Arial"/>
          <w:sz w:val="24"/>
          <w:szCs w:val="24"/>
        </w:rPr>
        <w:t>h financial institutions for less than three months,</w:t>
      </w:r>
      <w:r w:rsidR="00275033" w:rsidRPr="0007572B">
        <w:rPr>
          <w:rFonts w:ascii="Arial" w:hAnsi="Arial" w:cs="Arial"/>
          <w:sz w:val="24"/>
          <w:szCs w:val="24"/>
        </w:rPr>
        <w:t xml:space="preserve"> </w:t>
      </w:r>
      <w:r w:rsidRPr="0007572B">
        <w:rPr>
          <w:rFonts w:ascii="Arial" w:hAnsi="Arial" w:cs="Arial"/>
          <w:sz w:val="24"/>
          <w:szCs w:val="24"/>
        </w:rPr>
        <w:t>cash in hand</w:t>
      </w:r>
      <w:r w:rsidR="00275033" w:rsidRPr="0007572B">
        <w:rPr>
          <w:rFonts w:ascii="Arial" w:hAnsi="Arial" w:cs="Arial"/>
          <w:sz w:val="24"/>
          <w:szCs w:val="24"/>
        </w:rPr>
        <w:t xml:space="preserve"> and </w:t>
      </w:r>
      <w:r w:rsidRPr="0007572B">
        <w:rPr>
          <w:rFonts w:ascii="Arial" w:hAnsi="Arial" w:cs="Arial"/>
          <w:sz w:val="24"/>
          <w:szCs w:val="24"/>
        </w:rPr>
        <w:t>petty cash balances</w:t>
      </w:r>
      <w:r w:rsidR="00275033" w:rsidRPr="0007572B">
        <w:rPr>
          <w:rFonts w:ascii="Arial" w:hAnsi="Arial" w:cs="Arial"/>
          <w:sz w:val="24"/>
          <w:szCs w:val="24"/>
        </w:rPr>
        <w:t>.</w:t>
      </w:r>
    </w:p>
    <w:p w14:paraId="52C60AFF" w14:textId="0573B314" w:rsidR="007A5365" w:rsidRPr="0007572B" w:rsidRDefault="007A5365" w:rsidP="006F1659">
      <w:pPr>
        <w:pStyle w:val="ListParagraph"/>
        <w:spacing w:after="0" w:line="360" w:lineRule="auto"/>
        <w:rPr>
          <w:rFonts w:ascii="Arial" w:hAnsi="Arial" w:cs="Arial"/>
          <w:sz w:val="24"/>
          <w:szCs w:val="24"/>
        </w:rPr>
      </w:pPr>
    </w:p>
    <w:p w14:paraId="72BC9254" w14:textId="2DD82A61" w:rsidR="007A5365" w:rsidRDefault="007A5365" w:rsidP="006F1659">
      <w:pPr>
        <w:pStyle w:val="ListParagraph"/>
        <w:numPr>
          <w:ilvl w:val="0"/>
          <w:numId w:val="37"/>
        </w:numPr>
        <w:spacing w:after="0" w:line="360" w:lineRule="auto"/>
        <w:rPr>
          <w:rFonts w:ascii="Arial" w:hAnsi="Arial" w:cs="Arial"/>
          <w:sz w:val="24"/>
          <w:szCs w:val="24"/>
        </w:rPr>
      </w:pPr>
      <w:r w:rsidRPr="0007572B">
        <w:rPr>
          <w:rFonts w:ascii="Arial" w:hAnsi="Arial" w:cs="Arial"/>
          <w:sz w:val="24"/>
          <w:szCs w:val="24"/>
        </w:rPr>
        <w:t xml:space="preserve">Cash equivalents </w:t>
      </w:r>
      <w:r w:rsidR="00275033" w:rsidRPr="0007572B">
        <w:rPr>
          <w:rFonts w:ascii="Arial" w:hAnsi="Arial" w:cs="Arial"/>
          <w:sz w:val="24"/>
          <w:szCs w:val="24"/>
        </w:rPr>
        <w:t>are highly liquid investments that mature in three months or less from the date of acquisition and that are readily convertible to known amounts of cash with an insignificant risk of change in value.</w:t>
      </w:r>
      <w:r w:rsidR="002706DC" w:rsidRPr="0007572B">
        <w:rPr>
          <w:rFonts w:ascii="Arial" w:hAnsi="Arial" w:cs="Arial"/>
          <w:sz w:val="24"/>
          <w:szCs w:val="24"/>
        </w:rPr>
        <w:t xml:space="preserve"> These include interest bearing call accounts and money market funds with institutions that meet our required credit ratings.</w:t>
      </w:r>
    </w:p>
    <w:p w14:paraId="58DE9C03" w14:textId="77777777" w:rsidR="00D871C0" w:rsidRPr="00D871C0" w:rsidRDefault="00D871C0" w:rsidP="006F1659">
      <w:pPr>
        <w:spacing w:line="360" w:lineRule="auto"/>
        <w:ind w:left="360"/>
        <w:rPr>
          <w:rFonts w:ascii="Arial" w:hAnsi="Arial" w:cs="Arial"/>
        </w:rPr>
      </w:pPr>
    </w:p>
    <w:p w14:paraId="5F8C0E8A" w14:textId="744296D8" w:rsidR="004D15B7" w:rsidRPr="00ED71D4" w:rsidRDefault="00ED71D4" w:rsidP="00ED71D4">
      <w:pPr>
        <w:spacing w:line="360" w:lineRule="auto"/>
        <w:jc w:val="both"/>
        <w:rPr>
          <w:rFonts w:ascii="Arial" w:hAnsi="Arial" w:cs="Arial"/>
        </w:rPr>
      </w:pPr>
      <w:r w:rsidRPr="00ED71D4">
        <w:rPr>
          <w:noProof/>
        </w:rPr>
        <w:drawing>
          <wp:inline distT="0" distB="0" distL="0" distR="0" wp14:anchorId="6E7ECE02" wp14:editId="6B2B621E">
            <wp:extent cx="5543550" cy="1022350"/>
            <wp:effectExtent l="0" t="0" r="0" b="6350"/>
            <wp:docPr id="783731420"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31420" name="Picture 39">
                      <a:extLst>
                        <a:ext uri="{C183D7F6-B498-43B3-948B-1728B52AA6E4}">
                          <adec:decorative xmlns:adec="http://schemas.microsoft.com/office/drawing/2017/decorative" val="1"/>
                        </a:ext>
                      </a:extLs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43550" cy="1022350"/>
                    </a:xfrm>
                    <a:prstGeom prst="rect">
                      <a:avLst/>
                    </a:prstGeom>
                    <a:noFill/>
                    <a:ln>
                      <a:noFill/>
                    </a:ln>
                  </pic:spPr>
                </pic:pic>
              </a:graphicData>
            </a:graphic>
          </wp:inline>
        </w:drawing>
      </w:r>
    </w:p>
    <w:p w14:paraId="125F0F8D" w14:textId="77777777" w:rsidR="00D871C0" w:rsidRPr="0007572B" w:rsidRDefault="00D871C0" w:rsidP="006F1659">
      <w:pPr>
        <w:pStyle w:val="ListParagraph"/>
        <w:spacing w:after="0" w:line="360" w:lineRule="auto"/>
        <w:jc w:val="both"/>
        <w:rPr>
          <w:rFonts w:ascii="Arial" w:hAnsi="Arial" w:cs="Arial"/>
        </w:rPr>
      </w:pPr>
    </w:p>
    <w:p w14:paraId="62F1DD51" w14:textId="77777777" w:rsidR="00DD3623" w:rsidRDefault="00DD3623">
      <w:pPr>
        <w:rPr>
          <w:rFonts w:ascii="Arial" w:eastAsia="Palatino Linotype" w:hAnsi="Arial" w:cs="Arial"/>
          <w:b/>
          <w:bCs/>
          <w:szCs w:val="28"/>
          <w:lang w:val="en-US"/>
        </w:rPr>
      </w:pPr>
      <w:bookmarkStart w:id="161" w:name="_Toc92894896"/>
      <w:bookmarkStart w:id="162" w:name="_Toc92895200"/>
      <w:bookmarkStart w:id="163" w:name="_Toc109922634"/>
      <w:r>
        <w:br w:type="page"/>
      </w:r>
    </w:p>
    <w:p w14:paraId="105972A6" w14:textId="31ECC297" w:rsidR="00D35A13" w:rsidRPr="0007572B" w:rsidRDefault="00884440" w:rsidP="006F1659">
      <w:pPr>
        <w:pStyle w:val="Heading3greennumbered"/>
        <w:spacing w:line="360" w:lineRule="auto"/>
      </w:pPr>
      <w:r w:rsidRPr="0007572B">
        <w:lastRenderedPageBreak/>
        <w:t>2</w:t>
      </w:r>
      <w:r w:rsidR="00357FDB" w:rsidRPr="0007572B">
        <w:t>4</w:t>
      </w:r>
      <w:r w:rsidR="00081DA7" w:rsidRPr="0007572B">
        <w:t xml:space="preserve"> </w:t>
      </w:r>
      <w:r w:rsidR="00641574" w:rsidRPr="0007572B">
        <w:t>Short an</w:t>
      </w:r>
      <w:r w:rsidR="007F381A" w:rsidRPr="0007572B">
        <w:t>d Long Term Creditors</w:t>
      </w:r>
      <w:bookmarkEnd w:id="161"/>
      <w:bookmarkEnd w:id="162"/>
      <w:bookmarkEnd w:id="163"/>
    </w:p>
    <w:p w14:paraId="643ABEBA" w14:textId="77777777" w:rsidR="005403AF" w:rsidRPr="005403AF" w:rsidRDefault="005403AF" w:rsidP="006F1659">
      <w:pPr>
        <w:spacing w:line="360" w:lineRule="auto"/>
      </w:pPr>
    </w:p>
    <w:p w14:paraId="78699A70" w14:textId="44113C15" w:rsidR="008D2C8E" w:rsidRPr="0007572B" w:rsidRDefault="008D2C8E" w:rsidP="006F1659">
      <w:pPr>
        <w:pStyle w:val="Heading4bold"/>
        <w:spacing w:line="360" w:lineRule="auto"/>
      </w:pPr>
      <w:r w:rsidRPr="0007572B">
        <w:t>Short Term Creditors</w:t>
      </w:r>
    </w:p>
    <w:p w14:paraId="0656B6EC" w14:textId="77777777" w:rsidR="00081DA7" w:rsidRPr="0007572B" w:rsidRDefault="0040301F" w:rsidP="006F1659">
      <w:pPr>
        <w:spacing w:line="360" w:lineRule="auto"/>
        <w:rPr>
          <w:rFonts w:ascii="Arial" w:hAnsi="Arial" w:cs="Arial"/>
        </w:rPr>
      </w:pPr>
      <w:r w:rsidRPr="0007572B">
        <w:rPr>
          <w:rFonts w:ascii="Arial" w:hAnsi="Arial" w:cs="Arial"/>
        </w:rPr>
        <w:t>The table below shows the amounts owed by the Authority but not yet paid:</w:t>
      </w:r>
    </w:p>
    <w:p w14:paraId="00665E1C" w14:textId="71FBF992" w:rsidR="00F320F5" w:rsidRDefault="00ED71D4" w:rsidP="006F1659">
      <w:pPr>
        <w:spacing w:line="360" w:lineRule="auto"/>
        <w:rPr>
          <w:rFonts w:ascii="Arial" w:hAnsi="Arial" w:cs="Arial"/>
          <w:b/>
          <w:sz w:val="22"/>
          <w:szCs w:val="22"/>
        </w:rPr>
      </w:pPr>
      <w:r w:rsidRPr="00ED71D4">
        <w:rPr>
          <w:noProof/>
        </w:rPr>
        <w:drawing>
          <wp:inline distT="0" distB="0" distL="0" distR="0" wp14:anchorId="29CD8250" wp14:editId="7A5FFFEC">
            <wp:extent cx="5264150" cy="1403350"/>
            <wp:effectExtent l="0" t="0" r="0" b="6350"/>
            <wp:docPr id="962456139"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456139" name="Picture 40">
                      <a:extLst>
                        <a:ext uri="{C183D7F6-B498-43B3-948B-1728B52AA6E4}">
                          <adec:decorative xmlns:adec="http://schemas.microsoft.com/office/drawing/2017/decorative" val="1"/>
                        </a:ext>
                      </a:extLs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64150" cy="1403350"/>
                    </a:xfrm>
                    <a:prstGeom prst="rect">
                      <a:avLst/>
                    </a:prstGeom>
                    <a:noFill/>
                    <a:ln>
                      <a:noFill/>
                    </a:ln>
                  </pic:spPr>
                </pic:pic>
              </a:graphicData>
            </a:graphic>
          </wp:inline>
        </w:drawing>
      </w:r>
    </w:p>
    <w:p w14:paraId="054043B8" w14:textId="5F2FF169" w:rsidR="00F320F5" w:rsidRPr="0007572B" w:rsidRDefault="00F320F5" w:rsidP="006F1659">
      <w:pPr>
        <w:spacing w:line="360" w:lineRule="auto"/>
        <w:rPr>
          <w:rFonts w:ascii="Arial" w:hAnsi="Arial" w:cs="Arial"/>
          <w:b/>
          <w:sz w:val="22"/>
          <w:szCs w:val="22"/>
        </w:rPr>
        <w:sectPr w:rsidR="00F320F5" w:rsidRPr="0007572B" w:rsidSect="004833A2">
          <w:pgSz w:w="11906" w:h="16838"/>
          <w:pgMar w:top="1444" w:right="1416" w:bottom="1276" w:left="1080" w:header="568" w:footer="567" w:gutter="0"/>
          <w:cols w:space="708"/>
          <w:docGrid w:linePitch="360"/>
        </w:sectPr>
      </w:pPr>
    </w:p>
    <w:p w14:paraId="116103EB" w14:textId="4C3A0FC8" w:rsidR="00081DA7" w:rsidRPr="0007572B" w:rsidRDefault="00884440" w:rsidP="006F1659">
      <w:pPr>
        <w:pStyle w:val="Heading3greennumbered"/>
        <w:spacing w:line="360" w:lineRule="auto"/>
      </w:pPr>
      <w:bookmarkStart w:id="164" w:name="_Toc92894897"/>
      <w:bookmarkStart w:id="165" w:name="_Toc92895201"/>
      <w:bookmarkStart w:id="166" w:name="_Toc109922635"/>
      <w:r w:rsidRPr="0007572B">
        <w:lastRenderedPageBreak/>
        <w:t>2</w:t>
      </w:r>
      <w:r w:rsidR="00357FDB" w:rsidRPr="0007572B">
        <w:t>5</w:t>
      </w:r>
      <w:r w:rsidR="00081DA7" w:rsidRPr="0007572B">
        <w:t xml:space="preserve"> </w:t>
      </w:r>
      <w:r w:rsidR="007F381A" w:rsidRPr="0007572B">
        <w:t xml:space="preserve">Short and Long Term </w:t>
      </w:r>
      <w:r w:rsidR="00CE6A00" w:rsidRPr="0007572B">
        <w:t>Provisions</w:t>
      </w:r>
      <w:bookmarkEnd w:id="164"/>
      <w:bookmarkEnd w:id="165"/>
      <w:bookmarkEnd w:id="166"/>
    </w:p>
    <w:p w14:paraId="7B0B57CE" w14:textId="77777777" w:rsidR="005403AF" w:rsidRDefault="005403AF" w:rsidP="006F1659">
      <w:pPr>
        <w:spacing w:line="360" w:lineRule="auto"/>
        <w:rPr>
          <w:rFonts w:ascii="Arial" w:hAnsi="Arial" w:cs="Arial"/>
        </w:rPr>
      </w:pPr>
    </w:p>
    <w:p w14:paraId="1C73F3D2" w14:textId="5F65EBBC" w:rsidR="00081DA7" w:rsidRDefault="00F01BC1" w:rsidP="006F1659">
      <w:pPr>
        <w:spacing w:line="360" w:lineRule="auto"/>
        <w:rPr>
          <w:rFonts w:ascii="Arial" w:hAnsi="Arial" w:cs="Arial"/>
        </w:rPr>
      </w:pPr>
      <w:r w:rsidRPr="0007572B">
        <w:rPr>
          <w:rFonts w:ascii="Arial" w:hAnsi="Arial" w:cs="Arial"/>
        </w:rPr>
        <w:t>Provisions are amounts set aside by the Authority to meet the cost of a future liability, for which</w:t>
      </w:r>
      <w:r w:rsidR="00073FBD" w:rsidRPr="0007572B">
        <w:rPr>
          <w:rFonts w:ascii="Arial" w:hAnsi="Arial" w:cs="Arial"/>
        </w:rPr>
        <w:t>,</w:t>
      </w:r>
      <w:r w:rsidRPr="0007572B">
        <w:rPr>
          <w:rFonts w:ascii="Arial" w:hAnsi="Arial" w:cs="Arial"/>
        </w:rPr>
        <w:t xml:space="preserve"> the timing of payment is uncertain. In line with the Code of Practice</w:t>
      </w:r>
      <w:r w:rsidR="00073FBD" w:rsidRPr="0007572B">
        <w:rPr>
          <w:rFonts w:ascii="Arial" w:hAnsi="Arial" w:cs="Arial"/>
        </w:rPr>
        <w:t>,</w:t>
      </w:r>
      <w:r w:rsidRPr="0007572B">
        <w:rPr>
          <w:rFonts w:ascii="Arial" w:hAnsi="Arial" w:cs="Arial"/>
        </w:rPr>
        <w:t xml:space="preserve"> the provision is charged to the service revenue account in the year it is </w:t>
      </w:r>
      <w:r w:rsidR="004F5004" w:rsidRPr="0007572B">
        <w:rPr>
          <w:rFonts w:ascii="Arial" w:hAnsi="Arial" w:cs="Arial"/>
        </w:rPr>
        <w:t>established;</w:t>
      </w:r>
      <w:r w:rsidRPr="0007572B">
        <w:rPr>
          <w:rFonts w:ascii="Arial" w:hAnsi="Arial" w:cs="Arial"/>
        </w:rPr>
        <w:t xml:space="preserve"> when liability falls due it is charged directly to the provision.</w:t>
      </w:r>
    </w:p>
    <w:p w14:paraId="36FD1AD9" w14:textId="77777777" w:rsidR="000B247E" w:rsidRDefault="000B247E" w:rsidP="006F1659">
      <w:pPr>
        <w:spacing w:line="360" w:lineRule="auto"/>
        <w:jc w:val="both"/>
        <w:rPr>
          <w:noProof/>
        </w:rPr>
      </w:pPr>
    </w:p>
    <w:p w14:paraId="6D7AC0CF" w14:textId="1F76298E" w:rsidR="00ED71D4" w:rsidRDefault="00ED71D4" w:rsidP="006F1659">
      <w:pPr>
        <w:spacing w:line="360" w:lineRule="auto"/>
        <w:jc w:val="both"/>
        <w:rPr>
          <w:rFonts w:ascii="Arial" w:hAnsi="Arial" w:cs="Arial"/>
          <w:lang w:eastAsia="en-GB"/>
        </w:rPr>
      </w:pPr>
      <w:r w:rsidRPr="00ED71D4">
        <w:rPr>
          <w:noProof/>
        </w:rPr>
        <w:drawing>
          <wp:inline distT="0" distB="0" distL="0" distR="0" wp14:anchorId="10145DF8" wp14:editId="4FE9F7A5">
            <wp:extent cx="8540750" cy="2292350"/>
            <wp:effectExtent l="0" t="0" r="0" b="0"/>
            <wp:docPr id="201957644"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57644" name="Picture 41">
                      <a:extLst>
                        <a:ext uri="{C183D7F6-B498-43B3-948B-1728B52AA6E4}">
                          <adec:decorative xmlns:adec="http://schemas.microsoft.com/office/drawing/2017/decorative" val="1"/>
                        </a:ext>
                      </a:extLs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540750" cy="2292350"/>
                    </a:xfrm>
                    <a:prstGeom prst="rect">
                      <a:avLst/>
                    </a:prstGeom>
                    <a:noFill/>
                    <a:ln>
                      <a:noFill/>
                    </a:ln>
                  </pic:spPr>
                </pic:pic>
              </a:graphicData>
            </a:graphic>
          </wp:inline>
        </w:drawing>
      </w:r>
    </w:p>
    <w:p w14:paraId="08E58C4B" w14:textId="77777777" w:rsidR="00ED71D4" w:rsidRPr="0007572B" w:rsidRDefault="00ED71D4" w:rsidP="006F1659">
      <w:pPr>
        <w:spacing w:line="360" w:lineRule="auto"/>
        <w:jc w:val="both"/>
        <w:rPr>
          <w:rFonts w:ascii="Arial" w:hAnsi="Arial" w:cs="Arial"/>
          <w:lang w:eastAsia="en-GB"/>
        </w:rPr>
      </w:pPr>
    </w:p>
    <w:p w14:paraId="461D9EE0" w14:textId="7D346DD2" w:rsidR="00952201" w:rsidRDefault="00952201" w:rsidP="006F1659">
      <w:pPr>
        <w:spacing w:line="360" w:lineRule="auto"/>
        <w:jc w:val="both"/>
        <w:rPr>
          <w:rFonts w:ascii="Arial" w:hAnsi="Arial" w:cs="Arial"/>
          <w:lang w:eastAsia="en-GB"/>
        </w:rPr>
      </w:pPr>
      <w:r w:rsidRPr="0007572B">
        <w:rPr>
          <w:rFonts w:ascii="Arial" w:hAnsi="Arial" w:cs="Arial"/>
          <w:lang w:eastAsia="en-GB"/>
        </w:rPr>
        <w:t xml:space="preserve">The provisions held by the </w:t>
      </w:r>
      <w:r w:rsidR="00D952FE" w:rsidRPr="0007572B">
        <w:rPr>
          <w:rFonts w:ascii="Arial" w:hAnsi="Arial" w:cs="Arial"/>
          <w:lang w:eastAsia="en-GB"/>
        </w:rPr>
        <w:t>A</w:t>
      </w:r>
      <w:r w:rsidRPr="0007572B">
        <w:rPr>
          <w:rFonts w:ascii="Arial" w:hAnsi="Arial" w:cs="Arial"/>
          <w:lang w:eastAsia="en-GB"/>
        </w:rPr>
        <w:t>uthority are described below:</w:t>
      </w:r>
    </w:p>
    <w:p w14:paraId="3C353C9E" w14:textId="77777777" w:rsidR="005403AF" w:rsidRPr="00DD3623" w:rsidRDefault="005403AF" w:rsidP="00DD3623">
      <w:pPr>
        <w:spacing w:line="360" w:lineRule="auto"/>
        <w:rPr>
          <w:rFonts w:ascii="Arial" w:hAnsi="Arial" w:cs="Arial"/>
          <w:highlight w:val="yellow"/>
          <w:u w:val="single"/>
        </w:rPr>
      </w:pPr>
    </w:p>
    <w:p w14:paraId="50AD8B82" w14:textId="77777777" w:rsidR="00952201" w:rsidRPr="00DD3623" w:rsidRDefault="00952201" w:rsidP="006F1659">
      <w:pPr>
        <w:pStyle w:val="Heading4bold"/>
        <w:spacing w:line="360" w:lineRule="auto"/>
        <w:rPr>
          <w:lang w:eastAsia="en-GB"/>
        </w:rPr>
      </w:pPr>
      <w:r w:rsidRPr="00DD3623">
        <w:rPr>
          <w:lang w:eastAsia="en-GB"/>
        </w:rPr>
        <w:t>Mayoral General Fund</w:t>
      </w:r>
    </w:p>
    <w:p w14:paraId="728C1C78" w14:textId="6E913A56" w:rsidR="00952201" w:rsidRPr="00DD3623" w:rsidRDefault="00952201" w:rsidP="006F1659">
      <w:pPr>
        <w:pStyle w:val="ListParagraph"/>
        <w:numPr>
          <w:ilvl w:val="0"/>
          <w:numId w:val="33"/>
        </w:numPr>
        <w:tabs>
          <w:tab w:val="left" w:pos="945"/>
        </w:tabs>
        <w:spacing w:after="0" w:line="360" w:lineRule="auto"/>
        <w:rPr>
          <w:rFonts w:ascii="Arial" w:hAnsi="Arial" w:cs="Arial"/>
          <w:sz w:val="24"/>
          <w:szCs w:val="24"/>
        </w:rPr>
      </w:pPr>
      <w:r w:rsidRPr="00DD3623">
        <w:rPr>
          <w:rFonts w:ascii="Arial" w:hAnsi="Arial" w:cs="Arial"/>
          <w:sz w:val="24"/>
          <w:szCs w:val="24"/>
        </w:rPr>
        <w:t xml:space="preserve">Insurance Provision - This provision represents the value of an actuarial assessment of the remaining liability for all self-insured claims occurring in </w:t>
      </w:r>
      <w:r w:rsidR="00D1125B" w:rsidRPr="00DD3623">
        <w:rPr>
          <w:rFonts w:ascii="Arial" w:hAnsi="Arial" w:cs="Arial"/>
          <w:sz w:val="24"/>
          <w:szCs w:val="24"/>
        </w:rPr>
        <w:t>2023/24</w:t>
      </w:r>
      <w:r w:rsidRPr="00DD3623">
        <w:rPr>
          <w:rFonts w:ascii="Arial" w:hAnsi="Arial" w:cs="Arial"/>
          <w:sz w:val="24"/>
          <w:szCs w:val="24"/>
        </w:rPr>
        <w:t xml:space="preserve">, all prior policy years and a prudent margin added for emerging claim types. </w:t>
      </w:r>
    </w:p>
    <w:p w14:paraId="042D25A1" w14:textId="77777777" w:rsidR="00952201" w:rsidRPr="00DD3623" w:rsidRDefault="00952201" w:rsidP="006F1659">
      <w:pPr>
        <w:tabs>
          <w:tab w:val="left" w:pos="945"/>
        </w:tabs>
        <w:spacing w:line="360" w:lineRule="auto"/>
        <w:ind w:left="720"/>
        <w:rPr>
          <w:rFonts w:ascii="Arial" w:hAnsi="Arial" w:cs="Arial"/>
          <w:lang w:eastAsia="en-GB"/>
        </w:rPr>
      </w:pPr>
    </w:p>
    <w:p w14:paraId="530932AE" w14:textId="381210AB" w:rsidR="00952201" w:rsidRPr="00DD3623" w:rsidRDefault="002555A0" w:rsidP="006F1659">
      <w:pPr>
        <w:pStyle w:val="ListParagraph"/>
        <w:numPr>
          <w:ilvl w:val="0"/>
          <w:numId w:val="33"/>
        </w:numPr>
        <w:tabs>
          <w:tab w:val="left" w:pos="945"/>
        </w:tabs>
        <w:spacing w:after="0" w:line="360" w:lineRule="auto"/>
        <w:rPr>
          <w:rFonts w:ascii="Arial" w:hAnsi="Arial" w:cs="Arial"/>
          <w:sz w:val="24"/>
          <w:szCs w:val="24"/>
        </w:rPr>
      </w:pPr>
      <w:r w:rsidRPr="00DD3623">
        <w:rPr>
          <w:rFonts w:ascii="Arial" w:hAnsi="Arial" w:cs="Arial"/>
          <w:sz w:val="24"/>
          <w:szCs w:val="24"/>
        </w:rPr>
        <w:t>Business Rates</w:t>
      </w:r>
      <w:r w:rsidR="00952201" w:rsidRPr="00DD3623">
        <w:rPr>
          <w:rFonts w:ascii="Arial" w:hAnsi="Arial" w:cs="Arial"/>
          <w:sz w:val="24"/>
          <w:szCs w:val="24"/>
        </w:rPr>
        <w:t xml:space="preserve"> Appeals Provision - This is the estimated amount required to cover the cost of successful appeals against local non-domestic rateable values, where the cost of these appeals is required to be met locally.</w:t>
      </w:r>
    </w:p>
    <w:p w14:paraId="22EA28F6" w14:textId="77777777" w:rsidR="00952201" w:rsidRPr="00DD3623" w:rsidRDefault="00952201" w:rsidP="006F1659">
      <w:pPr>
        <w:spacing w:line="360" w:lineRule="auto"/>
        <w:rPr>
          <w:rFonts w:ascii="Arial" w:hAnsi="Arial" w:cs="Arial"/>
          <w:u w:val="single"/>
          <w:lang w:eastAsia="en-GB"/>
        </w:rPr>
      </w:pPr>
    </w:p>
    <w:p w14:paraId="7A151AF2" w14:textId="532E5EE0" w:rsidR="00952201" w:rsidRPr="00DD3623" w:rsidRDefault="00952201" w:rsidP="006F1659">
      <w:pPr>
        <w:pStyle w:val="ListParagraph"/>
        <w:numPr>
          <w:ilvl w:val="0"/>
          <w:numId w:val="33"/>
        </w:numPr>
        <w:spacing w:after="0" w:line="360" w:lineRule="auto"/>
        <w:rPr>
          <w:rFonts w:ascii="Arial" w:hAnsi="Arial" w:cs="Arial"/>
          <w:sz w:val="24"/>
          <w:szCs w:val="24"/>
        </w:rPr>
      </w:pPr>
      <w:r w:rsidRPr="00DD3623">
        <w:rPr>
          <w:rFonts w:ascii="Arial" w:hAnsi="Arial" w:cs="Arial"/>
          <w:sz w:val="24"/>
          <w:szCs w:val="24"/>
        </w:rPr>
        <w:t>Bear Scotland v Fulton - The Employment Appeals Tribunal has ruled in this case that non-contractual overtime needs to be included when calculating holiday pay paid to firefighter employees. This provision is the estimated amount required to pay backdated claims.</w:t>
      </w:r>
    </w:p>
    <w:p w14:paraId="16B7B751" w14:textId="77777777" w:rsidR="00952201" w:rsidRPr="00DD3623" w:rsidRDefault="00952201" w:rsidP="006F1659">
      <w:pPr>
        <w:pStyle w:val="ListParagraph"/>
        <w:spacing w:after="0" w:line="360" w:lineRule="auto"/>
        <w:rPr>
          <w:rFonts w:ascii="Arial" w:hAnsi="Arial" w:cs="Arial"/>
          <w:sz w:val="24"/>
          <w:szCs w:val="24"/>
        </w:rPr>
      </w:pPr>
    </w:p>
    <w:p w14:paraId="73D0A751" w14:textId="77777777" w:rsidR="00952201" w:rsidRPr="00DD3623" w:rsidRDefault="00952201" w:rsidP="006F1659">
      <w:pPr>
        <w:pStyle w:val="Heading4bold"/>
        <w:spacing w:line="360" w:lineRule="auto"/>
        <w:rPr>
          <w:lang w:eastAsia="en-GB"/>
        </w:rPr>
      </w:pPr>
      <w:r w:rsidRPr="00DD3623">
        <w:rPr>
          <w:lang w:eastAsia="en-GB"/>
        </w:rPr>
        <w:t>Mayoral Police Fund</w:t>
      </w:r>
    </w:p>
    <w:p w14:paraId="42969CA6" w14:textId="190D085E" w:rsidR="00952201" w:rsidRPr="00DD3623" w:rsidRDefault="00952201" w:rsidP="006F1659">
      <w:pPr>
        <w:pStyle w:val="ListParagraph"/>
        <w:numPr>
          <w:ilvl w:val="0"/>
          <w:numId w:val="33"/>
        </w:numPr>
        <w:tabs>
          <w:tab w:val="left" w:pos="945"/>
        </w:tabs>
        <w:spacing w:after="0" w:line="360" w:lineRule="auto"/>
        <w:rPr>
          <w:rFonts w:ascii="Arial" w:hAnsi="Arial" w:cs="Arial"/>
          <w:sz w:val="24"/>
          <w:szCs w:val="24"/>
        </w:rPr>
      </w:pPr>
      <w:r w:rsidRPr="00DD3623">
        <w:rPr>
          <w:rFonts w:ascii="Arial" w:hAnsi="Arial" w:cs="Arial"/>
          <w:sz w:val="24"/>
          <w:szCs w:val="24"/>
        </w:rPr>
        <w:t xml:space="preserve">Insurance Provision - This provision represents the value of an actuarial assessment of the remaining liability for all self-insured claims occurring in </w:t>
      </w:r>
      <w:r w:rsidR="00D1125B" w:rsidRPr="00DD3623">
        <w:rPr>
          <w:rFonts w:ascii="Arial" w:hAnsi="Arial" w:cs="Arial"/>
          <w:sz w:val="24"/>
          <w:szCs w:val="24"/>
        </w:rPr>
        <w:t>2023/24</w:t>
      </w:r>
      <w:r w:rsidRPr="00DD3623">
        <w:rPr>
          <w:rFonts w:ascii="Arial" w:hAnsi="Arial" w:cs="Arial"/>
          <w:sz w:val="24"/>
          <w:szCs w:val="24"/>
        </w:rPr>
        <w:t xml:space="preserve">, all prior policy years and a prudent margin added for emerging claim types. </w:t>
      </w:r>
    </w:p>
    <w:p w14:paraId="2704768E" w14:textId="77777777" w:rsidR="00952201" w:rsidRPr="00DD3623" w:rsidRDefault="00952201" w:rsidP="006F1659">
      <w:pPr>
        <w:tabs>
          <w:tab w:val="left" w:pos="945"/>
        </w:tabs>
        <w:spacing w:line="360" w:lineRule="auto"/>
        <w:ind w:left="720"/>
        <w:rPr>
          <w:rFonts w:ascii="Arial" w:hAnsi="Arial" w:cs="Arial"/>
          <w:lang w:eastAsia="en-GB"/>
        </w:rPr>
      </w:pPr>
    </w:p>
    <w:p w14:paraId="7144EECA" w14:textId="4BF1C632" w:rsidR="00952201" w:rsidRPr="00DD3623" w:rsidRDefault="00952201" w:rsidP="006F1659">
      <w:pPr>
        <w:pStyle w:val="ListParagraph"/>
        <w:numPr>
          <w:ilvl w:val="0"/>
          <w:numId w:val="33"/>
        </w:numPr>
        <w:tabs>
          <w:tab w:val="left" w:pos="945"/>
        </w:tabs>
        <w:spacing w:after="0" w:line="360" w:lineRule="auto"/>
        <w:rPr>
          <w:rFonts w:ascii="Arial" w:hAnsi="Arial" w:cs="Arial"/>
          <w:sz w:val="24"/>
          <w:szCs w:val="24"/>
        </w:rPr>
      </w:pPr>
      <w:r w:rsidRPr="00DD3623">
        <w:rPr>
          <w:rFonts w:ascii="Arial" w:hAnsi="Arial" w:cs="Arial"/>
          <w:sz w:val="24"/>
          <w:szCs w:val="24"/>
        </w:rPr>
        <w:t>Police Pension Lump Sum Provision - The Pensions Ombudsman determined there was an underpayment of lump sums, to pension scheme members who retired between December 2001 and August 2006. The Ombudsman concluded that commutation formulas to convert annual pensions payments to lump sums should have been updated between 2001 and 2006 and as a result</w:t>
      </w:r>
      <w:r w:rsidR="00577AA5" w:rsidRPr="00DD3623">
        <w:rPr>
          <w:rFonts w:ascii="Arial" w:hAnsi="Arial" w:cs="Arial"/>
          <w:sz w:val="24"/>
          <w:szCs w:val="24"/>
        </w:rPr>
        <w:t>,</w:t>
      </w:r>
      <w:r w:rsidRPr="00DD3623">
        <w:rPr>
          <w:rFonts w:ascii="Arial" w:hAnsi="Arial" w:cs="Arial"/>
          <w:sz w:val="24"/>
          <w:szCs w:val="24"/>
        </w:rPr>
        <w:t xml:space="preserve"> additional payments are due to those members who chose to commute pension for lump sum at retirement during these years. </w:t>
      </w:r>
    </w:p>
    <w:p w14:paraId="7C89A6FA" w14:textId="4DBC9B96" w:rsidR="00952201" w:rsidRPr="00DD3623" w:rsidRDefault="00952201" w:rsidP="006F1659">
      <w:pPr>
        <w:pStyle w:val="ListParagraph"/>
        <w:tabs>
          <w:tab w:val="left" w:pos="945"/>
        </w:tabs>
        <w:spacing w:after="0" w:line="360" w:lineRule="auto"/>
        <w:rPr>
          <w:rFonts w:ascii="Arial" w:hAnsi="Arial" w:cs="Arial"/>
          <w:sz w:val="24"/>
          <w:szCs w:val="24"/>
        </w:rPr>
      </w:pPr>
    </w:p>
    <w:p w14:paraId="57969E5D" w14:textId="782A1222" w:rsidR="004B42D8" w:rsidRPr="00DD3623" w:rsidRDefault="004D15B7" w:rsidP="006F1659">
      <w:pPr>
        <w:pStyle w:val="ListParagraph"/>
        <w:numPr>
          <w:ilvl w:val="0"/>
          <w:numId w:val="33"/>
        </w:numPr>
        <w:tabs>
          <w:tab w:val="left" w:pos="945"/>
        </w:tabs>
        <w:spacing w:after="0" w:line="360" w:lineRule="auto"/>
        <w:rPr>
          <w:rFonts w:ascii="Arial" w:hAnsi="Arial" w:cs="Arial"/>
        </w:rPr>
        <w:sectPr w:rsidR="004B42D8" w:rsidRPr="00DD3623" w:rsidSect="004833A2">
          <w:pgSz w:w="16838" w:h="11906" w:orient="landscape"/>
          <w:pgMar w:top="1080" w:right="1444" w:bottom="1416" w:left="1276" w:header="568" w:footer="567" w:gutter="0"/>
          <w:cols w:space="708"/>
          <w:docGrid w:linePitch="360"/>
        </w:sectPr>
      </w:pPr>
      <w:r w:rsidRPr="00DD3623">
        <w:rPr>
          <w:rFonts w:ascii="Arial" w:hAnsi="Arial" w:cs="Arial"/>
          <w:sz w:val="24"/>
          <w:szCs w:val="24"/>
        </w:rPr>
        <w:t>Capital Project Retentions Provision - This is a provision to hold a percentage of a projects total funding, which is retained during the contractual defects period</w:t>
      </w:r>
    </w:p>
    <w:p w14:paraId="58CC6C5A" w14:textId="7413FCBC" w:rsidR="00081DA7" w:rsidRPr="0007572B" w:rsidRDefault="00884440" w:rsidP="006F1659">
      <w:pPr>
        <w:pStyle w:val="Heading3greennumbered"/>
        <w:spacing w:line="360" w:lineRule="auto"/>
      </w:pPr>
      <w:bookmarkStart w:id="167" w:name="_Toc92894898"/>
      <w:bookmarkStart w:id="168" w:name="_Toc92895202"/>
      <w:bookmarkStart w:id="169" w:name="_Toc109922636"/>
      <w:r w:rsidRPr="0007572B">
        <w:lastRenderedPageBreak/>
        <w:t>2</w:t>
      </w:r>
      <w:r w:rsidR="00A40C51" w:rsidRPr="0007572B">
        <w:t>6</w:t>
      </w:r>
      <w:r w:rsidR="00081DA7" w:rsidRPr="0007572B">
        <w:t xml:space="preserve"> </w:t>
      </w:r>
      <w:r w:rsidR="00CE6A00" w:rsidRPr="0007572B">
        <w:t>Short and Long Term Leases including PFI</w:t>
      </w:r>
      <w:bookmarkEnd w:id="167"/>
      <w:bookmarkEnd w:id="168"/>
      <w:bookmarkEnd w:id="169"/>
    </w:p>
    <w:p w14:paraId="024BDDF5" w14:textId="77777777" w:rsidR="005403AF" w:rsidRPr="005403AF" w:rsidRDefault="005403AF" w:rsidP="006F1659">
      <w:pPr>
        <w:spacing w:line="360" w:lineRule="auto"/>
      </w:pPr>
    </w:p>
    <w:p w14:paraId="181A5C42" w14:textId="0C10F9CD" w:rsidR="00CE020E" w:rsidRPr="00D06C3B" w:rsidRDefault="00CE020E" w:rsidP="006F1659">
      <w:pPr>
        <w:pStyle w:val="Heading4bold"/>
        <w:spacing w:line="360" w:lineRule="auto"/>
      </w:pPr>
      <w:r w:rsidRPr="00D06C3B">
        <w:t xml:space="preserve">Fire Station </w:t>
      </w:r>
    </w:p>
    <w:p w14:paraId="51C60325" w14:textId="596AC30A" w:rsidR="00C676C5" w:rsidRPr="00D06C3B" w:rsidRDefault="00D1125B" w:rsidP="006F1659">
      <w:pPr>
        <w:spacing w:line="360" w:lineRule="auto"/>
        <w:rPr>
          <w:rFonts w:ascii="Arial" w:hAnsi="Arial" w:cs="Arial"/>
        </w:rPr>
      </w:pPr>
      <w:r>
        <w:rPr>
          <w:rFonts w:ascii="Arial" w:hAnsi="Arial" w:cs="Arial"/>
        </w:rPr>
        <w:t>2023/24</w:t>
      </w:r>
      <w:r w:rsidR="00C676C5" w:rsidRPr="00D06C3B">
        <w:rPr>
          <w:rFonts w:ascii="Arial" w:hAnsi="Arial" w:cs="Arial"/>
        </w:rPr>
        <w:t xml:space="preserve"> was the twenty </w:t>
      </w:r>
      <w:r w:rsidR="003613C0">
        <w:rPr>
          <w:rFonts w:ascii="Arial" w:hAnsi="Arial" w:cs="Arial"/>
        </w:rPr>
        <w:t>fifth</w:t>
      </w:r>
      <w:r w:rsidR="00C676C5" w:rsidRPr="00D06C3B">
        <w:rPr>
          <w:rFonts w:ascii="Arial" w:hAnsi="Arial" w:cs="Arial"/>
        </w:rPr>
        <w:t xml:space="preserve"> year of a 25</w:t>
      </w:r>
      <w:r w:rsidR="00542C78">
        <w:rPr>
          <w:rFonts w:ascii="Arial" w:hAnsi="Arial" w:cs="Arial"/>
        </w:rPr>
        <w:t>-</w:t>
      </w:r>
      <w:r w:rsidR="00C676C5" w:rsidRPr="00D06C3B">
        <w:rPr>
          <w:rFonts w:ascii="Arial" w:hAnsi="Arial" w:cs="Arial"/>
        </w:rPr>
        <w:t xml:space="preserve">year PFI contract (ending October 2024) for the construction, maintenance and provision of a Fire Station at Stretford, along with associated equipment. </w:t>
      </w:r>
    </w:p>
    <w:p w14:paraId="209FE44F" w14:textId="77777777" w:rsidR="00C676C5" w:rsidRPr="00D06C3B" w:rsidRDefault="00C676C5" w:rsidP="006F1659">
      <w:pPr>
        <w:spacing w:line="360" w:lineRule="auto"/>
        <w:rPr>
          <w:rFonts w:ascii="Arial" w:hAnsi="Arial" w:cs="Arial"/>
        </w:rPr>
      </w:pPr>
    </w:p>
    <w:p w14:paraId="3473953C" w14:textId="1F00E589" w:rsidR="00C676C5" w:rsidRPr="003613C0" w:rsidRDefault="00C676C5" w:rsidP="006F1659">
      <w:pPr>
        <w:spacing w:line="360" w:lineRule="auto"/>
        <w:rPr>
          <w:rFonts w:ascii="Arial" w:hAnsi="Arial" w:cs="Arial"/>
        </w:rPr>
      </w:pPr>
      <w:r w:rsidRPr="00D06C3B">
        <w:rPr>
          <w:rFonts w:ascii="Arial" w:hAnsi="Arial" w:cs="Arial"/>
        </w:rPr>
        <w:t xml:space="preserve">The contract specifies minimum standards for the services to be provided by the contractor, with deductions from the fee payable being made if facilities are unavailable or performance is below the minimum standards. The building and equipment will be </w:t>
      </w:r>
      <w:r w:rsidRPr="003613C0">
        <w:rPr>
          <w:rFonts w:ascii="Arial" w:hAnsi="Arial" w:cs="Arial"/>
        </w:rPr>
        <w:t>transferred to the Authority at the end of the 25</w:t>
      </w:r>
      <w:r w:rsidR="00542C78" w:rsidRPr="003613C0">
        <w:rPr>
          <w:rFonts w:ascii="Arial" w:hAnsi="Arial" w:cs="Arial"/>
        </w:rPr>
        <w:t>-</w:t>
      </w:r>
      <w:r w:rsidRPr="003613C0">
        <w:rPr>
          <w:rFonts w:ascii="Arial" w:hAnsi="Arial" w:cs="Arial"/>
        </w:rPr>
        <w:t xml:space="preserve">year contract at nil value. </w:t>
      </w:r>
    </w:p>
    <w:p w14:paraId="7690EAAD" w14:textId="77777777" w:rsidR="00C676C5" w:rsidRPr="003613C0" w:rsidRDefault="00C676C5" w:rsidP="006F1659">
      <w:pPr>
        <w:spacing w:line="360" w:lineRule="auto"/>
        <w:rPr>
          <w:rFonts w:ascii="Arial" w:hAnsi="Arial" w:cs="Arial"/>
        </w:rPr>
      </w:pPr>
    </w:p>
    <w:p w14:paraId="5130DCC3" w14:textId="21C935BF" w:rsidR="00C676C5" w:rsidRPr="00D06C3B" w:rsidRDefault="00C676C5" w:rsidP="006F1659">
      <w:pPr>
        <w:spacing w:line="360" w:lineRule="auto"/>
        <w:rPr>
          <w:rFonts w:ascii="Arial" w:hAnsi="Arial" w:cs="Arial"/>
        </w:rPr>
      </w:pPr>
      <w:r w:rsidRPr="003613C0">
        <w:rPr>
          <w:rFonts w:ascii="Arial" w:hAnsi="Arial" w:cs="Arial"/>
        </w:rPr>
        <w:t>Over the remaining term of the contract, the Authority is committed to making gross payments of £</w:t>
      </w:r>
      <w:r w:rsidR="003613C0" w:rsidRPr="003613C0">
        <w:rPr>
          <w:rFonts w:ascii="Arial" w:hAnsi="Arial" w:cs="Arial"/>
        </w:rPr>
        <w:t>0.4</w:t>
      </w:r>
      <w:r w:rsidRPr="003613C0">
        <w:rPr>
          <w:rFonts w:ascii="Arial" w:hAnsi="Arial" w:cs="Arial"/>
        </w:rPr>
        <w:t>m. However, the net cost to the Authority after income from specific government grant is estimated at £</w:t>
      </w:r>
      <w:r w:rsidR="00AD41B8" w:rsidRPr="003613C0">
        <w:rPr>
          <w:rFonts w:ascii="Arial" w:hAnsi="Arial" w:cs="Arial"/>
        </w:rPr>
        <w:t>0.</w:t>
      </w:r>
      <w:r w:rsidR="003613C0" w:rsidRPr="003613C0">
        <w:rPr>
          <w:rFonts w:ascii="Arial" w:hAnsi="Arial" w:cs="Arial"/>
        </w:rPr>
        <w:t>1</w:t>
      </w:r>
      <w:r w:rsidRPr="003613C0">
        <w:rPr>
          <w:rFonts w:ascii="Arial" w:hAnsi="Arial" w:cs="Arial"/>
        </w:rPr>
        <w:t>m</w:t>
      </w:r>
      <w:r w:rsidR="003613C0" w:rsidRPr="003613C0">
        <w:rPr>
          <w:rFonts w:ascii="Arial" w:hAnsi="Arial" w:cs="Arial"/>
        </w:rPr>
        <w:t>.</w:t>
      </w:r>
      <w:r w:rsidRPr="00D06C3B">
        <w:rPr>
          <w:rFonts w:ascii="Arial" w:hAnsi="Arial" w:cs="Arial"/>
        </w:rPr>
        <w:t xml:space="preserve"> </w:t>
      </w:r>
    </w:p>
    <w:p w14:paraId="206CAFB7" w14:textId="77777777" w:rsidR="005403AF" w:rsidRPr="00D06C3B" w:rsidRDefault="005403AF" w:rsidP="006F1659">
      <w:pPr>
        <w:spacing w:line="360" w:lineRule="auto"/>
        <w:rPr>
          <w:rFonts w:ascii="Arial" w:hAnsi="Arial" w:cs="Arial"/>
        </w:rPr>
      </w:pPr>
    </w:p>
    <w:p w14:paraId="15248154" w14:textId="77777777" w:rsidR="00CE020E" w:rsidRPr="00D06C3B" w:rsidRDefault="00CE020E" w:rsidP="006F1659">
      <w:pPr>
        <w:pStyle w:val="Heading4bold"/>
        <w:spacing w:line="360" w:lineRule="auto"/>
      </w:pPr>
      <w:r w:rsidRPr="00D06C3B">
        <w:t xml:space="preserve">Police Stations </w:t>
      </w:r>
    </w:p>
    <w:p w14:paraId="442951FC" w14:textId="654FCB08" w:rsidR="00C676C5" w:rsidRPr="003613C0" w:rsidRDefault="00D1125B" w:rsidP="006F1659">
      <w:pPr>
        <w:spacing w:line="360" w:lineRule="auto"/>
        <w:rPr>
          <w:rFonts w:ascii="Arial" w:hAnsi="Arial" w:cs="Arial"/>
        </w:rPr>
      </w:pPr>
      <w:r>
        <w:rPr>
          <w:rFonts w:ascii="Arial" w:hAnsi="Arial" w:cs="Arial"/>
        </w:rPr>
        <w:t>2023/24</w:t>
      </w:r>
      <w:r w:rsidR="00C676C5" w:rsidRPr="00D06C3B">
        <w:rPr>
          <w:rFonts w:ascii="Arial" w:hAnsi="Arial" w:cs="Arial"/>
        </w:rPr>
        <w:t xml:space="preserve"> was the </w:t>
      </w:r>
      <w:r w:rsidR="00D06C3B" w:rsidRPr="00D06C3B">
        <w:rPr>
          <w:rFonts w:ascii="Arial" w:hAnsi="Arial" w:cs="Arial"/>
        </w:rPr>
        <w:t>twe</w:t>
      </w:r>
      <w:r w:rsidR="00DA6131">
        <w:rPr>
          <w:rFonts w:ascii="Arial" w:hAnsi="Arial" w:cs="Arial"/>
        </w:rPr>
        <w:t>nty first</w:t>
      </w:r>
      <w:r w:rsidR="00C676C5" w:rsidRPr="00D06C3B">
        <w:rPr>
          <w:rFonts w:ascii="Arial" w:hAnsi="Arial" w:cs="Arial"/>
        </w:rPr>
        <w:t xml:space="preserve"> year of a Private Finance Initiativ</w:t>
      </w:r>
      <w:r w:rsidR="00A6759A" w:rsidRPr="00D06C3B">
        <w:rPr>
          <w:rFonts w:ascii="Arial" w:hAnsi="Arial" w:cs="Arial"/>
        </w:rPr>
        <w:t>e (PFI) contract (ending in 2030</w:t>
      </w:r>
      <w:r w:rsidR="00C676C5" w:rsidRPr="00D06C3B">
        <w:rPr>
          <w:rFonts w:ascii="Arial" w:hAnsi="Arial" w:cs="Arial"/>
        </w:rPr>
        <w:t xml:space="preserve">) for the construction and maintenance of </w:t>
      </w:r>
      <w:r w:rsidR="00D06C3B" w:rsidRPr="00D06C3B">
        <w:rPr>
          <w:rFonts w:ascii="Arial" w:hAnsi="Arial" w:cs="Arial"/>
        </w:rPr>
        <w:t>17</w:t>
      </w:r>
      <w:r w:rsidR="00C676C5" w:rsidRPr="00D06C3B">
        <w:rPr>
          <w:rFonts w:ascii="Arial" w:hAnsi="Arial" w:cs="Arial"/>
        </w:rPr>
        <w:t xml:space="preserve"> Police stations across the </w:t>
      </w:r>
      <w:r w:rsidR="00CA750E" w:rsidRPr="00D06C3B">
        <w:rPr>
          <w:rFonts w:ascii="Arial" w:hAnsi="Arial" w:cs="Arial"/>
        </w:rPr>
        <w:t>GM</w:t>
      </w:r>
      <w:r w:rsidR="00C676C5" w:rsidRPr="00D06C3B">
        <w:rPr>
          <w:rFonts w:ascii="Arial" w:hAnsi="Arial" w:cs="Arial"/>
        </w:rPr>
        <w:t xml:space="preserve"> area. The contractor will operate and service the stations for </w:t>
      </w:r>
      <w:r w:rsidR="00D06C3B" w:rsidRPr="00D06C3B">
        <w:rPr>
          <w:rFonts w:ascii="Arial" w:hAnsi="Arial" w:cs="Arial"/>
        </w:rPr>
        <w:t>25</w:t>
      </w:r>
      <w:r w:rsidR="00C676C5" w:rsidRPr="00D06C3B">
        <w:rPr>
          <w:rFonts w:ascii="Arial" w:hAnsi="Arial" w:cs="Arial"/>
        </w:rPr>
        <w:t xml:space="preserve"> years after which ownership </w:t>
      </w:r>
      <w:r w:rsidR="00C676C5" w:rsidRPr="003613C0">
        <w:rPr>
          <w:rFonts w:ascii="Arial" w:hAnsi="Arial" w:cs="Arial"/>
        </w:rPr>
        <w:t xml:space="preserve">will revert to the Authority, to be held on behalf of the Mayor, for nil consideration. </w:t>
      </w:r>
    </w:p>
    <w:p w14:paraId="0382C8E5" w14:textId="77777777" w:rsidR="00CE020E" w:rsidRPr="003613C0" w:rsidRDefault="00CE020E" w:rsidP="006F1659">
      <w:pPr>
        <w:spacing w:line="360" w:lineRule="auto"/>
        <w:rPr>
          <w:rFonts w:ascii="Arial" w:hAnsi="Arial" w:cs="Arial"/>
        </w:rPr>
      </w:pPr>
    </w:p>
    <w:p w14:paraId="2DA25620" w14:textId="42BB8969" w:rsidR="00C676C5" w:rsidRDefault="00C676C5" w:rsidP="006F1659">
      <w:pPr>
        <w:spacing w:line="360" w:lineRule="auto"/>
        <w:rPr>
          <w:rFonts w:ascii="Arial" w:hAnsi="Arial" w:cs="Arial"/>
        </w:rPr>
      </w:pPr>
      <w:r w:rsidRPr="003613C0">
        <w:rPr>
          <w:rFonts w:ascii="Arial" w:hAnsi="Arial" w:cs="Arial"/>
        </w:rPr>
        <w:t>Over the remaining term of the contract, the Authority is committed to making gross payments of £</w:t>
      </w:r>
      <w:r w:rsidR="00AD41B8" w:rsidRPr="003613C0">
        <w:rPr>
          <w:rFonts w:ascii="Arial" w:hAnsi="Arial" w:cs="Arial"/>
        </w:rPr>
        <w:t>1</w:t>
      </w:r>
      <w:r w:rsidR="003613C0" w:rsidRPr="003613C0">
        <w:rPr>
          <w:rFonts w:ascii="Arial" w:hAnsi="Arial" w:cs="Arial"/>
        </w:rPr>
        <w:t>09.4</w:t>
      </w:r>
      <w:r w:rsidRPr="003613C0">
        <w:rPr>
          <w:rFonts w:ascii="Arial" w:hAnsi="Arial" w:cs="Arial"/>
        </w:rPr>
        <w:t>m (average payment per year is £1</w:t>
      </w:r>
      <w:r w:rsidR="003613C0" w:rsidRPr="003613C0">
        <w:rPr>
          <w:rFonts w:ascii="Arial" w:hAnsi="Arial" w:cs="Arial"/>
        </w:rPr>
        <w:t>8.3</w:t>
      </w:r>
      <w:r w:rsidRPr="003613C0">
        <w:rPr>
          <w:rFonts w:ascii="Arial" w:hAnsi="Arial" w:cs="Arial"/>
        </w:rPr>
        <w:t>m). However, the net cost to the Authority after income from specific government grant is estimated at £</w:t>
      </w:r>
      <w:r w:rsidR="003613C0" w:rsidRPr="003613C0">
        <w:rPr>
          <w:rFonts w:ascii="Arial" w:hAnsi="Arial" w:cs="Arial"/>
        </w:rPr>
        <w:t>77.5</w:t>
      </w:r>
      <w:r w:rsidRPr="003613C0">
        <w:rPr>
          <w:rFonts w:ascii="Arial" w:hAnsi="Arial" w:cs="Arial"/>
        </w:rPr>
        <w:t>m (average payment per year is £1</w:t>
      </w:r>
      <w:r w:rsidR="00D06C3B" w:rsidRPr="003613C0">
        <w:rPr>
          <w:rFonts w:ascii="Arial" w:hAnsi="Arial" w:cs="Arial"/>
        </w:rPr>
        <w:t>2</w:t>
      </w:r>
      <w:r w:rsidRPr="003613C0">
        <w:rPr>
          <w:rFonts w:ascii="Arial" w:hAnsi="Arial" w:cs="Arial"/>
        </w:rPr>
        <w:t>.</w:t>
      </w:r>
      <w:r w:rsidR="003613C0" w:rsidRPr="003613C0">
        <w:rPr>
          <w:rFonts w:ascii="Arial" w:hAnsi="Arial" w:cs="Arial"/>
        </w:rPr>
        <w:t>9</w:t>
      </w:r>
      <w:r w:rsidRPr="003613C0">
        <w:rPr>
          <w:rFonts w:ascii="Arial" w:hAnsi="Arial" w:cs="Arial"/>
        </w:rPr>
        <w:t>m).</w:t>
      </w:r>
      <w:r w:rsidRPr="0007572B">
        <w:rPr>
          <w:rFonts w:ascii="Arial" w:hAnsi="Arial" w:cs="Arial"/>
        </w:rPr>
        <w:t xml:space="preserve"> </w:t>
      </w:r>
    </w:p>
    <w:p w14:paraId="795F9CB8" w14:textId="77777777" w:rsidR="005403AF" w:rsidRPr="0007572B" w:rsidRDefault="005403AF" w:rsidP="006F1659">
      <w:pPr>
        <w:spacing w:line="360" w:lineRule="auto"/>
        <w:rPr>
          <w:rFonts w:ascii="Arial" w:hAnsi="Arial" w:cs="Arial"/>
        </w:rPr>
      </w:pPr>
    </w:p>
    <w:p w14:paraId="5CC46780" w14:textId="77777777" w:rsidR="00CE020E" w:rsidRPr="0007572B" w:rsidRDefault="00CE020E" w:rsidP="006F1659">
      <w:pPr>
        <w:pStyle w:val="Heading4bold"/>
        <w:spacing w:line="360" w:lineRule="auto"/>
      </w:pPr>
      <w:r w:rsidRPr="0007572B">
        <w:t>Property Plant and Equipment</w:t>
      </w:r>
    </w:p>
    <w:p w14:paraId="75C383F8" w14:textId="640C4138" w:rsidR="00CE020E" w:rsidRDefault="00CE020E" w:rsidP="006F1659">
      <w:pPr>
        <w:spacing w:line="360" w:lineRule="auto"/>
        <w:rPr>
          <w:rFonts w:ascii="Arial" w:hAnsi="Arial" w:cs="Arial"/>
        </w:rPr>
      </w:pPr>
      <w:r w:rsidRPr="0007572B">
        <w:rPr>
          <w:rFonts w:ascii="Arial" w:hAnsi="Arial" w:cs="Arial"/>
        </w:rPr>
        <w:t>The Stations and Equipment provided under the contracts are recognised on the Authority's Balance Sheet. Movements in their value over the year are detailed in the analysis of the movement on the Property Plant and Equipment balance in the notes to the Balance Sheet.</w:t>
      </w:r>
    </w:p>
    <w:p w14:paraId="452EDD48" w14:textId="77777777" w:rsidR="005403AF" w:rsidRPr="0007572B" w:rsidRDefault="005403AF" w:rsidP="006F1659">
      <w:pPr>
        <w:spacing w:line="360" w:lineRule="auto"/>
        <w:rPr>
          <w:rFonts w:ascii="Arial" w:hAnsi="Arial" w:cs="Arial"/>
        </w:rPr>
      </w:pPr>
    </w:p>
    <w:p w14:paraId="7A6A2AE8" w14:textId="77777777" w:rsidR="00CE020E" w:rsidRPr="0007572B" w:rsidRDefault="00CE020E" w:rsidP="006F1659">
      <w:pPr>
        <w:pStyle w:val="Heading4bold"/>
        <w:spacing w:line="360" w:lineRule="auto"/>
      </w:pPr>
      <w:r w:rsidRPr="0007572B">
        <w:t>Outstanding Liability</w:t>
      </w:r>
    </w:p>
    <w:p w14:paraId="19DE763E" w14:textId="55AF7919" w:rsidR="004F5004" w:rsidRDefault="00CE020E" w:rsidP="006F1659">
      <w:pPr>
        <w:spacing w:line="360" w:lineRule="auto"/>
        <w:rPr>
          <w:rFonts w:ascii="Arial" w:hAnsi="Arial" w:cs="Arial"/>
        </w:rPr>
      </w:pPr>
      <w:r w:rsidRPr="0007572B">
        <w:rPr>
          <w:rFonts w:ascii="Arial" w:hAnsi="Arial" w:cs="Arial"/>
        </w:rPr>
        <w:t xml:space="preserve">The PFI liability represents the </w:t>
      </w:r>
      <w:r w:rsidR="007512FA" w:rsidRPr="0007572B">
        <w:rPr>
          <w:rFonts w:ascii="Arial" w:hAnsi="Arial" w:cs="Arial"/>
        </w:rPr>
        <w:t xml:space="preserve">current </w:t>
      </w:r>
      <w:r w:rsidRPr="0007572B">
        <w:rPr>
          <w:rFonts w:ascii="Arial" w:hAnsi="Arial" w:cs="Arial"/>
        </w:rPr>
        <w:t>outstanding long term liability to the contr</w:t>
      </w:r>
      <w:r w:rsidR="00CE7425" w:rsidRPr="0007572B">
        <w:rPr>
          <w:rFonts w:ascii="Arial" w:hAnsi="Arial" w:cs="Arial"/>
        </w:rPr>
        <w:t xml:space="preserve">actor for capital expenditure. </w:t>
      </w:r>
      <w:r w:rsidR="00285F28">
        <w:rPr>
          <w:rFonts w:ascii="Arial" w:hAnsi="Arial" w:cs="Arial"/>
        </w:rPr>
        <w:t xml:space="preserve">A fair value disclosure has also been provided for the PFI liabilities in the Financial Instruments note. </w:t>
      </w:r>
      <w:r w:rsidRPr="0007572B">
        <w:rPr>
          <w:rFonts w:ascii="Arial" w:hAnsi="Arial" w:cs="Arial"/>
        </w:rPr>
        <w:t xml:space="preserve">The </w:t>
      </w:r>
      <w:r w:rsidR="007512FA" w:rsidRPr="0007572B">
        <w:rPr>
          <w:rFonts w:ascii="Arial" w:hAnsi="Arial" w:cs="Arial"/>
        </w:rPr>
        <w:t xml:space="preserve">current </w:t>
      </w:r>
      <w:r w:rsidRPr="0007572B">
        <w:rPr>
          <w:rFonts w:ascii="Arial" w:hAnsi="Arial" w:cs="Arial"/>
        </w:rPr>
        <w:t>value of the liability held under each PFI arrangement is as follows:</w:t>
      </w:r>
    </w:p>
    <w:p w14:paraId="6D8258B6" w14:textId="77777777" w:rsidR="00542C78" w:rsidRPr="0007572B" w:rsidRDefault="00542C78" w:rsidP="006F1659">
      <w:pPr>
        <w:spacing w:line="360" w:lineRule="auto"/>
        <w:rPr>
          <w:rFonts w:ascii="Arial" w:hAnsi="Arial" w:cs="Arial"/>
        </w:rPr>
      </w:pPr>
    </w:p>
    <w:p w14:paraId="0D4EAC59" w14:textId="72A23103" w:rsidR="00451E80" w:rsidRPr="0007572B" w:rsidRDefault="00D1125B" w:rsidP="006F1659">
      <w:pPr>
        <w:spacing w:line="360" w:lineRule="auto"/>
        <w:rPr>
          <w:rFonts w:ascii="Arial" w:hAnsi="Arial" w:cs="Arial"/>
        </w:rPr>
      </w:pPr>
      <w:r>
        <w:rPr>
          <w:rFonts w:ascii="Arial" w:hAnsi="Arial" w:cs="Arial"/>
        </w:rPr>
        <w:t>2023/24</w:t>
      </w:r>
      <w:r w:rsidR="00542C78">
        <w:rPr>
          <w:rFonts w:ascii="Arial" w:hAnsi="Arial" w:cs="Arial"/>
        </w:rPr>
        <w:t>:</w:t>
      </w:r>
    </w:p>
    <w:p w14:paraId="775C3889" w14:textId="3420306C" w:rsidR="00302053" w:rsidRDefault="00ED71D4" w:rsidP="006F1659">
      <w:pPr>
        <w:spacing w:line="360" w:lineRule="auto"/>
        <w:rPr>
          <w:rFonts w:ascii="Arial" w:hAnsi="Arial" w:cs="Arial"/>
        </w:rPr>
      </w:pPr>
      <w:r w:rsidRPr="00ED71D4">
        <w:rPr>
          <w:noProof/>
        </w:rPr>
        <w:drawing>
          <wp:inline distT="0" distB="0" distL="0" distR="0" wp14:anchorId="5F7CE88F" wp14:editId="6823A115">
            <wp:extent cx="5689600" cy="946150"/>
            <wp:effectExtent l="0" t="0" r="6350" b="6350"/>
            <wp:docPr id="847615420"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615420" name="Picture 42">
                      <a:extLst>
                        <a:ext uri="{C183D7F6-B498-43B3-948B-1728B52AA6E4}">
                          <adec:decorative xmlns:adec="http://schemas.microsoft.com/office/drawing/2017/decorative" val="1"/>
                        </a:ext>
                      </a:extLs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689600" cy="946150"/>
                    </a:xfrm>
                    <a:prstGeom prst="rect">
                      <a:avLst/>
                    </a:prstGeom>
                    <a:noFill/>
                    <a:ln>
                      <a:noFill/>
                    </a:ln>
                  </pic:spPr>
                </pic:pic>
              </a:graphicData>
            </a:graphic>
          </wp:inline>
        </w:drawing>
      </w:r>
    </w:p>
    <w:p w14:paraId="78433FFC" w14:textId="77777777" w:rsidR="00B7710C" w:rsidRDefault="00B7710C" w:rsidP="006F1659">
      <w:pPr>
        <w:spacing w:line="360" w:lineRule="auto"/>
        <w:rPr>
          <w:rFonts w:ascii="Arial" w:hAnsi="Arial" w:cs="Arial"/>
        </w:rPr>
      </w:pPr>
    </w:p>
    <w:p w14:paraId="042F682F" w14:textId="288BDCE1" w:rsidR="00542C78" w:rsidRDefault="00542C78" w:rsidP="006F1659">
      <w:pPr>
        <w:spacing w:line="360" w:lineRule="auto"/>
        <w:rPr>
          <w:rFonts w:ascii="Arial" w:hAnsi="Arial" w:cs="Arial"/>
        </w:rPr>
      </w:pPr>
      <w:r>
        <w:rPr>
          <w:rFonts w:ascii="Arial" w:hAnsi="Arial" w:cs="Arial"/>
        </w:rPr>
        <w:t>202</w:t>
      </w:r>
      <w:r w:rsidR="00DA6131">
        <w:rPr>
          <w:rFonts w:ascii="Arial" w:hAnsi="Arial" w:cs="Arial"/>
        </w:rPr>
        <w:t>2</w:t>
      </w:r>
      <w:r>
        <w:rPr>
          <w:rFonts w:ascii="Arial" w:hAnsi="Arial" w:cs="Arial"/>
        </w:rPr>
        <w:t>/2</w:t>
      </w:r>
      <w:r w:rsidR="00DA6131">
        <w:rPr>
          <w:rFonts w:ascii="Arial" w:hAnsi="Arial" w:cs="Arial"/>
        </w:rPr>
        <w:t>3</w:t>
      </w:r>
      <w:r>
        <w:rPr>
          <w:rFonts w:ascii="Arial" w:hAnsi="Arial" w:cs="Arial"/>
        </w:rPr>
        <w:t>:</w:t>
      </w:r>
    </w:p>
    <w:p w14:paraId="1540CAC6" w14:textId="672DDDF5" w:rsidR="00DA6131" w:rsidRDefault="00ED71D4" w:rsidP="00DA6131">
      <w:pPr>
        <w:spacing w:line="360" w:lineRule="auto"/>
        <w:rPr>
          <w:rFonts w:ascii="Arial" w:hAnsi="Arial" w:cs="Arial"/>
        </w:rPr>
      </w:pPr>
      <w:r w:rsidRPr="00ED71D4">
        <w:rPr>
          <w:noProof/>
        </w:rPr>
        <w:drawing>
          <wp:inline distT="0" distB="0" distL="0" distR="0" wp14:anchorId="605BD447" wp14:editId="5C4950E9">
            <wp:extent cx="5689600" cy="946150"/>
            <wp:effectExtent l="0" t="0" r="6350" b="6350"/>
            <wp:docPr id="199349748"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49748" name="Picture 43">
                      <a:extLst>
                        <a:ext uri="{C183D7F6-B498-43B3-948B-1728B52AA6E4}">
                          <adec:decorative xmlns:adec="http://schemas.microsoft.com/office/drawing/2017/decorative" val="1"/>
                        </a:ext>
                      </a:extLs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89600" cy="946150"/>
                    </a:xfrm>
                    <a:prstGeom prst="rect">
                      <a:avLst/>
                    </a:prstGeom>
                    <a:noFill/>
                    <a:ln>
                      <a:noFill/>
                    </a:ln>
                  </pic:spPr>
                </pic:pic>
              </a:graphicData>
            </a:graphic>
          </wp:inline>
        </w:drawing>
      </w:r>
    </w:p>
    <w:p w14:paraId="7484BD8C" w14:textId="35679742" w:rsidR="00302053" w:rsidRPr="0007572B" w:rsidRDefault="00302053" w:rsidP="006F1659">
      <w:pPr>
        <w:spacing w:line="360" w:lineRule="auto"/>
        <w:rPr>
          <w:rFonts w:ascii="Arial" w:hAnsi="Arial" w:cs="Arial"/>
        </w:rPr>
      </w:pPr>
    </w:p>
    <w:p w14:paraId="0C4111E1" w14:textId="77777777" w:rsidR="00CE020E" w:rsidRPr="0007572B" w:rsidRDefault="00CE020E" w:rsidP="006F1659">
      <w:pPr>
        <w:pStyle w:val="Heading4bold"/>
        <w:spacing w:line="360" w:lineRule="auto"/>
      </w:pPr>
      <w:r w:rsidRPr="0007572B">
        <w:t>Central Government Grant Subsidy</w:t>
      </w:r>
    </w:p>
    <w:p w14:paraId="3757ABFF" w14:textId="535554A5" w:rsidR="00CE020E" w:rsidRDefault="00CE020E" w:rsidP="006F1659">
      <w:pPr>
        <w:spacing w:line="360" w:lineRule="auto"/>
        <w:rPr>
          <w:rFonts w:ascii="Arial" w:hAnsi="Arial" w:cs="Arial"/>
        </w:rPr>
      </w:pPr>
      <w:r w:rsidRPr="0007572B">
        <w:rPr>
          <w:rFonts w:ascii="Arial" w:hAnsi="Arial" w:cs="Arial"/>
        </w:rPr>
        <w:t>The grant received in the form of Central Government Subsidy to partly offset the cost of each PFI is credited to revenue accounts in the year of receipt.</w:t>
      </w:r>
    </w:p>
    <w:p w14:paraId="0B9D0F18" w14:textId="77777777" w:rsidR="00D4492C" w:rsidRPr="0007572B" w:rsidRDefault="00D4492C" w:rsidP="006F1659">
      <w:pPr>
        <w:spacing w:line="360" w:lineRule="auto"/>
        <w:rPr>
          <w:rFonts w:ascii="Arial" w:hAnsi="Arial" w:cs="Arial"/>
        </w:rPr>
      </w:pPr>
    </w:p>
    <w:p w14:paraId="49D5E234" w14:textId="210F4E78" w:rsidR="00CE020E" w:rsidRPr="0007572B" w:rsidRDefault="00CE020E" w:rsidP="006F1659">
      <w:pPr>
        <w:pStyle w:val="Heading4bold"/>
        <w:spacing w:line="360" w:lineRule="auto"/>
      </w:pPr>
      <w:r w:rsidRPr="0007572B">
        <w:t>Payments due under the PFI Contracts</w:t>
      </w:r>
    </w:p>
    <w:p w14:paraId="4C3B4DE3" w14:textId="77777777" w:rsidR="00285F28" w:rsidRPr="00285F28" w:rsidRDefault="00285F28" w:rsidP="006F1659">
      <w:pPr>
        <w:autoSpaceDE w:val="0"/>
        <w:autoSpaceDN w:val="0"/>
        <w:adjustRightInd w:val="0"/>
        <w:spacing w:line="360" w:lineRule="auto"/>
        <w:rPr>
          <w:rFonts w:ascii="Arial" w:hAnsi="Arial" w:cs="Arial"/>
        </w:rPr>
      </w:pPr>
      <w:r w:rsidRPr="00285F28">
        <w:rPr>
          <w:rFonts w:ascii="Arial" w:hAnsi="Arial" w:cs="Arial"/>
        </w:rPr>
        <w:t xml:space="preserve">The Authority makes monthly payments which comprise of a service charge, a repayment of liability and interest charge, a payment in respect of business rates and a payment to provide for lifecycle replacement costs (known as the 'Sinking Fund'). The payments into the sinking fund are treated initially as a prepayment by the Authority. The Service Provider throughout the contractual term will utilise the sinking fund for the repair and replacement of the premises, and fixture and fittings with the consent of the Authority. All payments made, other than the liability and interest charge, are subject to annual inflation increases and can be reduced if the contractor fails to meet availability and performance standards in any year. The Authority on behalf of the Mayor has the </w:t>
      </w:r>
      <w:r w:rsidRPr="00285F28">
        <w:rPr>
          <w:rFonts w:ascii="Arial" w:hAnsi="Arial" w:cs="Arial"/>
        </w:rPr>
        <w:lastRenderedPageBreak/>
        <w:t xml:space="preserve">right to terminate the contact only if the contractor is compensated in full for costs incurred and lost future profits. </w:t>
      </w:r>
    </w:p>
    <w:p w14:paraId="0313433A" w14:textId="77777777" w:rsidR="00CE020E" w:rsidRPr="0007572B" w:rsidRDefault="00CE020E" w:rsidP="006F1659">
      <w:pPr>
        <w:spacing w:line="360" w:lineRule="auto"/>
        <w:rPr>
          <w:rFonts w:ascii="Arial" w:hAnsi="Arial" w:cs="Arial"/>
        </w:rPr>
      </w:pPr>
    </w:p>
    <w:p w14:paraId="1506BE65" w14:textId="49E2C5CA" w:rsidR="00CE020E" w:rsidRDefault="00CE020E" w:rsidP="006F1659">
      <w:pPr>
        <w:spacing w:line="360" w:lineRule="auto"/>
        <w:rPr>
          <w:rFonts w:ascii="Arial" w:hAnsi="Arial" w:cs="Arial"/>
        </w:rPr>
      </w:pPr>
      <w:r w:rsidRPr="0007572B">
        <w:rPr>
          <w:rFonts w:ascii="Arial" w:hAnsi="Arial" w:cs="Arial"/>
        </w:rPr>
        <w:t>Future payments remaining to be made under the contracts (including an estimate of future inflation) are as follows:</w:t>
      </w:r>
    </w:p>
    <w:p w14:paraId="7BA3D276" w14:textId="784001CA" w:rsidR="00B141F0" w:rsidRDefault="00B141F0" w:rsidP="006F1659">
      <w:pPr>
        <w:spacing w:line="360" w:lineRule="auto"/>
        <w:rPr>
          <w:rFonts w:ascii="Arial" w:hAnsi="Arial" w:cs="Arial"/>
        </w:rPr>
      </w:pPr>
    </w:p>
    <w:p w14:paraId="1D5D5B3E" w14:textId="21EF4C24" w:rsidR="00ED71D4" w:rsidRDefault="00ED71D4" w:rsidP="006F1659">
      <w:pPr>
        <w:spacing w:line="360" w:lineRule="auto"/>
        <w:rPr>
          <w:rFonts w:ascii="Arial" w:hAnsi="Arial" w:cs="Arial"/>
        </w:rPr>
      </w:pPr>
      <w:r w:rsidRPr="00ED71D4">
        <w:rPr>
          <w:noProof/>
        </w:rPr>
        <w:drawing>
          <wp:inline distT="0" distB="0" distL="0" distR="0" wp14:anchorId="3344B381" wp14:editId="119A510A">
            <wp:extent cx="5689600" cy="1200150"/>
            <wp:effectExtent l="0" t="0" r="6350" b="0"/>
            <wp:docPr id="878314718"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14718" name="Picture 44">
                      <a:extLst>
                        <a:ext uri="{C183D7F6-B498-43B3-948B-1728B52AA6E4}">
                          <adec:decorative xmlns:adec="http://schemas.microsoft.com/office/drawing/2017/decorative" val="1"/>
                        </a:ext>
                      </a:extLs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689600" cy="1200150"/>
                    </a:xfrm>
                    <a:prstGeom prst="rect">
                      <a:avLst/>
                    </a:prstGeom>
                    <a:noFill/>
                    <a:ln>
                      <a:noFill/>
                    </a:ln>
                  </pic:spPr>
                </pic:pic>
              </a:graphicData>
            </a:graphic>
          </wp:inline>
        </w:drawing>
      </w:r>
    </w:p>
    <w:p w14:paraId="284E4EB4" w14:textId="77777777" w:rsidR="00ED71D4" w:rsidRDefault="00ED71D4" w:rsidP="006F1659">
      <w:pPr>
        <w:spacing w:line="360" w:lineRule="auto"/>
        <w:rPr>
          <w:rFonts w:ascii="Arial" w:hAnsi="Arial" w:cs="Arial"/>
        </w:rPr>
      </w:pPr>
    </w:p>
    <w:p w14:paraId="05083B1D" w14:textId="064F3CDB" w:rsidR="00ED71D4" w:rsidRDefault="00ED71D4" w:rsidP="006F1659">
      <w:pPr>
        <w:spacing w:line="360" w:lineRule="auto"/>
        <w:rPr>
          <w:rFonts w:ascii="Arial" w:hAnsi="Arial" w:cs="Arial"/>
        </w:rPr>
      </w:pPr>
      <w:r w:rsidRPr="00ED71D4">
        <w:rPr>
          <w:noProof/>
        </w:rPr>
        <w:drawing>
          <wp:inline distT="0" distB="0" distL="0" distR="0" wp14:anchorId="55E45626" wp14:editId="01794F71">
            <wp:extent cx="5689600" cy="1200150"/>
            <wp:effectExtent l="0" t="0" r="6350" b="0"/>
            <wp:docPr id="73231270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312705" name="Picture 45">
                      <a:extLst>
                        <a:ext uri="{C183D7F6-B498-43B3-948B-1728B52AA6E4}">
                          <adec:decorative xmlns:adec="http://schemas.microsoft.com/office/drawing/2017/decorative" val="1"/>
                        </a:ext>
                      </a:extLs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689600" cy="1200150"/>
                    </a:xfrm>
                    <a:prstGeom prst="rect">
                      <a:avLst/>
                    </a:prstGeom>
                    <a:noFill/>
                    <a:ln>
                      <a:noFill/>
                    </a:ln>
                  </pic:spPr>
                </pic:pic>
              </a:graphicData>
            </a:graphic>
          </wp:inline>
        </w:drawing>
      </w:r>
    </w:p>
    <w:p w14:paraId="76A077DE" w14:textId="77777777" w:rsidR="00ED71D4" w:rsidRDefault="00ED71D4" w:rsidP="006F1659">
      <w:pPr>
        <w:spacing w:line="360" w:lineRule="auto"/>
        <w:rPr>
          <w:rFonts w:ascii="Arial" w:hAnsi="Arial" w:cs="Arial"/>
        </w:rPr>
      </w:pPr>
    </w:p>
    <w:p w14:paraId="3A2C8B23" w14:textId="45163960" w:rsidR="00ED71D4" w:rsidRPr="0007572B" w:rsidRDefault="00ED71D4" w:rsidP="006F1659">
      <w:pPr>
        <w:spacing w:line="360" w:lineRule="auto"/>
        <w:rPr>
          <w:rFonts w:ascii="Arial" w:hAnsi="Arial" w:cs="Arial"/>
        </w:rPr>
      </w:pPr>
      <w:r w:rsidRPr="00ED71D4">
        <w:rPr>
          <w:noProof/>
        </w:rPr>
        <w:drawing>
          <wp:inline distT="0" distB="0" distL="0" distR="0" wp14:anchorId="2E38C78A" wp14:editId="25E94EC9">
            <wp:extent cx="5689600" cy="1200150"/>
            <wp:effectExtent l="0" t="0" r="6350" b="0"/>
            <wp:docPr id="1314139013"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139013" name="Picture 46">
                      <a:extLst>
                        <a:ext uri="{C183D7F6-B498-43B3-948B-1728B52AA6E4}">
                          <adec:decorative xmlns:adec="http://schemas.microsoft.com/office/drawing/2017/decorative" val="1"/>
                        </a:ext>
                      </a:extLs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689600" cy="1200150"/>
                    </a:xfrm>
                    <a:prstGeom prst="rect">
                      <a:avLst/>
                    </a:prstGeom>
                    <a:noFill/>
                    <a:ln>
                      <a:noFill/>
                    </a:ln>
                  </pic:spPr>
                </pic:pic>
              </a:graphicData>
            </a:graphic>
          </wp:inline>
        </w:drawing>
      </w:r>
    </w:p>
    <w:p w14:paraId="096B3186" w14:textId="37E7312B" w:rsidR="00302053" w:rsidRDefault="00302053" w:rsidP="006F1659">
      <w:pPr>
        <w:spacing w:line="360" w:lineRule="auto"/>
        <w:rPr>
          <w:rFonts w:ascii="Arial" w:hAnsi="Arial" w:cs="Arial"/>
          <w:bCs/>
          <w:sz w:val="22"/>
          <w:szCs w:val="22"/>
        </w:rPr>
      </w:pPr>
      <w:r w:rsidRPr="00D06C3B">
        <w:rPr>
          <w:rFonts w:ascii="Arial" w:hAnsi="Arial" w:cs="Arial"/>
          <w:bCs/>
          <w:sz w:val="22"/>
          <w:szCs w:val="22"/>
        </w:rPr>
        <w:t xml:space="preserve"> </w:t>
      </w:r>
    </w:p>
    <w:p w14:paraId="73CDA405" w14:textId="77777777" w:rsidR="00B17E52" w:rsidRDefault="00B17E52" w:rsidP="006F1659">
      <w:pPr>
        <w:spacing w:line="360" w:lineRule="auto"/>
        <w:rPr>
          <w:rFonts w:ascii="Arial" w:hAnsi="Arial" w:cs="Arial"/>
          <w:bCs/>
          <w:sz w:val="22"/>
          <w:szCs w:val="22"/>
        </w:rPr>
      </w:pPr>
    </w:p>
    <w:p w14:paraId="085C4447" w14:textId="675C6914" w:rsidR="006C1D94" w:rsidRPr="003F158E" w:rsidRDefault="006C1D94" w:rsidP="006C1D94">
      <w:pPr>
        <w:pStyle w:val="Heading3greennumbered"/>
        <w:spacing w:line="360" w:lineRule="auto"/>
      </w:pPr>
      <w:r>
        <w:t>27a Contingent Assets</w:t>
      </w:r>
    </w:p>
    <w:p w14:paraId="6AF306E4" w14:textId="77777777" w:rsidR="006C1D94" w:rsidRDefault="006C1D94" w:rsidP="006F1659">
      <w:pPr>
        <w:spacing w:line="360" w:lineRule="auto"/>
        <w:rPr>
          <w:rFonts w:ascii="Arial" w:hAnsi="Arial" w:cs="Arial"/>
          <w:bCs/>
          <w:sz w:val="22"/>
          <w:szCs w:val="22"/>
        </w:rPr>
      </w:pPr>
    </w:p>
    <w:p w14:paraId="4E4457EC" w14:textId="77BE9262" w:rsidR="006C1D94" w:rsidRDefault="006C1D94" w:rsidP="006C1D94">
      <w:pPr>
        <w:pStyle w:val="Heading5"/>
        <w:spacing w:line="360" w:lineRule="auto"/>
      </w:pPr>
      <w:r w:rsidRPr="00A13425">
        <w:t>(</w:t>
      </w:r>
      <w:r w:rsidRPr="0035790B">
        <w:t xml:space="preserve">Motorola) Airwave </w:t>
      </w:r>
      <w:r>
        <w:t>N</w:t>
      </w:r>
      <w:r w:rsidRPr="0035790B">
        <w:t>etwork</w:t>
      </w:r>
    </w:p>
    <w:p w14:paraId="218FF2D5" w14:textId="77777777" w:rsidR="006C1D94" w:rsidRPr="006C1D94" w:rsidRDefault="006C1D94" w:rsidP="006C1D94"/>
    <w:p w14:paraId="2EEDCCA8" w14:textId="77777777" w:rsidR="006C1D94" w:rsidRPr="00992FBD" w:rsidRDefault="006C1D94" w:rsidP="006C1D94">
      <w:pPr>
        <w:spacing w:line="360" w:lineRule="auto"/>
        <w:rPr>
          <w:rFonts w:ascii="Arial" w:hAnsi="Arial" w:cs="Arial"/>
        </w:rPr>
      </w:pPr>
      <w:r>
        <w:rPr>
          <w:rFonts w:ascii="Arial" w:hAnsi="Arial" w:cs="Arial"/>
        </w:rPr>
        <w:t>In</w:t>
      </w:r>
      <w:r w:rsidRPr="00992FBD">
        <w:rPr>
          <w:rFonts w:ascii="Arial" w:hAnsi="Arial" w:cs="Arial"/>
        </w:rPr>
        <w:t xml:space="preserve"> December 2023 </w:t>
      </w:r>
      <w:r>
        <w:rPr>
          <w:rFonts w:ascii="Arial" w:hAnsi="Arial" w:cs="Arial"/>
        </w:rPr>
        <w:t>t</w:t>
      </w:r>
      <w:r w:rsidRPr="00992FBD">
        <w:rPr>
          <w:rFonts w:ascii="Arial" w:hAnsi="Arial" w:cs="Arial"/>
        </w:rPr>
        <w:t>he Competition Appeal Tribunal took the decision to uphold the Competition and Markets Authority (CMA)’s decision to impose a charge control mechanism on Motorola in respect of the revenue Airwave can earn from charges</w:t>
      </w:r>
      <w:r>
        <w:rPr>
          <w:rFonts w:ascii="Arial" w:hAnsi="Arial" w:cs="Arial"/>
        </w:rPr>
        <w:t xml:space="preserve"> for the Airwave network used by emergency services in the UK.</w:t>
      </w:r>
      <w:r w:rsidRPr="00992FBD">
        <w:rPr>
          <w:rFonts w:ascii="Arial" w:hAnsi="Arial" w:cs="Arial"/>
        </w:rPr>
        <w:br/>
      </w:r>
      <w:r w:rsidRPr="00992FBD">
        <w:rPr>
          <w:rFonts w:ascii="Arial" w:hAnsi="Arial" w:cs="Arial"/>
        </w:rPr>
        <w:br/>
      </w:r>
      <w:r w:rsidRPr="00992FBD">
        <w:rPr>
          <w:rFonts w:ascii="Arial" w:hAnsi="Arial" w:cs="Arial"/>
        </w:rPr>
        <w:lastRenderedPageBreak/>
        <w:t>Motorola has lodged an application for permission to appeal the Tribunal’s decision to the Court of Appeal (CoA), but in the meantime has commenced issuing credit notes and discounting invoices to reflect the charge control impact from 1 August 2023 onwards. These credit notes have been applied to the totality of the invoice to the Home Office and therefore need to be apportioned to the various authorities including all Fire and Rescue Authorities (FRA) in England.</w:t>
      </w:r>
      <w:r w:rsidRPr="00992FBD">
        <w:rPr>
          <w:rFonts w:ascii="Arial" w:hAnsi="Arial" w:cs="Arial"/>
        </w:rPr>
        <w:br/>
      </w:r>
      <w:r w:rsidRPr="00992FBD">
        <w:rPr>
          <w:rFonts w:ascii="Arial" w:hAnsi="Arial" w:cs="Arial"/>
        </w:rPr>
        <w:br/>
        <w:t>Since an appeal request has been lodged with the CoA, any credit which is currently applied and accepted may have to be repaid if subsequently it is decided to overturn the Tribunal’s decision and in turn set aside CMA’s charge control. Motorola have been clear in their communications that this is the basis on which the credits are being applied.</w:t>
      </w:r>
      <w:r w:rsidRPr="00992FBD">
        <w:rPr>
          <w:rFonts w:ascii="Arial" w:hAnsi="Arial" w:cs="Arial"/>
        </w:rPr>
        <w:br/>
      </w:r>
      <w:r w:rsidRPr="00992FBD">
        <w:rPr>
          <w:rFonts w:ascii="Arial" w:hAnsi="Arial" w:cs="Arial"/>
        </w:rPr>
        <w:br/>
        <w:t xml:space="preserve">As a result, and on the recommendation of the </w:t>
      </w:r>
      <w:r>
        <w:rPr>
          <w:rFonts w:ascii="Arial" w:hAnsi="Arial" w:cs="Arial"/>
        </w:rPr>
        <w:t xml:space="preserve">National Fire Chiefs Council, </w:t>
      </w:r>
      <w:r w:rsidRPr="00992FBD">
        <w:rPr>
          <w:rFonts w:ascii="Arial" w:hAnsi="Arial" w:cs="Arial"/>
        </w:rPr>
        <w:t xml:space="preserve">Finance Committee, the Home Office will be continuing to invoice FRAs in England at the original rate and will not apply the credit notes to the invoices the Home Office sends to FRAs. Instead, it will provide the total value of the credit to Buckinghamshire Fire who have kindly agreed to hold the total credit that relates to Fire England until a final court decision is reached. Any monies remaining with Buckinghamshire Fire after the conclusion of the legal process will be shared between all FRAs in England based on their percentage share of the credit, if ultimately Motorola are unsuccessful in their court application. </w:t>
      </w:r>
    </w:p>
    <w:p w14:paraId="73D10D4A" w14:textId="77777777" w:rsidR="006C1D94" w:rsidRPr="00992FBD" w:rsidRDefault="006C1D94" w:rsidP="006C1D94">
      <w:pPr>
        <w:rPr>
          <w:rFonts w:ascii="Arial" w:hAnsi="Arial" w:cs="Arial"/>
        </w:rPr>
      </w:pPr>
    </w:p>
    <w:p w14:paraId="7BF17099" w14:textId="340C4C1B" w:rsidR="006C1D94" w:rsidRDefault="006C1D94" w:rsidP="006C1D94">
      <w:pPr>
        <w:spacing w:line="360" w:lineRule="auto"/>
        <w:rPr>
          <w:rFonts w:ascii="Arial" w:hAnsi="Arial" w:cs="Arial"/>
        </w:rPr>
      </w:pPr>
      <w:r w:rsidRPr="00992FBD">
        <w:rPr>
          <w:rFonts w:ascii="Arial" w:hAnsi="Arial" w:cs="Arial"/>
        </w:rPr>
        <w:t>The Greater Manchester Fire &amp; Rescue Service forms part of the Greater Manchester Combined Authority, and as at 31 March 2024 their</w:t>
      </w:r>
      <w:r>
        <w:rPr>
          <w:rFonts w:ascii="Arial" w:hAnsi="Arial" w:cs="Arial"/>
        </w:rPr>
        <w:t xml:space="preserve"> </w:t>
      </w:r>
      <w:r w:rsidRPr="00992FBD">
        <w:rPr>
          <w:rFonts w:ascii="Arial" w:hAnsi="Arial" w:cs="Arial"/>
        </w:rPr>
        <w:t>share of the credit is estimated to be £0.183m.</w:t>
      </w:r>
      <w:r>
        <w:rPr>
          <w:rFonts w:ascii="Arial" w:hAnsi="Arial" w:cs="Arial"/>
        </w:rPr>
        <w:t xml:space="preserve"> </w:t>
      </w:r>
    </w:p>
    <w:p w14:paraId="7879A74C" w14:textId="77777777" w:rsidR="006C1D94" w:rsidRDefault="006C1D94" w:rsidP="006C1D94">
      <w:pPr>
        <w:spacing w:line="360" w:lineRule="auto"/>
        <w:rPr>
          <w:rFonts w:ascii="Arial" w:hAnsi="Arial" w:cs="Arial"/>
        </w:rPr>
      </w:pPr>
    </w:p>
    <w:p w14:paraId="6E14096A" w14:textId="77777777" w:rsidR="006C1D94" w:rsidRPr="00992FBD" w:rsidRDefault="006C1D94" w:rsidP="006C1D94">
      <w:pPr>
        <w:spacing w:line="360" w:lineRule="auto"/>
        <w:rPr>
          <w:rFonts w:ascii="Arial" w:hAnsi="Arial" w:cs="Arial"/>
        </w:rPr>
      </w:pPr>
      <w:r>
        <w:rPr>
          <w:rFonts w:ascii="Arial" w:hAnsi="Arial" w:cs="Arial"/>
        </w:rPr>
        <w:t>N</w:t>
      </w:r>
      <w:r w:rsidRPr="00D96957">
        <w:rPr>
          <w:rFonts w:ascii="Arial" w:hAnsi="Arial" w:cs="Arial"/>
        </w:rPr>
        <w:t xml:space="preserve">o </w:t>
      </w:r>
      <w:r>
        <w:rPr>
          <w:rFonts w:ascii="Arial" w:hAnsi="Arial" w:cs="Arial"/>
        </w:rPr>
        <w:t>asset</w:t>
      </w:r>
      <w:r w:rsidRPr="00D96957">
        <w:rPr>
          <w:rFonts w:ascii="Arial" w:hAnsi="Arial" w:cs="Arial"/>
        </w:rPr>
        <w:t xml:space="preserve"> has been recognised in the 2023/24 accounts</w:t>
      </w:r>
      <w:r>
        <w:rPr>
          <w:rFonts w:ascii="Arial" w:hAnsi="Arial" w:cs="Arial"/>
        </w:rPr>
        <w:t xml:space="preserve"> based on </w:t>
      </w:r>
      <w:r w:rsidRPr="00590549">
        <w:rPr>
          <w:rFonts w:ascii="Arial" w:hAnsi="Arial" w:cs="Arial"/>
        </w:rPr>
        <w:t>uncertain</w:t>
      </w:r>
      <w:r>
        <w:rPr>
          <w:rFonts w:ascii="Arial" w:hAnsi="Arial" w:cs="Arial"/>
        </w:rPr>
        <w:t>ty in relation to the</w:t>
      </w:r>
      <w:r w:rsidRPr="00590549">
        <w:rPr>
          <w:rFonts w:ascii="Arial" w:hAnsi="Arial" w:cs="Arial"/>
        </w:rPr>
        <w:t xml:space="preserve"> timing </w:t>
      </w:r>
      <w:r>
        <w:rPr>
          <w:rFonts w:ascii="Arial" w:hAnsi="Arial" w:cs="Arial"/>
        </w:rPr>
        <w:t>and</w:t>
      </w:r>
      <w:r w:rsidRPr="00590549">
        <w:rPr>
          <w:rFonts w:ascii="Arial" w:hAnsi="Arial" w:cs="Arial"/>
        </w:rPr>
        <w:t xml:space="preserve"> amount dependent on </w:t>
      </w:r>
      <w:r>
        <w:rPr>
          <w:rFonts w:ascii="Arial" w:hAnsi="Arial" w:cs="Arial"/>
        </w:rPr>
        <w:t>the outcome of the litigation.</w:t>
      </w:r>
    </w:p>
    <w:p w14:paraId="11BA1CA0" w14:textId="77777777" w:rsidR="006C1D94" w:rsidRDefault="006C1D94" w:rsidP="006C1D94">
      <w:pPr>
        <w:spacing w:line="360" w:lineRule="auto"/>
        <w:rPr>
          <w:rFonts w:ascii="Arial" w:hAnsi="Arial" w:cs="Arial"/>
        </w:rPr>
      </w:pPr>
    </w:p>
    <w:p w14:paraId="16EFA8CF" w14:textId="77777777" w:rsidR="006C1D94" w:rsidRDefault="006C1D94" w:rsidP="006C1D94">
      <w:pPr>
        <w:spacing w:line="360" w:lineRule="auto"/>
        <w:rPr>
          <w:rFonts w:ascii="Arial" w:hAnsi="Arial" w:cs="Arial"/>
        </w:rPr>
      </w:pPr>
    </w:p>
    <w:p w14:paraId="147D90E9" w14:textId="77777777" w:rsidR="00B17E52" w:rsidRDefault="00B17E52" w:rsidP="006C1D94">
      <w:pPr>
        <w:spacing w:line="360" w:lineRule="auto"/>
        <w:rPr>
          <w:rFonts w:ascii="Arial" w:hAnsi="Arial" w:cs="Arial"/>
        </w:rPr>
      </w:pPr>
    </w:p>
    <w:p w14:paraId="487578E3" w14:textId="77777777" w:rsidR="00B17E52" w:rsidRDefault="00B17E52" w:rsidP="006C1D94">
      <w:pPr>
        <w:spacing w:line="360" w:lineRule="auto"/>
        <w:rPr>
          <w:rFonts w:ascii="Arial" w:hAnsi="Arial" w:cs="Arial"/>
        </w:rPr>
      </w:pPr>
    </w:p>
    <w:p w14:paraId="1E66C0D4" w14:textId="593A9D94" w:rsidR="006C1D94" w:rsidRDefault="006C1D94" w:rsidP="006C1D94">
      <w:pPr>
        <w:pStyle w:val="Heading5"/>
        <w:spacing w:line="360" w:lineRule="auto"/>
      </w:pPr>
      <w:r>
        <w:lastRenderedPageBreak/>
        <w:t>Truck Cartel</w:t>
      </w:r>
    </w:p>
    <w:p w14:paraId="24487FCA" w14:textId="77777777" w:rsidR="006C1D94" w:rsidRPr="006C1D94" w:rsidRDefault="006C1D94" w:rsidP="006C1D94"/>
    <w:p w14:paraId="67003E09" w14:textId="77777777" w:rsidR="006C1D94" w:rsidRDefault="006C1D94" w:rsidP="006C1D94">
      <w:pPr>
        <w:spacing w:line="360" w:lineRule="auto"/>
        <w:rPr>
          <w:rFonts w:ascii="Arial" w:hAnsi="Arial" w:cs="Arial"/>
        </w:rPr>
      </w:pPr>
      <w:r>
        <w:rPr>
          <w:rFonts w:ascii="Arial" w:hAnsi="Arial" w:cs="Arial"/>
        </w:rPr>
        <w:t>L</w:t>
      </w:r>
      <w:r w:rsidRPr="00E03559">
        <w:rPr>
          <w:rFonts w:ascii="Arial" w:hAnsi="Arial" w:cs="Arial"/>
        </w:rPr>
        <w:t xml:space="preserve">itigation has been brought by </w:t>
      </w:r>
      <w:r>
        <w:rPr>
          <w:rFonts w:ascii="Arial" w:hAnsi="Arial" w:cs="Arial"/>
        </w:rPr>
        <w:t>L</w:t>
      </w:r>
      <w:r w:rsidRPr="00E03559">
        <w:rPr>
          <w:rFonts w:ascii="Arial" w:hAnsi="Arial" w:cs="Arial"/>
        </w:rPr>
        <w:t xml:space="preserve">ocal </w:t>
      </w:r>
      <w:r>
        <w:rPr>
          <w:rFonts w:ascii="Arial" w:hAnsi="Arial" w:cs="Arial"/>
        </w:rPr>
        <w:t>A</w:t>
      </w:r>
      <w:r w:rsidRPr="00E03559">
        <w:rPr>
          <w:rFonts w:ascii="Arial" w:hAnsi="Arial" w:cs="Arial"/>
        </w:rPr>
        <w:t xml:space="preserve">uthorities and Fire and Rescue </w:t>
      </w:r>
      <w:r>
        <w:rPr>
          <w:rFonts w:ascii="Arial" w:hAnsi="Arial" w:cs="Arial"/>
        </w:rPr>
        <w:t xml:space="preserve">Services </w:t>
      </w:r>
      <w:r w:rsidRPr="00E03559">
        <w:rPr>
          <w:rFonts w:ascii="Arial" w:hAnsi="Arial" w:cs="Arial"/>
        </w:rPr>
        <w:t xml:space="preserve">against manufacturers and vendors of trucks, alleging an unlawful </w:t>
      </w:r>
      <w:r>
        <w:rPr>
          <w:rFonts w:ascii="Arial" w:hAnsi="Arial" w:cs="Arial"/>
        </w:rPr>
        <w:t>price</w:t>
      </w:r>
      <w:r w:rsidRPr="00E03559">
        <w:rPr>
          <w:rFonts w:ascii="Arial" w:hAnsi="Arial" w:cs="Arial"/>
        </w:rPr>
        <w:t xml:space="preserve"> cartel. </w:t>
      </w:r>
    </w:p>
    <w:p w14:paraId="0F58C1E1" w14:textId="77777777" w:rsidR="006C1D94" w:rsidRDefault="006C1D94" w:rsidP="006C1D94">
      <w:pPr>
        <w:spacing w:line="360" w:lineRule="auto"/>
        <w:rPr>
          <w:rFonts w:ascii="Arial" w:hAnsi="Arial" w:cs="Arial"/>
        </w:rPr>
      </w:pPr>
    </w:p>
    <w:p w14:paraId="5B1289B6" w14:textId="77777777" w:rsidR="006C1D94" w:rsidRDefault="006C1D94" w:rsidP="006C1D94">
      <w:pPr>
        <w:spacing w:line="360" w:lineRule="auto"/>
        <w:rPr>
          <w:rFonts w:ascii="Arial" w:hAnsi="Arial" w:cs="Arial"/>
        </w:rPr>
      </w:pPr>
      <w:r w:rsidRPr="00590549">
        <w:rPr>
          <w:rFonts w:ascii="Arial" w:hAnsi="Arial" w:cs="Arial"/>
        </w:rPr>
        <w:t>This follows a finding by the European Commission that a price fixing cartel ran from 1997 to 2011</w:t>
      </w:r>
      <w:r>
        <w:rPr>
          <w:rFonts w:ascii="Arial" w:hAnsi="Arial" w:cs="Arial"/>
        </w:rPr>
        <w:t xml:space="preserve">. </w:t>
      </w:r>
      <w:r w:rsidRPr="00590549">
        <w:rPr>
          <w:rFonts w:ascii="Arial" w:hAnsi="Arial" w:cs="Arial"/>
        </w:rPr>
        <w:t>A number of truck manufacturers acknowledged their guilt and confirmed they did the following:</w:t>
      </w:r>
    </w:p>
    <w:p w14:paraId="7D8F5CD6" w14:textId="77777777" w:rsidR="006C1D94" w:rsidRDefault="006C1D94" w:rsidP="006C1D94">
      <w:pPr>
        <w:spacing w:line="360" w:lineRule="auto"/>
        <w:rPr>
          <w:rFonts w:ascii="Arial" w:hAnsi="Arial" w:cs="Arial"/>
        </w:rPr>
      </w:pPr>
    </w:p>
    <w:p w14:paraId="7139F510" w14:textId="77777777" w:rsidR="006C1D94" w:rsidRPr="00590549" w:rsidRDefault="006C1D94" w:rsidP="006C1D94">
      <w:pPr>
        <w:pStyle w:val="ListParagraph"/>
        <w:numPr>
          <w:ilvl w:val="0"/>
          <w:numId w:val="89"/>
        </w:numPr>
        <w:spacing w:after="160" w:line="360" w:lineRule="auto"/>
        <w:rPr>
          <w:rFonts w:ascii="Arial" w:hAnsi="Arial" w:cs="Arial"/>
          <w:sz w:val="24"/>
          <w:szCs w:val="24"/>
        </w:rPr>
      </w:pPr>
      <w:r w:rsidRPr="00590549">
        <w:rPr>
          <w:rFonts w:ascii="Arial" w:hAnsi="Arial" w:cs="Arial"/>
          <w:sz w:val="24"/>
          <w:szCs w:val="24"/>
        </w:rPr>
        <w:t>At Senior HQ management level, fixed gross and sometimes net list prices.</w:t>
      </w:r>
    </w:p>
    <w:p w14:paraId="577B60DF" w14:textId="77777777" w:rsidR="006C1D94" w:rsidRPr="00590549" w:rsidRDefault="006C1D94" w:rsidP="006C1D94">
      <w:pPr>
        <w:pStyle w:val="ListParagraph"/>
        <w:numPr>
          <w:ilvl w:val="0"/>
          <w:numId w:val="89"/>
        </w:numPr>
        <w:spacing w:after="160" w:line="360" w:lineRule="auto"/>
        <w:rPr>
          <w:rFonts w:ascii="Arial" w:hAnsi="Arial" w:cs="Arial"/>
          <w:sz w:val="24"/>
          <w:szCs w:val="24"/>
        </w:rPr>
      </w:pPr>
      <w:r w:rsidRPr="00590549">
        <w:rPr>
          <w:rFonts w:ascii="Arial" w:hAnsi="Arial" w:cs="Arial"/>
          <w:sz w:val="24"/>
          <w:szCs w:val="24"/>
        </w:rPr>
        <w:t xml:space="preserve">Aligned gross list prices in Europe including the UK at the start of the cartel. </w:t>
      </w:r>
    </w:p>
    <w:p w14:paraId="334020CE" w14:textId="77777777" w:rsidR="006C1D94" w:rsidRPr="00590549" w:rsidRDefault="006C1D94" w:rsidP="006C1D94">
      <w:pPr>
        <w:pStyle w:val="ListParagraph"/>
        <w:numPr>
          <w:ilvl w:val="0"/>
          <w:numId w:val="89"/>
        </w:numPr>
        <w:spacing w:after="160" w:line="360" w:lineRule="auto"/>
        <w:rPr>
          <w:rFonts w:ascii="Arial" w:hAnsi="Arial" w:cs="Arial"/>
          <w:sz w:val="24"/>
          <w:szCs w:val="24"/>
        </w:rPr>
      </w:pPr>
      <w:r w:rsidRPr="00590549">
        <w:rPr>
          <w:rFonts w:ascii="Arial" w:hAnsi="Arial" w:cs="Arial"/>
          <w:sz w:val="24"/>
          <w:szCs w:val="24"/>
        </w:rPr>
        <w:t xml:space="preserve">Reduced rebates when the Euro was introduced. </w:t>
      </w:r>
    </w:p>
    <w:p w14:paraId="3E3757DA" w14:textId="77777777" w:rsidR="006C1D94" w:rsidRPr="00590549" w:rsidRDefault="006C1D94" w:rsidP="006C1D94">
      <w:pPr>
        <w:pStyle w:val="ListParagraph"/>
        <w:numPr>
          <w:ilvl w:val="0"/>
          <w:numId w:val="89"/>
        </w:numPr>
        <w:spacing w:after="160" w:line="360" w:lineRule="auto"/>
        <w:rPr>
          <w:rFonts w:ascii="Arial" w:hAnsi="Arial" w:cs="Arial"/>
          <w:sz w:val="24"/>
          <w:szCs w:val="24"/>
        </w:rPr>
      </w:pPr>
      <w:r w:rsidRPr="00590549">
        <w:rPr>
          <w:rFonts w:ascii="Arial" w:hAnsi="Arial" w:cs="Arial"/>
          <w:sz w:val="24"/>
          <w:szCs w:val="24"/>
        </w:rPr>
        <w:t xml:space="preserve">Delayed introduction of more fuel-efficient Euro 3, 4, 5 and 6 technologies. </w:t>
      </w:r>
    </w:p>
    <w:p w14:paraId="6C3217F1" w14:textId="77777777" w:rsidR="006C1D94" w:rsidRDefault="006C1D94" w:rsidP="006C1D94">
      <w:pPr>
        <w:pStyle w:val="ListParagraph"/>
        <w:numPr>
          <w:ilvl w:val="0"/>
          <w:numId w:val="89"/>
        </w:numPr>
        <w:spacing w:after="160" w:line="360" w:lineRule="auto"/>
        <w:rPr>
          <w:rFonts w:ascii="Arial" w:hAnsi="Arial" w:cs="Arial"/>
          <w:sz w:val="24"/>
          <w:szCs w:val="24"/>
        </w:rPr>
      </w:pPr>
      <w:r w:rsidRPr="00590549">
        <w:rPr>
          <w:rFonts w:ascii="Arial" w:hAnsi="Arial" w:cs="Arial"/>
          <w:sz w:val="24"/>
          <w:szCs w:val="24"/>
        </w:rPr>
        <w:t>Agreed the cost that operators should pay for Euro technologies.</w:t>
      </w:r>
    </w:p>
    <w:p w14:paraId="4406966E" w14:textId="77777777" w:rsidR="006C1D94" w:rsidRPr="00590549" w:rsidRDefault="006C1D94" w:rsidP="006C1D94">
      <w:pPr>
        <w:pStyle w:val="ListParagraph"/>
        <w:spacing w:after="160" w:line="360" w:lineRule="auto"/>
        <w:rPr>
          <w:rFonts w:ascii="Arial" w:hAnsi="Arial" w:cs="Arial"/>
          <w:sz w:val="24"/>
          <w:szCs w:val="24"/>
        </w:rPr>
      </w:pPr>
    </w:p>
    <w:p w14:paraId="58CD58E8" w14:textId="77777777" w:rsidR="006C1D94" w:rsidRPr="00590549" w:rsidRDefault="006C1D94" w:rsidP="006C1D94">
      <w:pPr>
        <w:spacing w:line="360" w:lineRule="auto"/>
        <w:rPr>
          <w:rFonts w:ascii="Arial" w:hAnsi="Arial" w:cs="Arial"/>
        </w:rPr>
      </w:pPr>
      <w:r w:rsidRPr="00590549">
        <w:rPr>
          <w:rFonts w:ascii="Arial" w:hAnsi="Arial" w:cs="Arial"/>
        </w:rPr>
        <w:t>A group legal action is now ongoing to recoup some of the money lost</w:t>
      </w:r>
      <w:r>
        <w:rPr>
          <w:rFonts w:ascii="Arial" w:hAnsi="Arial" w:cs="Arial"/>
        </w:rPr>
        <w:t>.</w:t>
      </w:r>
      <w:r w:rsidRPr="00590549">
        <w:rPr>
          <w:rFonts w:ascii="Arial" w:hAnsi="Arial" w:cs="Arial"/>
        </w:rPr>
        <w:t xml:space="preserve"> </w:t>
      </w:r>
      <w:r>
        <w:rPr>
          <w:rFonts w:ascii="Arial" w:hAnsi="Arial" w:cs="Arial"/>
        </w:rPr>
        <w:t>I</w:t>
      </w:r>
      <w:r w:rsidRPr="00590549">
        <w:rPr>
          <w:rFonts w:ascii="Arial" w:hAnsi="Arial" w:cs="Arial"/>
        </w:rPr>
        <w:t>t is expected that the claim will go to trial in November 2025</w:t>
      </w:r>
      <w:r>
        <w:rPr>
          <w:rFonts w:ascii="Arial" w:hAnsi="Arial" w:cs="Arial"/>
        </w:rPr>
        <w:t xml:space="preserve"> but any funds due to the authority are </w:t>
      </w:r>
      <w:r w:rsidRPr="00590549">
        <w:rPr>
          <w:rFonts w:ascii="Arial" w:hAnsi="Arial" w:cs="Arial"/>
        </w:rPr>
        <w:t xml:space="preserve">of uncertain timing or amount and dependent on events outside of the control of the authority. </w:t>
      </w:r>
      <w:r w:rsidRPr="00D96957">
        <w:rPr>
          <w:rFonts w:ascii="Arial" w:hAnsi="Arial" w:cs="Arial"/>
        </w:rPr>
        <w:t xml:space="preserve">On that basis no </w:t>
      </w:r>
      <w:r>
        <w:rPr>
          <w:rFonts w:ascii="Arial" w:hAnsi="Arial" w:cs="Arial"/>
        </w:rPr>
        <w:t>asset</w:t>
      </w:r>
      <w:r w:rsidRPr="00D96957">
        <w:rPr>
          <w:rFonts w:ascii="Arial" w:hAnsi="Arial" w:cs="Arial"/>
        </w:rPr>
        <w:t xml:space="preserve"> has been recognised in the 2023/24 accounts</w:t>
      </w:r>
      <w:r>
        <w:rPr>
          <w:rFonts w:ascii="Arial" w:hAnsi="Arial" w:cs="Arial"/>
        </w:rPr>
        <w:t>.</w:t>
      </w:r>
    </w:p>
    <w:p w14:paraId="58053551" w14:textId="77777777" w:rsidR="006C1D94" w:rsidRDefault="006C1D94" w:rsidP="006F1659">
      <w:pPr>
        <w:spacing w:line="360" w:lineRule="auto"/>
        <w:rPr>
          <w:rFonts w:ascii="Arial" w:hAnsi="Arial" w:cs="Arial"/>
          <w:bCs/>
          <w:sz w:val="22"/>
          <w:szCs w:val="22"/>
        </w:rPr>
      </w:pPr>
    </w:p>
    <w:p w14:paraId="1BE70C40" w14:textId="7439AAD1" w:rsidR="00E76D50" w:rsidRPr="00B04A57" w:rsidRDefault="00451E80" w:rsidP="00B04A57">
      <w:pPr>
        <w:spacing w:line="360" w:lineRule="auto"/>
        <w:rPr>
          <w:rFonts w:ascii="Arial" w:hAnsi="Arial" w:cs="Arial"/>
          <w:bCs/>
          <w:sz w:val="22"/>
          <w:szCs w:val="22"/>
        </w:rPr>
      </w:pPr>
      <w:r w:rsidRPr="0007572B">
        <w:rPr>
          <w:rFonts w:ascii="Arial" w:hAnsi="Arial" w:cs="Arial"/>
          <w:sz w:val="22"/>
          <w:szCs w:val="22"/>
        </w:rPr>
        <w:t xml:space="preserve"> </w:t>
      </w:r>
    </w:p>
    <w:p w14:paraId="0D49A2D1" w14:textId="3E763E23" w:rsidR="00EE7212" w:rsidRPr="003F158E" w:rsidRDefault="00EE7212" w:rsidP="006F1659">
      <w:pPr>
        <w:pStyle w:val="Heading3greennumbered"/>
        <w:spacing w:line="360" w:lineRule="auto"/>
      </w:pPr>
      <w:r>
        <w:t>27</w:t>
      </w:r>
      <w:r w:rsidR="006C1D94">
        <w:t>b</w:t>
      </w:r>
      <w:r>
        <w:t xml:space="preserve"> Contingent Liabilit</w:t>
      </w:r>
      <w:r w:rsidR="006C1D94">
        <w:t>ies</w:t>
      </w:r>
    </w:p>
    <w:p w14:paraId="5CF7DE47" w14:textId="77777777" w:rsidR="00EE7212" w:rsidRPr="00B7710C" w:rsidRDefault="00EE7212" w:rsidP="006F1659">
      <w:pPr>
        <w:spacing w:line="360" w:lineRule="auto"/>
        <w:rPr>
          <w:rFonts w:ascii="Arial" w:hAnsi="Arial" w:cs="Arial"/>
        </w:rPr>
      </w:pPr>
    </w:p>
    <w:p w14:paraId="2C172608" w14:textId="77777777" w:rsidR="00EE7212" w:rsidRPr="00EE7212" w:rsidRDefault="00EE7212" w:rsidP="006F1659">
      <w:pPr>
        <w:pStyle w:val="Heading5"/>
        <w:spacing w:line="360" w:lineRule="auto"/>
      </w:pPr>
      <w:r w:rsidRPr="00EE7212">
        <w:t xml:space="preserve">Special Retained Firefighters – Matthews Case </w:t>
      </w:r>
    </w:p>
    <w:p w14:paraId="35B50EE0" w14:textId="0431B3DF" w:rsidR="00E76D50" w:rsidRDefault="00E76D50" w:rsidP="004C594A">
      <w:pPr>
        <w:spacing w:line="360" w:lineRule="auto"/>
      </w:pPr>
    </w:p>
    <w:p w14:paraId="2AB12CF2" w14:textId="77777777" w:rsidR="004C594A" w:rsidRPr="004C594A" w:rsidRDefault="004C594A" w:rsidP="004C594A">
      <w:pPr>
        <w:spacing w:line="360" w:lineRule="auto"/>
        <w:rPr>
          <w:rFonts w:ascii="Arial" w:hAnsi="Arial" w:cs="Arial"/>
        </w:rPr>
      </w:pPr>
      <w:r w:rsidRPr="004C594A">
        <w:rPr>
          <w:rFonts w:ascii="Arial" w:hAnsi="Arial" w:cs="Arial"/>
        </w:rPr>
        <w:t xml:space="preserve">In November 2018 a ruling on the legal case involving part time judges (O’Brien v Ministry of Justice) has a direct impact on the equivalent case for retained firefighters (Matthews). Home Office Ministers agreed to extend the pension entitlement to eligible retained firefighters to cover service pre-July 2000. The Memorandum of Understanding signed in March 2022 sets out the intended scope and operation of the options exercise required to enact a remedy in this case. </w:t>
      </w:r>
    </w:p>
    <w:p w14:paraId="6A160AEA" w14:textId="77777777" w:rsidR="004C594A" w:rsidRPr="004C594A" w:rsidRDefault="004C594A" w:rsidP="004C594A">
      <w:pPr>
        <w:spacing w:line="360" w:lineRule="auto"/>
        <w:rPr>
          <w:rFonts w:ascii="Arial" w:hAnsi="Arial" w:cs="Arial"/>
        </w:rPr>
      </w:pPr>
    </w:p>
    <w:p w14:paraId="6AADAC64" w14:textId="77777777" w:rsidR="004C594A" w:rsidRPr="004C594A" w:rsidRDefault="004C594A" w:rsidP="004C594A">
      <w:pPr>
        <w:spacing w:line="360" w:lineRule="auto"/>
        <w:rPr>
          <w:rFonts w:ascii="Arial" w:hAnsi="Arial" w:cs="Arial"/>
        </w:rPr>
      </w:pPr>
      <w:r w:rsidRPr="004C594A">
        <w:rPr>
          <w:rFonts w:ascii="Arial" w:hAnsi="Arial" w:cs="Arial"/>
        </w:rPr>
        <w:lastRenderedPageBreak/>
        <w:t xml:space="preserve">This options exercise will increase the pension entitlement for some current special retained members and also allow access to the scheme for additional historic retained firefighters. </w:t>
      </w:r>
    </w:p>
    <w:p w14:paraId="23BB5C0F" w14:textId="77777777" w:rsidR="004C594A" w:rsidRPr="004C594A" w:rsidRDefault="004C594A" w:rsidP="004C594A">
      <w:pPr>
        <w:spacing w:line="360" w:lineRule="auto"/>
        <w:rPr>
          <w:rFonts w:ascii="Arial" w:hAnsi="Arial" w:cs="Arial"/>
        </w:rPr>
      </w:pPr>
    </w:p>
    <w:p w14:paraId="65C77C38" w14:textId="77777777" w:rsidR="004C594A" w:rsidRPr="004C594A" w:rsidRDefault="004C594A" w:rsidP="004C594A">
      <w:pPr>
        <w:spacing w:line="360" w:lineRule="auto"/>
        <w:rPr>
          <w:rFonts w:ascii="Arial" w:hAnsi="Arial" w:cs="Arial"/>
        </w:rPr>
      </w:pPr>
      <w:r w:rsidRPr="004C594A">
        <w:rPr>
          <w:rFonts w:ascii="Arial" w:hAnsi="Arial" w:cs="Arial"/>
        </w:rPr>
        <w:t xml:space="preserve">Although the options exercise is underway there is very significant data uncertainty in the calculation of this liability and significant assumptions have had to be made. </w:t>
      </w:r>
    </w:p>
    <w:p w14:paraId="30F56934" w14:textId="77777777" w:rsidR="004C594A" w:rsidRPr="004C594A" w:rsidRDefault="004C594A" w:rsidP="004C594A">
      <w:pPr>
        <w:spacing w:line="360" w:lineRule="auto"/>
        <w:rPr>
          <w:rFonts w:ascii="Arial" w:hAnsi="Arial" w:cs="Arial"/>
        </w:rPr>
      </w:pPr>
    </w:p>
    <w:p w14:paraId="51D1C934" w14:textId="77777777" w:rsidR="004C594A" w:rsidRPr="004C594A" w:rsidRDefault="004C594A" w:rsidP="004C594A">
      <w:pPr>
        <w:spacing w:line="360" w:lineRule="auto"/>
        <w:rPr>
          <w:rFonts w:ascii="Arial" w:hAnsi="Arial" w:cs="Arial"/>
        </w:rPr>
      </w:pPr>
      <w:r w:rsidRPr="004C594A">
        <w:rPr>
          <w:rFonts w:ascii="Arial" w:hAnsi="Arial" w:cs="Arial"/>
        </w:rPr>
        <w:t xml:space="preserve">As at the 31 March 2024 the Government Actuary Department has calculated an estimate, of £5m based on the 202324 accounting assumptions for the potential additional liability which could arise following this options exercise. </w:t>
      </w:r>
    </w:p>
    <w:p w14:paraId="7820BD82" w14:textId="77777777" w:rsidR="004C594A" w:rsidRPr="004C594A" w:rsidRDefault="004C594A" w:rsidP="004C594A">
      <w:pPr>
        <w:spacing w:line="360" w:lineRule="auto"/>
        <w:rPr>
          <w:rFonts w:ascii="Arial" w:hAnsi="Arial" w:cs="Arial"/>
        </w:rPr>
      </w:pPr>
    </w:p>
    <w:p w14:paraId="5C0563A4" w14:textId="1B131A77" w:rsidR="004C594A" w:rsidRDefault="004C594A" w:rsidP="004C594A">
      <w:pPr>
        <w:spacing w:line="360" w:lineRule="auto"/>
        <w:rPr>
          <w:rFonts w:ascii="Arial" w:hAnsi="Arial" w:cs="Arial"/>
        </w:rPr>
      </w:pPr>
      <w:r w:rsidRPr="004C594A">
        <w:rPr>
          <w:rFonts w:ascii="Arial" w:hAnsi="Arial" w:cs="Arial"/>
        </w:rPr>
        <w:t>However, there is very significant uncertainty in this additional liability estimate and it is very likely that actual experience for the authority will be different to the assumptions made and may be very different from the actual impact of the options exercise once it has concluded. On that basis no liability has been recognised in the 2023/24 accounts.</w:t>
      </w:r>
    </w:p>
    <w:p w14:paraId="03BEB336" w14:textId="77777777" w:rsidR="00F52540" w:rsidRDefault="00F52540" w:rsidP="006F1659">
      <w:pPr>
        <w:spacing w:line="360" w:lineRule="auto"/>
        <w:jc w:val="both"/>
        <w:rPr>
          <w:rFonts w:ascii="Arial" w:hAnsi="Arial" w:cs="Arial"/>
          <w:b/>
          <w:sz w:val="22"/>
          <w:szCs w:val="22"/>
        </w:rPr>
      </w:pPr>
    </w:p>
    <w:p w14:paraId="582E5FD7" w14:textId="77777777" w:rsidR="00366EB7" w:rsidRDefault="00366EB7" w:rsidP="006F1659">
      <w:pPr>
        <w:spacing w:line="360" w:lineRule="auto"/>
        <w:rPr>
          <w:rFonts w:ascii="Arial" w:eastAsia="Palatino Linotype" w:hAnsi="Arial" w:cs="Arial"/>
          <w:b/>
          <w:bCs/>
          <w:szCs w:val="28"/>
          <w:lang w:val="en-US"/>
        </w:rPr>
      </w:pPr>
      <w:bookmarkStart w:id="170" w:name="_Toc92894900"/>
      <w:bookmarkStart w:id="171" w:name="_Toc92895204"/>
      <w:bookmarkStart w:id="172" w:name="_Toc109922638"/>
      <w:r>
        <w:br w:type="page"/>
      </w:r>
    </w:p>
    <w:p w14:paraId="689A22A1" w14:textId="6BA5F17E" w:rsidR="007C0CAE" w:rsidRPr="0007572B" w:rsidRDefault="00884440" w:rsidP="006F1659">
      <w:pPr>
        <w:pStyle w:val="Heading3greennumbered"/>
        <w:spacing w:line="360" w:lineRule="auto"/>
      </w:pPr>
      <w:r w:rsidRPr="0007572B">
        <w:lastRenderedPageBreak/>
        <w:t>2</w:t>
      </w:r>
      <w:r w:rsidR="00D27132" w:rsidRPr="0007572B">
        <w:t>8</w:t>
      </w:r>
      <w:r w:rsidR="00CE6A00" w:rsidRPr="0007572B">
        <w:t xml:space="preserve"> Unusable Reserves</w:t>
      </w:r>
      <w:bookmarkEnd w:id="170"/>
      <w:bookmarkEnd w:id="171"/>
      <w:bookmarkEnd w:id="172"/>
    </w:p>
    <w:p w14:paraId="3288E6B4" w14:textId="15B88737" w:rsidR="00261260" w:rsidRDefault="00261260" w:rsidP="006F1659">
      <w:pPr>
        <w:spacing w:line="360" w:lineRule="auto"/>
        <w:jc w:val="both"/>
        <w:rPr>
          <w:rFonts w:ascii="Arial" w:hAnsi="Arial" w:cs="Arial"/>
          <w:b/>
          <w:sz w:val="22"/>
          <w:szCs w:val="22"/>
        </w:rPr>
      </w:pPr>
    </w:p>
    <w:p w14:paraId="48508093" w14:textId="22C9ABC9" w:rsidR="00C50B58" w:rsidRDefault="00F0507F" w:rsidP="006F1659">
      <w:pPr>
        <w:spacing w:line="360" w:lineRule="auto"/>
        <w:rPr>
          <w:rFonts w:ascii="Arial" w:hAnsi="Arial" w:cs="Arial"/>
          <w:b/>
        </w:rPr>
      </w:pPr>
      <w:r w:rsidRPr="00F0507F">
        <w:rPr>
          <w:noProof/>
        </w:rPr>
        <w:drawing>
          <wp:inline distT="0" distB="0" distL="0" distR="0" wp14:anchorId="37C22AC7" wp14:editId="09B76924">
            <wp:extent cx="5391150" cy="1377950"/>
            <wp:effectExtent l="0" t="0" r="0" b="0"/>
            <wp:docPr id="1664166136"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166136" name="Picture 47">
                      <a:extLst>
                        <a:ext uri="{C183D7F6-B498-43B3-948B-1728B52AA6E4}">
                          <adec:decorative xmlns:adec="http://schemas.microsoft.com/office/drawing/2017/decorative" val="1"/>
                        </a:ext>
                      </a:extLs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391150" cy="1377950"/>
                    </a:xfrm>
                    <a:prstGeom prst="rect">
                      <a:avLst/>
                    </a:prstGeom>
                    <a:noFill/>
                    <a:ln>
                      <a:noFill/>
                    </a:ln>
                  </pic:spPr>
                </pic:pic>
              </a:graphicData>
            </a:graphic>
          </wp:inline>
        </w:drawing>
      </w:r>
    </w:p>
    <w:p w14:paraId="20D19FE2" w14:textId="77777777" w:rsidR="00F0507F" w:rsidRPr="0007572B" w:rsidRDefault="00F0507F" w:rsidP="006F1659">
      <w:pPr>
        <w:spacing w:line="360" w:lineRule="auto"/>
        <w:rPr>
          <w:rFonts w:ascii="Arial" w:hAnsi="Arial" w:cs="Arial"/>
          <w:b/>
        </w:rPr>
      </w:pPr>
    </w:p>
    <w:p w14:paraId="2431EBE6" w14:textId="1D77A6DE" w:rsidR="007C45E2" w:rsidRPr="0007572B" w:rsidRDefault="00CE6A00" w:rsidP="006F1659">
      <w:pPr>
        <w:spacing w:line="360" w:lineRule="auto"/>
        <w:rPr>
          <w:rFonts w:ascii="Arial" w:hAnsi="Arial" w:cs="Arial"/>
        </w:rPr>
      </w:pPr>
      <w:r w:rsidRPr="0007572B">
        <w:rPr>
          <w:rFonts w:ascii="Arial" w:hAnsi="Arial" w:cs="Arial"/>
          <w:b/>
        </w:rPr>
        <w:t xml:space="preserve">The Capital Adjustment Account </w:t>
      </w:r>
      <w:r w:rsidR="00923E34" w:rsidRPr="0007572B">
        <w:rPr>
          <w:rFonts w:ascii="Arial" w:hAnsi="Arial" w:cs="Arial"/>
          <w:b/>
        </w:rPr>
        <w:t>(CAA)</w:t>
      </w:r>
      <w:r w:rsidR="00923E34" w:rsidRPr="0007572B">
        <w:rPr>
          <w:rFonts w:ascii="Arial" w:hAnsi="Arial" w:cs="Arial"/>
        </w:rPr>
        <w:t xml:space="preserve"> </w:t>
      </w:r>
      <w:r w:rsidRPr="0007572B">
        <w:rPr>
          <w:rFonts w:ascii="Arial" w:hAnsi="Arial" w:cs="Arial"/>
        </w:rPr>
        <w:t xml:space="preserve">absorbs the timing differences arising from the different arrangements for accounting for the consumption of non-current assets and for financing the acquisition, construction or enhancement of those assets under statutory provisions. </w:t>
      </w:r>
    </w:p>
    <w:p w14:paraId="2A339559" w14:textId="77777777" w:rsidR="007C45E2" w:rsidRPr="0007572B" w:rsidRDefault="007C45E2" w:rsidP="006F1659">
      <w:pPr>
        <w:spacing w:line="360" w:lineRule="auto"/>
        <w:jc w:val="both"/>
        <w:rPr>
          <w:rFonts w:ascii="Arial" w:hAnsi="Arial" w:cs="Arial"/>
        </w:rPr>
      </w:pPr>
    </w:p>
    <w:p w14:paraId="17F5330D" w14:textId="73E09E3C" w:rsidR="00CE6A00" w:rsidRDefault="00CE6A00" w:rsidP="006F1659">
      <w:pPr>
        <w:spacing w:line="360" w:lineRule="auto"/>
        <w:rPr>
          <w:rFonts w:ascii="Arial" w:hAnsi="Arial" w:cs="Arial"/>
        </w:rPr>
      </w:pPr>
      <w:r w:rsidRPr="0007572B">
        <w:rPr>
          <w:rFonts w:ascii="Arial" w:hAnsi="Arial" w:cs="Arial"/>
        </w:rPr>
        <w:t xml:space="preserve">The </w:t>
      </w:r>
      <w:r w:rsidR="00923E34" w:rsidRPr="0007572B">
        <w:rPr>
          <w:rFonts w:ascii="Arial" w:hAnsi="Arial" w:cs="Arial"/>
        </w:rPr>
        <w:t>CAA</w:t>
      </w:r>
      <w:r w:rsidRPr="0007572B">
        <w:rPr>
          <w:rFonts w:ascii="Arial" w:hAnsi="Arial" w:cs="Arial"/>
        </w:rPr>
        <w:t xml:space="preserve"> is debited with the cost of the capital grants payable to TfGM</w:t>
      </w:r>
      <w:r w:rsidR="00923E34" w:rsidRPr="0007572B">
        <w:rPr>
          <w:rFonts w:ascii="Arial" w:hAnsi="Arial" w:cs="Arial"/>
        </w:rPr>
        <w:t>,</w:t>
      </w:r>
      <w:r w:rsidRPr="0007572B">
        <w:rPr>
          <w:rFonts w:ascii="Arial" w:hAnsi="Arial" w:cs="Arial"/>
        </w:rPr>
        <w:t xml:space="preserve"> </w:t>
      </w:r>
      <w:r w:rsidR="002952F9" w:rsidRPr="0007572B">
        <w:rPr>
          <w:rFonts w:ascii="Arial" w:hAnsi="Arial" w:cs="Arial"/>
        </w:rPr>
        <w:t>GM Authorities</w:t>
      </w:r>
      <w:r w:rsidR="007C45E2" w:rsidRPr="0007572B">
        <w:rPr>
          <w:rFonts w:ascii="Arial" w:hAnsi="Arial" w:cs="Arial"/>
        </w:rPr>
        <w:t xml:space="preserve"> and other external organisations</w:t>
      </w:r>
      <w:r w:rsidR="00923E34" w:rsidRPr="0007572B">
        <w:rPr>
          <w:rFonts w:ascii="Arial" w:hAnsi="Arial" w:cs="Arial"/>
        </w:rPr>
        <w:t>,</w:t>
      </w:r>
      <w:r w:rsidRPr="0007572B">
        <w:rPr>
          <w:rFonts w:ascii="Arial" w:hAnsi="Arial" w:cs="Arial"/>
        </w:rPr>
        <w:t xml:space="preserve"> </w:t>
      </w:r>
      <w:r w:rsidR="007C45E2" w:rsidRPr="0007572B">
        <w:rPr>
          <w:rFonts w:ascii="Arial" w:hAnsi="Arial" w:cs="Arial"/>
        </w:rPr>
        <w:t>t</w:t>
      </w:r>
      <w:r w:rsidRPr="0007572B">
        <w:rPr>
          <w:rFonts w:ascii="Arial" w:hAnsi="Arial" w:cs="Arial"/>
        </w:rPr>
        <w:t xml:space="preserve">he annual depreciation charge and </w:t>
      </w:r>
      <w:r w:rsidR="00923E34" w:rsidRPr="0007572B">
        <w:rPr>
          <w:rFonts w:ascii="Arial" w:hAnsi="Arial" w:cs="Arial"/>
        </w:rPr>
        <w:t xml:space="preserve">any </w:t>
      </w:r>
      <w:r w:rsidRPr="0007572B">
        <w:rPr>
          <w:rFonts w:ascii="Arial" w:hAnsi="Arial" w:cs="Arial"/>
        </w:rPr>
        <w:t>los</w:t>
      </w:r>
      <w:r w:rsidR="007C45E2" w:rsidRPr="0007572B">
        <w:rPr>
          <w:rFonts w:ascii="Arial" w:hAnsi="Arial" w:cs="Arial"/>
        </w:rPr>
        <w:t>s on disposal of assets</w:t>
      </w:r>
      <w:r w:rsidR="00923E34" w:rsidRPr="0007572B">
        <w:rPr>
          <w:rFonts w:ascii="Arial" w:hAnsi="Arial" w:cs="Arial"/>
        </w:rPr>
        <w:t>. The CAA is</w:t>
      </w:r>
      <w:r w:rsidRPr="0007572B">
        <w:rPr>
          <w:rFonts w:ascii="Arial" w:hAnsi="Arial" w:cs="Arial"/>
        </w:rPr>
        <w:t xml:space="preserve"> credited with both the capital grants and contributions receivable and the amounts set aside by the Authority </w:t>
      </w:r>
      <w:r w:rsidR="00923E34" w:rsidRPr="0007572B">
        <w:rPr>
          <w:rFonts w:ascii="Arial" w:hAnsi="Arial" w:cs="Arial"/>
        </w:rPr>
        <w:t xml:space="preserve">to </w:t>
      </w:r>
      <w:r w:rsidR="00DA086E" w:rsidRPr="0007572B">
        <w:rPr>
          <w:rFonts w:ascii="Arial" w:hAnsi="Arial" w:cs="Arial"/>
        </w:rPr>
        <w:t xml:space="preserve">directly </w:t>
      </w:r>
      <w:r w:rsidRPr="0007572B">
        <w:rPr>
          <w:rFonts w:ascii="Arial" w:hAnsi="Arial" w:cs="Arial"/>
        </w:rPr>
        <w:t xml:space="preserve">finance </w:t>
      </w:r>
      <w:r w:rsidR="00FF27DD" w:rsidRPr="0007572B">
        <w:rPr>
          <w:rFonts w:ascii="Arial" w:hAnsi="Arial" w:cs="Arial"/>
        </w:rPr>
        <w:t xml:space="preserve">the </w:t>
      </w:r>
      <w:r w:rsidR="00DA086E" w:rsidRPr="0007572B">
        <w:rPr>
          <w:rFonts w:ascii="Arial" w:hAnsi="Arial" w:cs="Arial"/>
        </w:rPr>
        <w:t>capital</w:t>
      </w:r>
      <w:r w:rsidRPr="0007572B">
        <w:rPr>
          <w:rFonts w:ascii="Arial" w:hAnsi="Arial" w:cs="Arial"/>
        </w:rPr>
        <w:t xml:space="preserve"> costs of acquisition, construction and enhancement</w:t>
      </w:r>
      <w:r w:rsidR="007C45E2" w:rsidRPr="0007572B">
        <w:rPr>
          <w:rFonts w:ascii="Arial" w:hAnsi="Arial" w:cs="Arial"/>
        </w:rPr>
        <w:t xml:space="preserve"> of assets</w:t>
      </w:r>
      <w:r w:rsidRPr="0007572B">
        <w:rPr>
          <w:rFonts w:ascii="Arial" w:hAnsi="Arial" w:cs="Arial"/>
        </w:rPr>
        <w:t>.</w:t>
      </w:r>
    </w:p>
    <w:p w14:paraId="0B235A56" w14:textId="70A82011" w:rsidR="008249C0" w:rsidRDefault="008249C0" w:rsidP="006F1659">
      <w:pPr>
        <w:spacing w:line="360" w:lineRule="auto"/>
        <w:rPr>
          <w:rFonts w:ascii="Arial" w:hAnsi="Arial" w:cs="Arial"/>
        </w:rPr>
      </w:pPr>
    </w:p>
    <w:p w14:paraId="4531D042" w14:textId="71826ACC" w:rsidR="00451E80" w:rsidRPr="0007572B" w:rsidRDefault="00F0507F" w:rsidP="006F1659">
      <w:pPr>
        <w:spacing w:line="360" w:lineRule="auto"/>
        <w:rPr>
          <w:rFonts w:ascii="Arial" w:hAnsi="Arial" w:cs="Arial"/>
          <w:sz w:val="22"/>
          <w:szCs w:val="22"/>
        </w:rPr>
      </w:pPr>
      <w:r w:rsidRPr="00F0507F">
        <w:rPr>
          <w:noProof/>
        </w:rPr>
        <w:lastRenderedPageBreak/>
        <w:drawing>
          <wp:inline distT="0" distB="0" distL="0" distR="0" wp14:anchorId="4C621F41" wp14:editId="0280395C">
            <wp:extent cx="5956300" cy="5833504"/>
            <wp:effectExtent l="0" t="0" r="6350" b="0"/>
            <wp:docPr id="1534080334"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80334" name="Picture 48">
                      <a:extLst>
                        <a:ext uri="{C183D7F6-B498-43B3-948B-1728B52AA6E4}">
                          <adec:decorative xmlns:adec="http://schemas.microsoft.com/office/drawing/2017/decorative" val="1"/>
                        </a:ext>
                      </a:extLs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61277" cy="5838378"/>
                    </a:xfrm>
                    <a:prstGeom prst="rect">
                      <a:avLst/>
                    </a:prstGeom>
                    <a:noFill/>
                    <a:ln>
                      <a:noFill/>
                    </a:ln>
                  </pic:spPr>
                </pic:pic>
              </a:graphicData>
            </a:graphic>
          </wp:inline>
        </w:drawing>
      </w:r>
    </w:p>
    <w:p w14:paraId="7B7BDA75" w14:textId="63BD21FE" w:rsidR="00596963" w:rsidRPr="0007572B" w:rsidRDefault="00596963" w:rsidP="006F1659">
      <w:pPr>
        <w:spacing w:line="360" w:lineRule="auto"/>
        <w:rPr>
          <w:rFonts w:ascii="Arial" w:hAnsi="Arial" w:cs="Arial"/>
          <w:b/>
        </w:rPr>
      </w:pPr>
    </w:p>
    <w:p w14:paraId="0A605666" w14:textId="4B2E8AFD" w:rsidR="008249C0" w:rsidRDefault="00CE6A00" w:rsidP="006F1659">
      <w:pPr>
        <w:spacing w:line="360" w:lineRule="auto"/>
        <w:rPr>
          <w:rFonts w:ascii="Arial" w:hAnsi="Arial" w:cs="Arial"/>
        </w:rPr>
      </w:pPr>
      <w:r w:rsidRPr="0007572B">
        <w:rPr>
          <w:rFonts w:ascii="Arial" w:hAnsi="Arial" w:cs="Arial"/>
          <w:b/>
        </w:rPr>
        <w:t>The Financial Instruments Adjustment Account</w:t>
      </w:r>
      <w:r w:rsidRPr="0007572B">
        <w:rPr>
          <w:rFonts w:ascii="Arial" w:hAnsi="Arial" w:cs="Arial"/>
        </w:rPr>
        <w:t xml:space="preserve"> absorbs the timing differences arising from the different arrangements for accounting for income and expenses relating to certain financial instruments and for bearing losses or benefiting from g</w:t>
      </w:r>
      <w:r w:rsidR="00DA086E" w:rsidRPr="0007572B">
        <w:rPr>
          <w:rFonts w:ascii="Arial" w:hAnsi="Arial" w:cs="Arial"/>
        </w:rPr>
        <w:t xml:space="preserve">ains per statutory provisions. </w:t>
      </w:r>
    </w:p>
    <w:p w14:paraId="415D9FB2" w14:textId="77777777" w:rsidR="00F0507F" w:rsidRPr="00F0507F" w:rsidRDefault="00F0507F" w:rsidP="006F1659">
      <w:pPr>
        <w:spacing w:line="360" w:lineRule="auto"/>
        <w:rPr>
          <w:rFonts w:ascii="Arial" w:hAnsi="Arial" w:cs="Arial"/>
        </w:rPr>
      </w:pPr>
    </w:p>
    <w:p w14:paraId="23CC956B" w14:textId="324919F6" w:rsidR="00261260" w:rsidRDefault="00F0507F" w:rsidP="006F1659">
      <w:pPr>
        <w:spacing w:line="360" w:lineRule="auto"/>
        <w:jc w:val="both"/>
        <w:rPr>
          <w:rFonts w:ascii="Arial" w:hAnsi="Arial" w:cs="Arial"/>
          <w:b/>
          <w:sz w:val="22"/>
          <w:szCs w:val="22"/>
        </w:rPr>
      </w:pPr>
      <w:r w:rsidRPr="00F0507F">
        <w:rPr>
          <w:noProof/>
        </w:rPr>
        <w:drawing>
          <wp:inline distT="0" distB="0" distL="0" distR="0" wp14:anchorId="62795EF6" wp14:editId="0C253037">
            <wp:extent cx="5664200" cy="1324255"/>
            <wp:effectExtent l="0" t="0" r="0" b="9525"/>
            <wp:docPr id="1862238157"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238157" name="Picture 49">
                      <a:extLst>
                        <a:ext uri="{C183D7F6-B498-43B3-948B-1728B52AA6E4}">
                          <adec:decorative xmlns:adec="http://schemas.microsoft.com/office/drawing/2017/decorative" val="1"/>
                        </a:ext>
                      </a:extLs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671537" cy="1325970"/>
                    </a:xfrm>
                    <a:prstGeom prst="rect">
                      <a:avLst/>
                    </a:prstGeom>
                    <a:noFill/>
                    <a:ln>
                      <a:noFill/>
                    </a:ln>
                  </pic:spPr>
                </pic:pic>
              </a:graphicData>
            </a:graphic>
          </wp:inline>
        </w:drawing>
      </w:r>
    </w:p>
    <w:p w14:paraId="264E8925" w14:textId="77777777" w:rsidR="00F0507F" w:rsidRPr="0007572B" w:rsidRDefault="00F0507F" w:rsidP="006F1659">
      <w:pPr>
        <w:spacing w:line="360" w:lineRule="auto"/>
        <w:jc w:val="both"/>
        <w:rPr>
          <w:rFonts w:ascii="Arial" w:hAnsi="Arial" w:cs="Arial"/>
          <w:b/>
          <w:sz w:val="22"/>
          <w:szCs w:val="22"/>
        </w:rPr>
      </w:pPr>
    </w:p>
    <w:p w14:paraId="131CFF7E" w14:textId="477C307A" w:rsidR="008E2CB8" w:rsidRPr="00AD4769" w:rsidRDefault="008E2CB8" w:rsidP="006F1659">
      <w:pPr>
        <w:spacing w:line="360" w:lineRule="auto"/>
        <w:rPr>
          <w:rFonts w:ascii="Arial" w:hAnsi="Arial" w:cs="Arial"/>
        </w:rPr>
      </w:pPr>
      <w:r w:rsidRPr="00AD4769">
        <w:rPr>
          <w:rFonts w:ascii="Arial" w:hAnsi="Arial" w:cs="Arial"/>
        </w:rPr>
        <w:t xml:space="preserve">The movement in year is due to the Authority being in receipt of two loans from central government that are interest free for the purposes of </w:t>
      </w:r>
      <w:r w:rsidR="009D4BF0" w:rsidRPr="00AD4769">
        <w:rPr>
          <w:rFonts w:ascii="Arial" w:hAnsi="Arial" w:cs="Arial"/>
        </w:rPr>
        <w:t>HIF and City Deal</w:t>
      </w:r>
      <w:r w:rsidRPr="00AD4769">
        <w:rPr>
          <w:rFonts w:ascii="Arial" w:hAnsi="Arial" w:cs="Arial"/>
        </w:rPr>
        <w:t>. In accordance with statutory accounting requirements an effective interest rate has been calculated to enable the value of the financial assistance being provided to the GMCA on a net present value basis to be separated from the financing costs of the loan.</w:t>
      </w:r>
    </w:p>
    <w:p w14:paraId="5A824908" w14:textId="77777777" w:rsidR="008E2CB8" w:rsidRPr="00095267" w:rsidRDefault="008E2CB8" w:rsidP="006F1659">
      <w:pPr>
        <w:spacing w:line="360" w:lineRule="auto"/>
        <w:rPr>
          <w:rFonts w:ascii="Arial" w:hAnsi="Arial" w:cs="Arial"/>
          <w:highlight w:val="yellow"/>
        </w:rPr>
      </w:pPr>
    </w:p>
    <w:p w14:paraId="729F8F38" w14:textId="149962AB" w:rsidR="0043331B" w:rsidRPr="0007572B" w:rsidRDefault="008E2CB8" w:rsidP="006F1659">
      <w:pPr>
        <w:spacing w:line="360" w:lineRule="auto"/>
        <w:rPr>
          <w:rFonts w:ascii="Arial" w:hAnsi="Arial" w:cs="Arial"/>
        </w:rPr>
      </w:pPr>
      <w:r w:rsidRPr="00AD4769">
        <w:rPr>
          <w:rFonts w:ascii="Arial" w:hAnsi="Arial" w:cs="Arial"/>
        </w:rPr>
        <w:t>The effect of this in the accounts is to discount the value of the loans received using an interest rate at which the Authority could borrow from the Public Works Loan Board for a loan with similar terms. This will result in a lower figure for the fair value of the loan when it is initially recognised as received but each year an element of the full fair value discount will be written back. Thereby increasing the loan value on the balance sheet annually over the loan term. This will continue until the full loan value advanced is reflected in the balance sheet, which is the year repayment of the loan falls due.</w:t>
      </w:r>
    </w:p>
    <w:p w14:paraId="14C083A0" w14:textId="77777777" w:rsidR="008E2CB8" w:rsidRPr="0007572B" w:rsidRDefault="008E2CB8" w:rsidP="006F1659">
      <w:pPr>
        <w:spacing w:line="360" w:lineRule="auto"/>
        <w:rPr>
          <w:rFonts w:ascii="Arial" w:hAnsi="Arial" w:cs="Arial"/>
          <w:bCs/>
        </w:rPr>
      </w:pPr>
    </w:p>
    <w:p w14:paraId="0C6CF08E" w14:textId="56B7B46F" w:rsidR="007C45E2" w:rsidRDefault="00CE6A00" w:rsidP="006F1659">
      <w:pPr>
        <w:spacing w:line="360" w:lineRule="auto"/>
        <w:rPr>
          <w:rFonts w:ascii="Arial" w:hAnsi="Arial" w:cs="Arial"/>
        </w:rPr>
      </w:pPr>
      <w:r w:rsidRPr="0007572B">
        <w:rPr>
          <w:rFonts w:ascii="Arial" w:hAnsi="Arial" w:cs="Arial"/>
          <w:b/>
        </w:rPr>
        <w:t>The Pension Reserve</w:t>
      </w:r>
      <w:r w:rsidRPr="0007572B">
        <w:rPr>
          <w:rFonts w:ascii="Arial" w:hAnsi="Arial" w:cs="Arial"/>
        </w:rPr>
        <w:t xml:space="preserve"> relates to the net p</w:t>
      </w:r>
      <w:r w:rsidR="007C45E2" w:rsidRPr="0007572B">
        <w:rPr>
          <w:rFonts w:ascii="Arial" w:hAnsi="Arial" w:cs="Arial"/>
        </w:rPr>
        <w:t xml:space="preserve">ension asset as at 31 March </w:t>
      </w:r>
      <w:r w:rsidR="00502211">
        <w:rPr>
          <w:rFonts w:ascii="Arial" w:hAnsi="Arial" w:cs="Arial"/>
        </w:rPr>
        <w:t>202</w:t>
      </w:r>
      <w:r w:rsidR="00D25213">
        <w:rPr>
          <w:rFonts w:ascii="Arial" w:hAnsi="Arial" w:cs="Arial"/>
        </w:rPr>
        <w:t>4</w:t>
      </w:r>
      <w:r w:rsidR="0043331B" w:rsidRPr="0007572B">
        <w:rPr>
          <w:rFonts w:ascii="Arial" w:hAnsi="Arial" w:cs="Arial"/>
        </w:rPr>
        <w:t xml:space="preserve"> </w:t>
      </w:r>
      <w:r w:rsidRPr="0007572B">
        <w:rPr>
          <w:rFonts w:ascii="Arial" w:hAnsi="Arial" w:cs="Arial"/>
        </w:rPr>
        <w:t>in accordance with the actuary's report.</w:t>
      </w:r>
    </w:p>
    <w:p w14:paraId="5515F276" w14:textId="77777777" w:rsidR="00943897" w:rsidRDefault="00943897" w:rsidP="006F1659">
      <w:pPr>
        <w:spacing w:line="360" w:lineRule="auto"/>
        <w:rPr>
          <w:noProof/>
        </w:rPr>
      </w:pPr>
    </w:p>
    <w:p w14:paraId="50459F9C" w14:textId="0AECF74C" w:rsidR="00F0507F" w:rsidRDefault="00C90EF9" w:rsidP="006F1659">
      <w:pPr>
        <w:spacing w:line="360" w:lineRule="auto"/>
        <w:rPr>
          <w:rFonts w:ascii="Arial" w:hAnsi="Arial" w:cs="Arial"/>
          <w:b/>
        </w:rPr>
      </w:pPr>
      <w:r w:rsidRPr="00C90EF9">
        <w:rPr>
          <w:noProof/>
        </w:rPr>
        <w:drawing>
          <wp:inline distT="0" distB="0" distL="0" distR="0" wp14:anchorId="3F4E6AE7" wp14:editId="63786F69">
            <wp:extent cx="5975350" cy="1273175"/>
            <wp:effectExtent l="0" t="0" r="6350" b="3175"/>
            <wp:docPr id="2101052566"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052566" name="Picture 57">
                      <a:extLst>
                        <a:ext uri="{C183D7F6-B498-43B3-948B-1728B52AA6E4}">
                          <adec:decorative xmlns:adec="http://schemas.microsoft.com/office/drawing/2017/decorative" val="1"/>
                        </a:ext>
                      </a:extLs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75350" cy="1273175"/>
                    </a:xfrm>
                    <a:prstGeom prst="rect">
                      <a:avLst/>
                    </a:prstGeom>
                    <a:noFill/>
                    <a:ln>
                      <a:noFill/>
                    </a:ln>
                  </pic:spPr>
                </pic:pic>
              </a:graphicData>
            </a:graphic>
          </wp:inline>
        </w:drawing>
      </w:r>
    </w:p>
    <w:p w14:paraId="10B8825D" w14:textId="77777777" w:rsidR="00F0507F" w:rsidRDefault="00F0507F" w:rsidP="006F1659">
      <w:pPr>
        <w:spacing w:line="360" w:lineRule="auto"/>
        <w:rPr>
          <w:rFonts w:ascii="Arial" w:hAnsi="Arial" w:cs="Arial"/>
          <w:b/>
        </w:rPr>
      </w:pPr>
    </w:p>
    <w:p w14:paraId="2699A3A3" w14:textId="3CEFC2EE" w:rsidR="007A2501" w:rsidRPr="0007572B" w:rsidRDefault="00746C9C" w:rsidP="006F1659">
      <w:pPr>
        <w:spacing w:line="360" w:lineRule="auto"/>
        <w:rPr>
          <w:rFonts w:ascii="Arial" w:hAnsi="Arial" w:cs="Arial"/>
        </w:rPr>
      </w:pPr>
      <w:r w:rsidRPr="0007572B">
        <w:rPr>
          <w:rFonts w:ascii="Arial" w:hAnsi="Arial" w:cs="Arial"/>
          <w:b/>
        </w:rPr>
        <w:t>T</w:t>
      </w:r>
      <w:r w:rsidR="007A2501" w:rsidRPr="0007572B">
        <w:rPr>
          <w:rFonts w:ascii="Arial" w:hAnsi="Arial" w:cs="Arial"/>
          <w:b/>
        </w:rPr>
        <w:t>he Revaluation Reserve</w:t>
      </w:r>
      <w:r w:rsidR="007A2501" w:rsidRPr="0007572B">
        <w:rPr>
          <w:rFonts w:ascii="Arial" w:hAnsi="Arial" w:cs="Arial"/>
        </w:rPr>
        <w:t xml:space="preserve"> contains the gains made by the Authority arising from increases in the value of Property, Plant and Equipment. The balance reduces when assets with accumulated gains are reduced through revaluation, impairment and depreciation or are disposed of.</w:t>
      </w:r>
    </w:p>
    <w:p w14:paraId="7D7291B5" w14:textId="77777777" w:rsidR="00EC4504" w:rsidRDefault="00EC4504" w:rsidP="006F1659">
      <w:pPr>
        <w:spacing w:line="360" w:lineRule="auto"/>
        <w:jc w:val="both"/>
        <w:rPr>
          <w:noProof/>
        </w:rPr>
      </w:pPr>
    </w:p>
    <w:p w14:paraId="5FBC18D5" w14:textId="1F3D7A8A" w:rsidR="00F0507F" w:rsidRDefault="00F0507F" w:rsidP="006F1659">
      <w:pPr>
        <w:spacing w:line="360" w:lineRule="auto"/>
        <w:jc w:val="both"/>
        <w:rPr>
          <w:noProof/>
        </w:rPr>
      </w:pPr>
      <w:r w:rsidRPr="00F0507F">
        <w:rPr>
          <w:noProof/>
        </w:rPr>
        <w:lastRenderedPageBreak/>
        <w:drawing>
          <wp:inline distT="0" distB="0" distL="0" distR="0" wp14:anchorId="7869BF84" wp14:editId="03B1F4D9">
            <wp:extent cx="5943600" cy="2463800"/>
            <wp:effectExtent l="0" t="0" r="0" b="0"/>
            <wp:docPr id="1792009003"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009003" name="Picture 52">
                      <a:extLst>
                        <a:ext uri="{C183D7F6-B498-43B3-948B-1728B52AA6E4}">
                          <adec:decorative xmlns:adec="http://schemas.microsoft.com/office/drawing/2017/decorative" val="1"/>
                        </a:ext>
                      </a:extLs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43600" cy="2463800"/>
                    </a:xfrm>
                    <a:prstGeom prst="rect">
                      <a:avLst/>
                    </a:prstGeom>
                    <a:noFill/>
                    <a:ln>
                      <a:noFill/>
                    </a:ln>
                  </pic:spPr>
                </pic:pic>
              </a:graphicData>
            </a:graphic>
          </wp:inline>
        </w:drawing>
      </w:r>
    </w:p>
    <w:p w14:paraId="143D9E08" w14:textId="77777777" w:rsidR="00F0507F" w:rsidRDefault="00F0507F" w:rsidP="006F1659">
      <w:pPr>
        <w:spacing w:line="360" w:lineRule="auto"/>
        <w:jc w:val="both"/>
        <w:rPr>
          <w:rFonts w:ascii="Arial" w:hAnsi="Arial" w:cs="Arial"/>
          <w:sz w:val="22"/>
          <w:szCs w:val="22"/>
        </w:rPr>
      </w:pPr>
    </w:p>
    <w:p w14:paraId="63E2E484" w14:textId="71C738DD" w:rsidR="00084476" w:rsidRPr="0007572B" w:rsidRDefault="00084476" w:rsidP="006F1659">
      <w:pPr>
        <w:spacing w:line="360" w:lineRule="auto"/>
        <w:rPr>
          <w:rFonts w:ascii="Arial" w:hAnsi="Arial" w:cs="Arial"/>
        </w:rPr>
      </w:pPr>
      <w:r w:rsidRPr="0007572B">
        <w:rPr>
          <w:rFonts w:ascii="Arial" w:hAnsi="Arial" w:cs="Arial"/>
          <w:b/>
        </w:rPr>
        <w:t xml:space="preserve">The Financial Instruments Revaluation Reserve </w:t>
      </w:r>
      <w:r w:rsidRPr="0007572B">
        <w:rPr>
          <w:rFonts w:ascii="Arial" w:hAnsi="Arial" w:cs="Arial"/>
        </w:rPr>
        <w:t>contains the gains made by</w:t>
      </w:r>
      <w:r w:rsidRPr="0007572B">
        <w:rPr>
          <w:rFonts w:ascii="Arial" w:hAnsi="Arial" w:cs="Arial"/>
          <w:b/>
        </w:rPr>
        <w:t xml:space="preserve"> </w:t>
      </w:r>
      <w:r w:rsidRPr="0007572B">
        <w:rPr>
          <w:rFonts w:ascii="Arial" w:hAnsi="Arial" w:cs="Arial"/>
        </w:rPr>
        <w:t xml:space="preserve">the </w:t>
      </w:r>
      <w:r w:rsidR="00D952FE" w:rsidRPr="0007572B">
        <w:rPr>
          <w:rFonts w:ascii="Arial" w:hAnsi="Arial" w:cs="Arial"/>
        </w:rPr>
        <w:t>A</w:t>
      </w:r>
      <w:r w:rsidRPr="0007572B">
        <w:rPr>
          <w:rFonts w:ascii="Arial" w:hAnsi="Arial" w:cs="Arial"/>
        </w:rPr>
        <w:t xml:space="preserve">uthority arising from increases in the fair value of its investments that are measured at fair value through other comprehensive income. </w:t>
      </w:r>
    </w:p>
    <w:p w14:paraId="07CEE264" w14:textId="3DFDD30C" w:rsidR="004C6295" w:rsidRPr="0007572B" w:rsidRDefault="004C6295" w:rsidP="006F1659">
      <w:pPr>
        <w:spacing w:line="360" w:lineRule="auto"/>
        <w:rPr>
          <w:rFonts w:ascii="Arial" w:hAnsi="Arial" w:cs="Arial"/>
        </w:rPr>
      </w:pPr>
    </w:p>
    <w:p w14:paraId="5B338998" w14:textId="4E1E9F37" w:rsidR="00084476" w:rsidRPr="0007572B" w:rsidRDefault="00084476" w:rsidP="006F1659">
      <w:pPr>
        <w:spacing w:line="360" w:lineRule="auto"/>
        <w:rPr>
          <w:rFonts w:ascii="Arial" w:hAnsi="Arial" w:cs="Arial"/>
        </w:rPr>
      </w:pPr>
      <w:r w:rsidRPr="0007572B">
        <w:rPr>
          <w:rFonts w:ascii="Arial" w:hAnsi="Arial" w:cs="Arial"/>
        </w:rPr>
        <w:t>The balance is reduced when investments with accumulated gains are:</w:t>
      </w:r>
    </w:p>
    <w:p w14:paraId="633280A8" w14:textId="77777777" w:rsidR="00084476" w:rsidRPr="0007572B" w:rsidRDefault="00084476" w:rsidP="006F1659">
      <w:pPr>
        <w:spacing w:line="360" w:lineRule="auto"/>
        <w:rPr>
          <w:rFonts w:ascii="Arial" w:hAnsi="Arial" w:cs="Arial"/>
        </w:rPr>
      </w:pPr>
    </w:p>
    <w:p w14:paraId="237E9136" w14:textId="04895F4C" w:rsidR="00084476" w:rsidRPr="0007572B" w:rsidRDefault="00084476" w:rsidP="006F1659">
      <w:pPr>
        <w:pStyle w:val="ListParagraph"/>
        <w:numPr>
          <w:ilvl w:val="1"/>
          <w:numId w:val="52"/>
        </w:numPr>
        <w:spacing w:line="360" w:lineRule="auto"/>
        <w:rPr>
          <w:rFonts w:ascii="Arial" w:hAnsi="Arial" w:cs="Arial"/>
          <w:sz w:val="24"/>
          <w:szCs w:val="24"/>
        </w:rPr>
      </w:pPr>
      <w:r w:rsidRPr="0007572B">
        <w:rPr>
          <w:rFonts w:ascii="Arial" w:hAnsi="Arial" w:cs="Arial"/>
          <w:sz w:val="24"/>
          <w:szCs w:val="24"/>
        </w:rPr>
        <w:t>Revalued downwards, or impaired and gains are lost</w:t>
      </w:r>
      <w:r w:rsidR="00542C78">
        <w:rPr>
          <w:rFonts w:ascii="Arial" w:hAnsi="Arial" w:cs="Arial"/>
          <w:sz w:val="24"/>
          <w:szCs w:val="24"/>
        </w:rPr>
        <w:t>;</w:t>
      </w:r>
    </w:p>
    <w:p w14:paraId="499598D6" w14:textId="77777777" w:rsidR="00084476" w:rsidRPr="0007572B" w:rsidRDefault="00084476" w:rsidP="006F1659">
      <w:pPr>
        <w:pStyle w:val="ListParagraph"/>
        <w:numPr>
          <w:ilvl w:val="1"/>
          <w:numId w:val="52"/>
        </w:numPr>
        <w:spacing w:line="360" w:lineRule="auto"/>
        <w:rPr>
          <w:rFonts w:ascii="Arial" w:hAnsi="Arial" w:cs="Arial"/>
          <w:sz w:val="24"/>
          <w:szCs w:val="24"/>
        </w:rPr>
      </w:pPr>
      <w:r w:rsidRPr="0007572B">
        <w:rPr>
          <w:rFonts w:ascii="Arial" w:hAnsi="Arial" w:cs="Arial"/>
          <w:sz w:val="24"/>
          <w:szCs w:val="24"/>
        </w:rPr>
        <w:t>Disposed of and the gains are realised.</w:t>
      </w:r>
    </w:p>
    <w:p w14:paraId="39AE18A4" w14:textId="044D5C09" w:rsidR="006E6C8E" w:rsidRPr="0007572B" w:rsidRDefault="006E6C8E" w:rsidP="006F1659">
      <w:pPr>
        <w:spacing w:line="360" w:lineRule="auto"/>
        <w:jc w:val="both"/>
        <w:rPr>
          <w:rFonts w:ascii="Arial" w:hAnsi="Arial" w:cs="Arial"/>
          <w:b/>
          <w:sz w:val="22"/>
          <w:szCs w:val="22"/>
        </w:rPr>
      </w:pPr>
    </w:p>
    <w:p w14:paraId="1B8F1B63" w14:textId="5A503222" w:rsidR="0038082E" w:rsidRDefault="00F0507F" w:rsidP="006F1659">
      <w:pPr>
        <w:spacing w:line="360" w:lineRule="auto"/>
        <w:rPr>
          <w:rFonts w:ascii="Arial" w:hAnsi="Arial" w:cs="Arial"/>
          <w:b/>
        </w:rPr>
      </w:pPr>
      <w:r w:rsidRPr="00F0507F">
        <w:rPr>
          <w:noProof/>
        </w:rPr>
        <w:drawing>
          <wp:inline distT="0" distB="0" distL="0" distR="0" wp14:anchorId="772E7001" wp14:editId="5D0AD6D6">
            <wp:extent cx="5905500" cy="1511300"/>
            <wp:effectExtent l="0" t="0" r="0" b="0"/>
            <wp:docPr id="337476319"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476319" name="Picture 53">
                      <a:extLst>
                        <a:ext uri="{C183D7F6-B498-43B3-948B-1728B52AA6E4}">
                          <adec:decorative xmlns:adec="http://schemas.microsoft.com/office/drawing/2017/decorative" val="1"/>
                        </a:ext>
                      </a:extLs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05500" cy="1511300"/>
                    </a:xfrm>
                    <a:prstGeom prst="rect">
                      <a:avLst/>
                    </a:prstGeom>
                    <a:noFill/>
                    <a:ln>
                      <a:noFill/>
                    </a:ln>
                  </pic:spPr>
                </pic:pic>
              </a:graphicData>
            </a:graphic>
          </wp:inline>
        </w:drawing>
      </w:r>
    </w:p>
    <w:p w14:paraId="070FEDD9" w14:textId="77777777" w:rsidR="00F0507F" w:rsidRDefault="00F0507F" w:rsidP="006F1659">
      <w:pPr>
        <w:spacing w:line="360" w:lineRule="auto"/>
        <w:rPr>
          <w:rFonts w:ascii="Arial" w:hAnsi="Arial" w:cs="Arial"/>
          <w:b/>
        </w:rPr>
      </w:pPr>
    </w:p>
    <w:p w14:paraId="29F36C29" w14:textId="23A211BC" w:rsidR="007A2501" w:rsidRPr="0007572B" w:rsidRDefault="007A2501" w:rsidP="006F1659">
      <w:pPr>
        <w:spacing w:line="360" w:lineRule="auto"/>
        <w:rPr>
          <w:rFonts w:ascii="Arial" w:hAnsi="Arial" w:cs="Arial"/>
        </w:rPr>
      </w:pPr>
      <w:r w:rsidRPr="0007572B">
        <w:rPr>
          <w:rFonts w:ascii="Arial" w:hAnsi="Arial" w:cs="Arial"/>
          <w:b/>
        </w:rPr>
        <w:t>The Collection Fund Adjustment Account</w:t>
      </w:r>
      <w:r w:rsidRPr="0007572B">
        <w:rPr>
          <w:rFonts w:ascii="Arial" w:hAnsi="Arial" w:cs="Arial"/>
        </w:rPr>
        <w:t xml:space="preserve"> manages the differences arising from the recognition of the Authority’s portion of council tax income and national non</w:t>
      </w:r>
      <w:r w:rsidR="000C364F" w:rsidRPr="0007572B">
        <w:rPr>
          <w:rFonts w:ascii="Arial" w:hAnsi="Arial" w:cs="Arial"/>
        </w:rPr>
        <w:t>-</w:t>
      </w:r>
      <w:r w:rsidRPr="0007572B">
        <w:rPr>
          <w:rFonts w:ascii="Arial" w:hAnsi="Arial" w:cs="Arial"/>
        </w:rPr>
        <w:t>domestic rates income in the CIES as it falls due from payers compared with statutory arrangements for paying across amounts due to the Authority from billing authorities.</w:t>
      </w:r>
    </w:p>
    <w:p w14:paraId="7A892DC5" w14:textId="77777777" w:rsidR="00261260" w:rsidRPr="0007572B" w:rsidRDefault="00261260" w:rsidP="006F1659">
      <w:pPr>
        <w:spacing w:line="360" w:lineRule="auto"/>
        <w:jc w:val="both"/>
        <w:rPr>
          <w:rFonts w:ascii="Arial" w:hAnsi="Arial" w:cs="Arial"/>
          <w:b/>
        </w:rPr>
      </w:pPr>
    </w:p>
    <w:p w14:paraId="7BADC657" w14:textId="1E401AD6" w:rsidR="00B61F27" w:rsidRPr="0007572B" w:rsidRDefault="00F0507F" w:rsidP="006F1659">
      <w:pPr>
        <w:spacing w:line="360" w:lineRule="auto"/>
        <w:jc w:val="both"/>
        <w:rPr>
          <w:rFonts w:ascii="Arial" w:hAnsi="Arial" w:cs="Arial"/>
          <w:b/>
          <w:sz w:val="22"/>
          <w:szCs w:val="22"/>
        </w:rPr>
      </w:pPr>
      <w:r w:rsidRPr="00F0507F">
        <w:rPr>
          <w:noProof/>
        </w:rPr>
        <w:lastRenderedPageBreak/>
        <w:drawing>
          <wp:inline distT="0" distB="0" distL="0" distR="0" wp14:anchorId="0C8C8598" wp14:editId="03E0BDD1">
            <wp:extent cx="5975350" cy="958850"/>
            <wp:effectExtent l="0" t="0" r="6350" b="0"/>
            <wp:docPr id="1582405286"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405286" name="Picture 54">
                      <a:extLst>
                        <a:ext uri="{C183D7F6-B498-43B3-948B-1728B52AA6E4}">
                          <adec:decorative xmlns:adec="http://schemas.microsoft.com/office/drawing/2017/decorative" val="1"/>
                        </a:ext>
                      </a:extLs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75350" cy="958850"/>
                    </a:xfrm>
                    <a:prstGeom prst="rect">
                      <a:avLst/>
                    </a:prstGeom>
                    <a:noFill/>
                    <a:ln>
                      <a:noFill/>
                    </a:ln>
                  </pic:spPr>
                </pic:pic>
              </a:graphicData>
            </a:graphic>
          </wp:inline>
        </w:drawing>
      </w:r>
    </w:p>
    <w:p w14:paraId="3AD80067" w14:textId="6F2C6166" w:rsidR="004254CB" w:rsidRPr="0007572B" w:rsidRDefault="004254CB" w:rsidP="006F1659">
      <w:pPr>
        <w:spacing w:line="360" w:lineRule="auto"/>
        <w:jc w:val="both"/>
        <w:rPr>
          <w:rFonts w:ascii="Arial" w:hAnsi="Arial" w:cs="Arial"/>
          <w:b/>
        </w:rPr>
      </w:pPr>
    </w:p>
    <w:p w14:paraId="48EAA31C" w14:textId="2F49DDA6" w:rsidR="007A2501" w:rsidRPr="0007572B" w:rsidRDefault="007A2501" w:rsidP="006F1659">
      <w:pPr>
        <w:spacing w:line="360" w:lineRule="auto"/>
        <w:rPr>
          <w:rFonts w:ascii="Arial" w:hAnsi="Arial" w:cs="Arial"/>
        </w:rPr>
      </w:pPr>
      <w:r w:rsidRPr="0007572B">
        <w:rPr>
          <w:rFonts w:ascii="Arial" w:hAnsi="Arial" w:cs="Arial"/>
          <w:b/>
        </w:rPr>
        <w:t>The Deferred Capital Receipts Reserve</w:t>
      </w:r>
      <w:r w:rsidR="00CB4C9A" w:rsidRPr="0007572B">
        <w:rPr>
          <w:rFonts w:ascii="Arial" w:hAnsi="Arial" w:cs="Arial"/>
        </w:rPr>
        <w:t xml:space="preserve"> holds the gains recognised on the disposal of non</w:t>
      </w:r>
      <w:r w:rsidR="00DD7CAF" w:rsidRPr="0007572B">
        <w:rPr>
          <w:rFonts w:ascii="Arial" w:hAnsi="Arial" w:cs="Arial"/>
        </w:rPr>
        <w:t>-</w:t>
      </w:r>
      <w:r w:rsidR="00CB4C9A" w:rsidRPr="0007572B">
        <w:rPr>
          <w:rFonts w:ascii="Arial" w:hAnsi="Arial" w:cs="Arial"/>
        </w:rPr>
        <w:t>current assets but for which the cash settlement has yet to take place.</w:t>
      </w:r>
    </w:p>
    <w:p w14:paraId="6C804807" w14:textId="77777777" w:rsidR="00261260" w:rsidRPr="0007572B" w:rsidRDefault="00261260" w:rsidP="006F1659">
      <w:pPr>
        <w:spacing w:line="360" w:lineRule="auto"/>
        <w:jc w:val="both"/>
        <w:rPr>
          <w:rFonts w:ascii="Arial" w:hAnsi="Arial" w:cs="Arial"/>
          <w:b/>
        </w:rPr>
      </w:pPr>
    </w:p>
    <w:p w14:paraId="6315467D" w14:textId="7BE1F00B" w:rsidR="00746C9C" w:rsidRDefault="00F0507F" w:rsidP="006F1659">
      <w:pPr>
        <w:spacing w:line="360" w:lineRule="auto"/>
        <w:rPr>
          <w:rFonts w:ascii="Arial" w:hAnsi="Arial" w:cs="Arial"/>
          <w:sz w:val="22"/>
          <w:szCs w:val="22"/>
        </w:rPr>
      </w:pPr>
      <w:r w:rsidRPr="00F0507F">
        <w:rPr>
          <w:noProof/>
        </w:rPr>
        <w:drawing>
          <wp:inline distT="0" distB="0" distL="0" distR="0" wp14:anchorId="0DB2BFB0" wp14:editId="7BDB6256">
            <wp:extent cx="5600700" cy="742950"/>
            <wp:effectExtent l="0" t="0" r="0" b="0"/>
            <wp:docPr id="522994252"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994252" name="Picture 55">
                      <a:extLst>
                        <a:ext uri="{C183D7F6-B498-43B3-948B-1728B52AA6E4}">
                          <adec:decorative xmlns:adec="http://schemas.microsoft.com/office/drawing/2017/decorative" val="1"/>
                        </a:ext>
                      </a:extLs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600700" cy="742950"/>
                    </a:xfrm>
                    <a:prstGeom prst="rect">
                      <a:avLst/>
                    </a:prstGeom>
                    <a:noFill/>
                    <a:ln>
                      <a:noFill/>
                    </a:ln>
                  </pic:spPr>
                </pic:pic>
              </a:graphicData>
            </a:graphic>
          </wp:inline>
        </w:drawing>
      </w:r>
    </w:p>
    <w:p w14:paraId="59E5D76A" w14:textId="4FFF1C37" w:rsidR="00366EB7" w:rsidRDefault="00366EB7" w:rsidP="006F1659">
      <w:pPr>
        <w:spacing w:line="360" w:lineRule="auto"/>
        <w:rPr>
          <w:rFonts w:ascii="Arial" w:hAnsi="Arial" w:cs="Arial"/>
          <w:sz w:val="22"/>
          <w:szCs w:val="22"/>
        </w:rPr>
      </w:pPr>
      <w:bookmarkStart w:id="173" w:name="_Toc92894901"/>
      <w:bookmarkStart w:id="174" w:name="_Toc92895205"/>
      <w:bookmarkStart w:id="175" w:name="_Toc109922639"/>
    </w:p>
    <w:p w14:paraId="210A2081" w14:textId="77777777" w:rsidR="00DA17A8" w:rsidRDefault="00DA17A8" w:rsidP="006F1659">
      <w:pPr>
        <w:spacing w:line="360" w:lineRule="auto"/>
        <w:rPr>
          <w:rFonts w:ascii="Arial" w:eastAsia="Palatino Linotype" w:hAnsi="Arial" w:cs="Arial"/>
          <w:b/>
          <w:bCs/>
          <w:szCs w:val="28"/>
          <w:lang w:val="en-US"/>
        </w:rPr>
      </w:pPr>
    </w:p>
    <w:p w14:paraId="14C60ACD" w14:textId="05319320" w:rsidR="004047A3" w:rsidRPr="0007572B" w:rsidRDefault="00680267" w:rsidP="006F1659">
      <w:pPr>
        <w:pStyle w:val="Heading3greennumbered"/>
        <w:spacing w:line="360" w:lineRule="auto"/>
      </w:pPr>
      <w:r w:rsidRPr="0007572B">
        <w:t>2</w:t>
      </w:r>
      <w:r w:rsidR="00876B48" w:rsidRPr="0007572B">
        <w:t>9</w:t>
      </w:r>
      <w:r w:rsidR="004047A3" w:rsidRPr="0007572B">
        <w:t xml:space="preserve"> Financial Instruments</w:t>
      </w:r>
      <w:bookmarkEnd w:id="173"/>
      <w:bookmarkEnd w:id="174"/>
      <w:bookmarkEnd w:id="175"/>
    </w:p>
    <w:p w14:paraId="7E71DC98" w14:textId="77777777" w:rsidR="00D4492C" w:rsidRDefault="00D4492C" w:rsidP="006F1659">
      <w:pPr>
        <w:spacing w:line="360" w:lineRule="auto"/>
        <w:rPr>
          <w:rFonts w:ascii="Arial" w:hAnsi="Arial" w:cs="Arial"/>
        </w:rPr>
      </w:pPr>
    </w:p>
    <w:p w14:paraId="68F5CE19" w14:textId="7128AFE6" w:rsidR="00CB45BA" w:rsidRDefault="00CB45BA" w:rsidP="006F1659">
      <w:pPr>
        <w:spacing w:line="360" w:lineRule="auto"/>
        <w:rPr>
          <w:rFonts w:ascii="Arial" w:hAnsi="Arial" w:cs="Arial"/>
        </w:rPr>
      </w:pPr>
      <w:r w:rsidRPr="0007572B">
        <w:rPr>
          <w:rFonts w:ascii="Arial" w:hAnsi="Arial" w:cs="Arial"/>
        </w:rPr>
        <w:t>Financial Instruments include the financial assets and liabilities of the Authority. These appear in different sections of the Balance Sheet depending on their characteristics.</w:t>
      </w:r>
    </w:p>
    <w:p w14:paraId="40F0EDFC" w14:textId="77777777" w:rsidR="00D4492C" w:rsidRPr="0007572B" w:rsidRDefault="00D4492C" w:rsidP="006F1659">
      <w:pPr>
        <w:spacing w:line="360" w:lineRule="auto"/>
        <w:rPr>
          <w:rFonts w:ascii="Arial" w:hAnsi="Arial" w:cs="Arial"/>
        </w:rPr>
      </w:pPr>
    </w:p>
    <w:p w14:paraId="1D42A32A" w14:textId="5909EF96" w:rsidR="000E2349" w:rsidRPr="0007572B" w:rsidRDefault="000E2349" w:rsidP="006F1659">
      <w:pPr>
        <w:pStyle w:val="Heading4bold"/>
        <w:spacing w:line="360" w:lineRule="auto"/>
      </w:pPr>
      <w:r w:rsidRPr="0007572B">
        <w:t>Categories of Financial Instruments</w:t>
      </w:r>
    </w:p>
    <w:p w14:paraId="207A3330" w14:textId="77777777" w:rsidR="000E2349" w:rsidRPr="0007572B" w:rsidRDefault="000E2349" w:rsidP="006F1659">
      <w:pPr>
        <w:spacing w:line="360" w:lineRule="auto"/>
        <w:rPr>
          <w:rFonts w:ascii="Arial" w:hAnsi="Arial" w:cs="Arial"/>
        </w:rPr>
      </w:pPr>
    </w:p>
    <w:p w14:paraId="0B0A835F" w14:textId="5422BBF4" w:rsidR="000E2349" w:rsidRPr="0007572B" w:rsidRDefault="000E2349" w:rsidP="006F1659">
      <w:pPr>
        <w:spacing w:line="360" w:lineRule="auto"/>
        <w:rPr>
          <w:rFonts w:ascii="Arial" w:hAnsi="Arial" w:cs="Arial"/>
        </w:rPr>
      </w:pPr>
      <w:r w:rsidRPr="0007572B">
        <w:rPr>
          <w:rFonts w:ascii="Arial" w:hAnsi="Arial" w:cs="Arial"/>
        </w:rPr>
        <w:t xml:space="preserve">The Authority is required to classify its financial assets into one of three categories. </w:t>
      </w:r>
    </w:p>
    <w:p w14:paraId="2D5E7934" w14:textId="77777777" w:rsidR="000E2349" w:rsidRPr="0007572B" w:rsidRDefault="000E2349" w:rsidP="006F1659">
      <w:pPr>
        <w:spacing w:line="360" w:lineRule="auto"/>
        <w:jc w:val="both"/>
        <w:rPr>
          <w:rFonts w:ascii="Arial" w:hAnsi="Arial" w:cs="Arial"/>
        </w:rPr>
      </w:pPr>
    </w:p>
    <w:p w14:paraId="1C5C8161" w14:textId="77777777" w:rsidR="000E2349" w:rsidRPr="0007572B" w:rsidRDefault="000E2349" w:rsidP="006F1659">
      <w:pPr>
        <w:pStyle w:val="ListParagraph"/>
        <w:numPr>
          <w:ilvl w:val="0"/>
          <w:numId w:val="42"/>
        </w:numPr>
        <w:spacing w:line="360" w:lineRule="auto"/>
        <w:rPr>
          <w:rFonts w:ascii="Arial" w:hAnsi="Arial" w:cs="Arial"/>
          <w:sz w:val="24"/>
          <w:szCs w:val="24"/>
        </w:rPr>
      </w:pPr>
      <w:r w:rsidRPr="0007572B">
        <w:rPr>
          <w:rFonts w:ascii="Arial" w:hAnsi="Arial" w:cs="Arial"/>
          <w:sz w:val="24"/>
          <w:szCs w:val="24"/>
        </w:rPr>
        <w:t>Financial Assets held at amortised cost. These assets relate to instruments where the amount received relating to them are solely principal and interest and they are held to generate cashflows. The amount presented in the balance sheet represents the outstanding principal plus any accrued interest. Interest credited to CIES is the amount receivable as per the instrument’s agreement.</w:t>
      </w:r>
    </w:p>
    <w:p w14:paraId="23DC36A3" w14:textId="77777777" w:rsidR="000E2349" w:rsidRPr="0007572B" w:rsidRDefault="000E2349" w:rsidP="006F1659">
      <w:pPr>
        <w:pStyle w:val="ListParagraph"/>
        <w:spacing w:line="360" w:lineRule="auto"/>
        <w:ind w:left="360"/>
        <w:rPr>
          <w:rFonts w:ascii="Arial" w:hAnsi="Arial" w:cs="Arial"/>
          <w:sz w:val="24"/>
          <w:szCs w:val="24"/>
        </w:rPr>
      </w:pPr>
    </w:p>
    <w:p w14:paraId="5228E13B" w14:textId="77777777" w:rsidR="000E2349" w:rsidRPr="0007572B" w:rsidRDefault="000E2349" w:rsidP="006F1659">
      <w:pPr>
        <w:pStyle w:val="ListParagraph"/>
        <w:numPr>
          <w:ilvl w:val="0"/>
          <w:numId w:val="42"/>
        </w:numPr>
        <w:spacing w:line="360" w:lineRule="auto"/>
        <w:rPr>
          <w:rFonts w:ascii="Arial" w:hAnsi="Arial" w:cs="Arial"/>
          <w:sz w:val="24"/>
          <w:szCs w:val="24"/>
        </w:rPr>
      </w:pPr>
      <w:r w:rsidRPr="0007572B">
        <w:rPr>
          <w:rFonts w:ascii="Arial" w:hAnsi="Arial" w:cs="Arial"/>
          <w:sz w:val="24"/>
          <w:szCs w:val="24"/>
        </w:rPr>
        <w:t xml:space="preserve">Fair Value through Other Comprehensive Income (FVOCI). Amounts received relate to principal and interest but the business model for holding the asset includes the possibility of sale. These assets are measured and carried at fair value. All gains and losses due to changes in fair value are accounted for through a reserve account (the </w:t>
      </w:r>
      <w:r w:rsidRPr="0007572B">
        <w:rPr>
          <w:rFonts w:ascii="Arial" w:hAnsi="Arial" w:cs="Arial"/>
          <w:sz w:val="24"/>
          <w:szCs w:val="24"/>
        </w:rPr>
        <w:lastRenderedPageBreak/>
        <w:t>Financial Instruments Revaluation Reserve), with the balance debited or credited to CIES when the asset is disposed of.</w:t>
      </w:r>
    </w:p>
    <w:p w14:paraId="0555825B" w14:textId="77777777" w:rsidR="000E2349" w:rsidRPr="0007572B" w:rsidRDefault="000E2349" w:rsidP="006F1659">
      <w:pPr>
        <w:pStyle w:val="ListParagraph"/>
        <w:spacing w:line="360" w:lineRule="auto"/>
        <w:ind w:left="360"/>
        <w:rPr>
          <w:rFonts w:ascii="Arial" w:hAnsi="Arial" w:cs="Arial"/>
          <w:sz w:val="24"/>
          <w:szCs w:val="24"/>
        </w:rPr>
      </w:pPr>
    </w:p>
    <w:p w14:paraId="3C76A271" w14:textId="77777777" w:rsidR="000E2349" w:rsidRPr="0007572B" w:rsidRDefault="000E2349" w:rsidP="006F1659">
      <w:pPr>
        <w:pStyle w:val="ListParagraph"/>
        <w:numPr>
          <w:ilvl w:val="0"/>
          <w:numId w:val="42"/>
        </w:numPr>
        <w:spacing w:line="360" w:lineRule="auto"/>
        <w:rPr>
          <w:rFonts w:ascii="Arial" w:hAnsi="Arial" w:cs="Arial"/>
          <w:sz w:val="24"/>
          <w:szCs w:val="24"/>
        </w:rPr>
      </w:pPr>
      <w:r w:rsidRPr="0007572B">
        <w:rPr>
          <w:rFonts w:ascii="Arial" w:hAnsi="Arial" w:cs="Arial"/>
          <w:sz w:val="24"/>
          <w:szCs w:val="24"/>
        </w:rPr>
        <w:t>Fair Value Through Profit and Loss (FVPL) – all other instruments where the amounts received relating to them are not principal and interest, for example dividends as part of equity instruments. These assets are measured and carried at fair value. All gains and losses due to changes in fair value (both realised and unrealised) are recognised in the CIES as they occur.</w:t>
      </w:r>
    </w:p>
    <w:p w14:paraId="4E95094F" w14:textId="6F06F671" w:rsidR="000E2349" w:rsidRDefault="000E2349" w:rsidP="006F1659">
      <w:pPr>
        <w:spacing w:line="360" w:lineRule="auto"/>
        <w:rPr>
          <w:rFonts w:ascii="Arial" w:hAnsi="Arial" w:cs="Arial"/>
        </w:rPr>
      </w:pPr>
      <w:r w:rsidRPr="0007572B">
        <w:rPr>
          <w:rFonts w:ascii="Arial" w:hAnsi="Arial" w:cs="Arial"/>
        </w:rPr>
        <w:t>The following tables show the categories of financial instruments which are carried in the Balance Sheet:</w:t>
      </w:r>
    </w:p>
    <w:p w14:paraId="79294203" w14:textId="18BD4404" w:rsidR="00EC0C92" w:rsidRDefault="00EC0C92" w:rsidP="006F1659">
      <w:pPr>
        <w:spacing w:line="360" w:lineRule="auto"/>
        <w:rPr>
          <w:rFonts w:ascii="Arial" w:hAnsi="Arial" w:cs="Arial"/>
        </w:rPr>
      </w:pPr>
    </w:p>
    <w:p w14:paraId="0F900FA9" w14:textId="7B8038DE" w:rsidR="000B1D0E" w:rsidRDefault="00BD7331" w:rsidP="006F1659">
      <w:pPr>
        <w:spacing w:line="360" w:lineRule="auto"/>
        <w:jc w:val="both"/>
        <w:rPr>
          <w:rFonts w:ascii="Arial" w:hAnsi="Arial" w:cs="Arial"/>
          <w:highlight w:val="yellow"/>
        </w:rPr>
      </w:pPr>
      <w:r w:rsidRPr="00BD7331">
        <w:rPr>
          <w:noProof/>
        </w:rPr>
        <w:drawing>
          <wp:inline distT="0" distB="0" distL="0" distR="0" wp14:anchorId="49F805D5" wp14:editId="19652549">
            <wp:extent cx="5892800" cy="1701800"/>
            <wp:effectExtent l="0" t="0" r="0" b="0"/>
            <wp:docPr id="159742989" name="Pictur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2989" name="Picture 58">
                      <a:extLst>
                        <a:ext uri="{C183D7F6-B498-43B3-948B-1728B52AA6E4}">
                          <adec:decorative xmlns:adec="http://schemas.microsoft.com/office/drawing/2017/decorative" val="1"/>
                        </a:ext>
                      </a:extLs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892800" cy="1701800"/>
                    </a:xfrm>
                    <a:prstGeom prst="rect">
                      <a:avLst/>
                    </a:prstGeom>
                    <a:noFill/>
                    <a:ln>
                      <a:noFill/>
                    </a:ln>
                  </pic:spPr>
                </pic:pic>
              </a:graphicData>
            </a:graphic>
          </wp:inline>
        </w:drawing>
      </w:r>
    </w:p>
    <w:p w14:paraId="2148BAA1" w14:textId="77777777" w:rsidR="00BD7331" w:rsidRDefault="00BD7331" w:rsidP="006F1659">
      <w:pPr>
        <w:spacing w:line="360" w:lineRule="auto"/>
        <w:jc w:val="both"/>
        <w:rPr>
          <w:rFonts w:ascii="Arial" w:hAnsi="Arial" w:cs="Arial"/>
          <w:highlight w:val="yellow"/>
        </w:rPr>
      </w:pPr>
    </w:p>
    <w:p w14:paraId="4E305440" w14:textId="63706A71" w:rsidR="00BD7331" w:rsidRPr="00EB56AA" w:rsidRDefault="00BD7331" w:rsidP="006F1659">
      <w:pPr>
        <w:spacing w:line="360" w:lineRule="auto"/>
        <w:jc w:val="both"/>
        <w:rPr>
          <w:rFonts w:ascii="Arial" w:hAnsi="Arial" w:cs="Arial"/>
          <w:highlight w:val="yellow"/>
        </w:rPr>
      </w:pPr>
      <w:r w:rsidRPr="00BD7331">
        <w:rPr>
          <w:noProof/>
        </w:rPr>
        <w:drawing>
          <wp:inline distT="0" distB="0" distL="0" distR="0" wp14:anchorId="119A8FF7" wp14:editId="2A588A42">
            <wp:extent cx="5975350" cy="1021080"/>
            <wp:effectExtent l="0" t="0" r="6350" b="7620"/>
            <wp:docPr id="26558113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581134" name="Picture 59">
                      <a:extLst>
                        <a:ext uri="{C183D7F6-B498-43B3-948B-1728B52AA6E4}">
                          <adec:decorative xmlns:adec="http://schemas.microsoft.com/office/drawing/2017/decorative" val="1"/>
                        </a:ext>
                      </a:extLs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75350" cy="1021080"/>
                    </a:xfrm>
                    <a:prstGeom prst="rect">
                      <a:avLst/>
                    </a:prstGeom>
                    <a:noFill/>
                    <a:ln>
                      <a:noFill/>
                    </a:ln>
                  </pic:spPr>
                </pic:pic>
              </a:graphicData>
            </a:graphic>
          </wp:inline>
        </w:drawing>
      </w:r>
    </w:p>
    <w:p w14:paraId="7511BF81" w14:textId="77777777" w:rsidR="00EC0C92" w:rsidRDefault="00EC0C92" w:rsidP="006F1659">
      <w:pPr>
        <w:spacing w:line="360" w:lineRule="auto"/>
        <w:rPr>
          <w:noProof/>
          <w:highlight w:val="yellow"/>
        </w:rPr>
      </w:pPr>
    </w:p>
    <w:p w14:paraId="1834DD66" w14:textId="6F8504E7" w:rsidR="00BD7331" w:rsidRDefault="00BD7331" w:rsidP="006F1659">
      <w:pPr>
        <w:spacing w:line="360" w:lineRule="auto"/>
        <w:rPr>
          <w:noProof/>
          <w:highlight w:val="yellow"/>
        </w:rPr>
      </w:pPr>
      <w:r w:rsidRPr="00BD7331">
        <w:rPr>
          <w:noProof/>
        </w:rPr>
        <w:drawing>
          <wp:inline distT="0" distB="0" distL="0" distR="0" wp14:anchorId="0F5AD8DC" wp14:editId="21BCDA20">
            <wp:extent cx="5975350" cy="1132840"/>
            <wp:effectExtent l="0" t="0" r="6350" b="0"/>
            <wp:docPr id="1817677885"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77885" name="Picture 60">
                      <a:extLst>
                        <a:ext uri="{C183D7F6-B498-43B3-948B-1728B52AA6E4}">
                          <adec:decorative xmlns:adec="http://schemas.microsoft.com/office/drawing/2017/decorative" val="1"/>
                        </a:ext>
                      </a:extLst>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75350" cy="1132840"/>
                    </a:xfrm>
                    <a:prstGeom prst="rect">
                      <a:avLst/>
                    </a:prstGeom>
                    <a:noFill/>
                    <a:ln>
                      <a:noFill/>
                    </a:ln>
                  </pic:spPr>
                </pic:pic>
              </a:graphicData>
            </a:graphic>
          </wp:inline>
        </w:drawing>
      </w:r>
    </w:p>
    <w:p w14:paraId="112F6A2D" w14:textId="4C2E9099" w:rsidR="00BC6411" w:rsidRDefault="00BC6411" w:rsidP="006F1659">
      <w:pPr>
        <w:spacing w:line="360" w:lineRule="auto"/>
        <w:jc w:val="both"/>
        <w:rPr>
          <w:rFonts w:ascii="Arial" w:hAnsi="Arial" w:cs="Arial"/>
          <w:sz w:val="22"/>
          <w:szCs w:val="22"/>
          <w:highlight w:val="yellow"/>
        </w:rPr>
      </w:pPr>
    </w:p>
    <w:p w14:paraId="113F22FD" w14:textId="128A2055" w:rsidR="00BD7331" w:rsidRPr="00EB56AA" w:rsidRDefault="00BD7331" w:rsidP="006F1659">
      <w:pPr>
        <w:spacing w:line="360" w:lineRule="auto"/>
        <w:jc w:val="both"/>
        <w:rPr>
          <w:rFonts w:ascii="Arial" w:hAnsi="Arial" w:cs="Arial"/>
          <w:sz w:val="22"/>
          <w:szCs w:val="22"/>
          <w:highlight w:val="yellow"/>
        </w:rPr>
      </w:pPr>
      <w:r w:rsidRPr="00BD7331">
        <w:rPr>
          <w:noProof/>
        </w:rPr>
        <w:lastRenderedPageBreak/>
        <w:drawing>
          <wp:inline distT="0" distB="0" distL="0" distR="0" wp14:anchorId="0EA1AFCE" wp14:editId="6508B06D">
            <wp:extent cx="5975350" cy="1137920"/>
            <wp:effectExtent l="0" t="0" r="6350" b="5080"/>
            <wp:docPr id="1390531723"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531723" name="Picture 61">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75350" cy="1137920"/>
                    </a:xfrm>
                    <a:prstGeom prst="rect">
                      <a:avLst/>
                    </a:prstGeom>
                    <a:noFill/>
                    <a:ln>
                      <a:noFill/>
                    </a:ln>
                  </pic:spPr>
                </pic:pic>
              </a:graphicData>
            </a:graphic>
          </wp:inline>
        </w:drawing>
      </w:r>
    </w:p>
    <w:p w14:paraId="676B2CEE" w14:textId="6CDFF20D" w:rsidR="004047A3" w:rsidRDefault="004047A3" w:rsidP="006F1659">
      <w:pPr>
        <w:spacing w:line="360" w:lineRule="auto"/>
        <w:rPr>
          <w:rFonts w:ascii="Arial" w:hAnsi="Arial" w:cs="Arial"/>
          <w:b/>
          <w:sz w:val="22"/>
          <w:szCs w:val="22"/>
        </w:rPr>
      </w:pPr>
    </w:p>
    <w:p w14:paraId="76FC20BF" w14:textId="77777777" w:rsidR="00BD7331" w:rsidRPr="0007572B" w:rsidRDefault="00BD7331" w:rsidP="006F1659">
      <w:pPr>
        <w:spacing w:line="360" w:lineRule="auto"/>
        <w:rPr>
          <w:rFonts w:ascii="Arial" w:hAnsi="Arial" w:cs="Arial"/>
          <w:sz w:val="22"/>
          <w:szCs w:val="22"/>
        </w:rPr>
      </w:pPr>
    </w:p>
    <w:p w14:paraId="213BA419" w14:textId="1126BC1A" w:rsidR="00D13C6D" w:rsidRPr="00AD4769" w:rsidRDefault="005F4456" w:rsidP="006F1659">
      <w:pPr>
        <w:spacing w:line="360" w:lineRule="auto"/>
        <w:rPr>
          <w:rFonts w:ascii="Arial" w:hAnsi="Arial" w:cs="Arial"/>
        </w:rPr>
      </w:pPr>
      <w:r w:rsidRPr="00AD4769">
        <w:rPr>
          <w:rFonts w:ascii="Arial" w:hAnsi="Arial" w:cs="Arial"/>
        </w:rPr>
        <w:t xml:space="preserve">The Authority </w:t>
      </w:r>
      <w:r w:rsidR="00BE0E75" w:rsidRPr="00AD4769">
        <w:rPr>
          <w:rFonts w:ascii="Arial" w:hAnsi="Arial" w:cs="Arial"/>
        </w:rPr>
        <w:t>p</w:t>
      </w:r>
      <w:r w:rsidRPr="00AD4769">
        <w:rPr>
          <w:rFonts w:ascii="Arial" w:hAnsi="Arial" w:cs="Arial"/>
        </w:rPr>
        <w:t>rovided two loans to the Growth Company in 2020/21 at less than market rates of interest (these are known as soft loans)</w:t>
      </w:r>
      <w:r w:rsidR="000B5A53" w:rsidRPr="00AD4769">
        <w:rPr>
          <w:rFonts w:ascii="Arial" w:hAnsi="Arial" w:cs="Arial"/>
        </w:rPr>
        <w:t xml:space="preserve">. </w:t>
      </w:r>
      <w:r w:rsidR="00AD4769" w:rsidRPr="00AD4769">
        <w:rPr>
          <w:rFonts w:ascii="Arial" w:hAnsi="Arial" w:cs="Arial"/>
        </w:rPr>
        <w:t>A further soft loan was issued in 2022/23:</w:t>
      </w:r>
    </w:p>
    <w:p w14:paraId="5A425B10" w14:textId="77777777" w:rsidR="00D13C6D" w:rsidRPr="00AD4769" w:rsidRDefault="00D13C6D" w:rsidP="006F1659">
      <w:pPr>
        <w:spacing w:line="360" w:lineRule="auto"/>
        <w:rPr>
          <w:rFonts w:ascii="Arial" w:hAnsi="Arial" w:cs="Arial"/>
        </w:rPr>
      </w:pPr>
    </w:p>
    <w:p w14:paraId="737805C0" w14:textId="44E7F81A" w:rsidR="002E7A9F" w:rsidRPr="00AD4769" w:rsidRDefault="002E7A9F" w:rsidP="006F1659">
      <w:pPr>
        <w:pStyle w:val="ListParagraph"/>
        <w:numPr>
          <w:ilvl w:val="0"/>
          <w:numId w:val="48"/>
        </w:numPr>
        <w:spacing w:line="360" w:lineRule="auto"/>
        <w:rPr>
          <w:rFonts w:ascii="Arial" w:hAnsi="Arial" w:cs="Arial"/>
          <w:sz w:val="24"/>
          <w:szCs w:val="24"/>
        </w:rPr>
      </w:pPr>
      <w:r w:rsidRPr="00AD4769">
        <w:rPr>
          <w:rFonts w:ascii="Arial" w:hAnsi="Arial" w:cs="Arial"/>
          <w:sz w:val="24"/>
          <w:szCs w:val="24"/>
        </w:rPr>
        <w:t>a</w:t>
      </w:r>
      <w:r w:rsidR="005F4456" w:rsidRPr="00AD4769">
        <w:rPr>
          <w:rFonts w:ascii="Arial" w:hAnsi="Arial" w:cs="Arial"/>
          <w:sz w:val="24"/>
          <w:szCs w:val="24"/>
        </w:rPr>
        <w:t xml:space="preserve"> £1.5m loan for the </w:t>
      </w:r>
      <w:r w:rsidR="005F4456" w:rsidRPr="00AD4769">
        <w:rPr>
          <w:rFonts w:ascii="Arial" w:eastAsiaTheme="minorHAnsi" w:hAnsi="Arial" w:cs="Arial"/>
          <w:sz w:val="24"/>
          <w:szCs w:val="24"/>
        </w:rPr>
        <w:t>Coronavirus Business Interruption Scheme (CBILS)</w:t>
      </w:r>
      <w:r w:rsidRPr="00AD4769">
        <w:rPr>
          <w:rFonts w:ascii="Arial" w:eastAsiaTheme="minorHAnsi" w:hAnsi="Arial" w:cs="Arial"/>
          <w:sz w:val="24"/>
          <w:szCs w:val="24"/>
        </w:rPr>
        <w:t>;</w:t>
      </w:r>
      <w:r w:rsidR="005F4456" w:rsidRPr="00AD4769">
        <w:rPr>
          <w:rFonts w:ascii="Arial" w:eastAsiaTheme="minorHAnsi" w:hAnsi="Arial" w:cs="Arial"/>
          <w:sz w:val="24"/>
          <w:szCs w:val="24"/>
        </w:rPr>
        <w:t xml:space="preserve"> </w:t>
      </w:r>
    </w:p>
    <w:p w14:paraId="207D7187" w14:textId="065596FD" w:rsidR="00D13C6D" w:rsidRPr="00AD4769" w:rsidRDefault="005F4456" w:rsidP="00AD4769">
      <w:pPr>
        <w:pStyle w:val="ListParagraph"/>
        <w:numPr>
          <w:ilvl w:val="0"/>
          <w:numId w:val="48"/>
        </w:numPr>
        <w:spacing w:line="360" w:lineRule="auto"/>
        <w:rPr>
          <w:rFonts w:ascii="Arial" w:hAnsi="Arial" w:cs="Arial"/>
          <w:sz w:val="24"/>
          <w:szCs w:val="24"/>
        </w:rPr>
      </w:pPr>
      <w:r w:rsidRPr="00AD4769">
        <w:rPr>
          <w:rFonts w:ascii="Arial" w:hAnsi="Arial" w:cs="Arial"/>
          <w:sz w:val="24"/>
          <w:szCs w:val="24"/>
        </w:rPr>
        <w:t xml:space="preserve">a £6m loan for the Bounceback Loan Scheme, where the </w:t>
      </w:r>
      <w:r w:rsidRPr="00AD4769">
        <w:rPr>
          <w:rFonts w:ascii="Arial" w:eastAsiaTheme="minorHAnsi" w:hAnsi="Arial" w:cs="Arial"/>
          <w:sz w:val="24"/>
          <w:szCs w:val="24"/>
        </w:rPr>
        <w:t xml:space="preserve">Growth Company Business Finance </w:t>
      </w:r>
      <w:r w:rsidRPr="00AD4769">
        <w:rPr>
          <w:rFonts w:ascii="Arial" w:hAnsi="Arial" w:cs="Arial"/>
          <w:sz w:val="24"/>
          <w:szCs w:val="24"/>
        </w:rPr>
        <w:t xml:space="preserve">division </w:t>
      </w:r>
      <w:r w:rsidRPr="00AD4769">
        <w:rPr>
          <w:rFonts w:ascii="Arial" w:eastAsiaTheme="minorHAnsi" w:hAnsi="Arial" w:cs="Arial"/>
          <w:sz w:val="24"/>
          <w:szCs w:val="24"/>
        </w:rPr>
        <w:t xml:space="preserve">are administering financial support to businesses as an accredited </w:t>
      </w:r>
      <w:r w:rsidRPr="00AD4769">
        <w:rPr>
          <w:rFonts w:ascii="Arial" w:hAnsi="Arial" w:cs="Arial"/>
          <w:sz w:val="24"/>
          <w:szCs w:val="24"/>
        </w:rPr>
        <w:t xml:space="preserve">loan </w:t>
      </w:r>
      <w:r w:rsidRPr="00AD4769">
        <w:rPr>
          <w:rFonts w:ascii="Arial" w:eastAsiaTheme="minorHAnsi" w:hAnsi="Arial" w:cs="Arial"/>
          <w:sz w:val="24"/>
          <w:szCs w:val="24"/>
        </w:rPr>
        <w:t>provider</w:t>
      </w:r>
      <w:r w:rsidR="00AD4769" w:rsidRPr="00AD4769">
        <w:rPr>
          <w:rFonts w:ascii="Arial" w:hAnsi="Arial" w:cs="Arial"/>
          <w:sz w:val="24"/>
          <w:szCs w:val="24"/>
        </w:rPr>
        <w:t>; and</w:t>
      </w:r>
    </w:p>
    <w:p w14:paraId="75F352CF" w14:textId="5C830F32" w:rsidR="000933D8" w:rsidRPr="00AD4769" w:rsidRDefault="00D13C6D" w:rsidP="006F1659">
      <w:pPr>
        <w:pStyle w:val="ListParagraph"/>
        <w:numPr>
          <w:ilvl w:val="0"/>
          <w:numId w:val="48"/>
        </w:numPr>
        <w:spacing w:line="360" w:lineRule="auto"/>
        <w:rPr>
          <w:rFonts w:ascii="Arial" w:hAnsi="Arial" w:cs="Arial"/>
          <w:sz w:val="24"/>
          <w:szCs w:val="24"/>
        </w:rPr>
      </w:pPr>
      <w:r w:rsidRPr="00AD4769">
        <w:rPr>
          <w:rFonts w:ascii="Arial" w:hAnsi="Arial" w:cs="Arial"/>
          <w:sz w:val="24"/>
          <w:szCs w:val="24"/>
        </w:rPr>
        <w:t>a</w:t>
      </w:r>
      <w:r w:rsidR="003F33EC" w:rsidRPr="00AD4769">
        <w:rPr>
          <w:rFonts w:ascii="Arial" w:hAnsi="Arial" w:cs="Arial"/>
          <w:sz w:val="24"/>
          <w:szCs w:val="24"/>
        </w:rPr>
        <w:t xml:space="preserve"> £0.2m </w:t>
      </w:r>
      <w:r w:rsidR="00AD4769" w:rsidRPr="00AD4769">
        <w:rPr>
          <w:rFonts w:ascii="Arial" w:hAnsi="Arial" w:cs="Arial"/>
          <w:sz w:val="24"/>
          <w:szCs w:val="24"/>
        </w:rPr>
        <w:t>business fund loan was issued.</w:t>
      </w:r>
      <w:r w:rsidR="003F33EC" w:rsidRPr="00AD4769">
        <w:rPr>
          <w:rFonts w:ascii="Arial" w:hAnsi="Arial" w:cs="Arial"/>
          <w:sz w:val="24"/>
          <w:szCs w:val="24"/>
        </w:rPr>
        <w:t xml:space="preserve"> </w:t>
      </w:r>
    </w:p>
    <w:p w14:paraId="7861992D" w14:textId="77777777" w:rsidR="00EC0C92" w:rsidRDefault="00EC0C92" w:rsidP="006F1659">
      <w:pPr>
        <w:spacing w:line="360" w:lineRule="auto"/>
        <w:rPr>
          <w:rFonts w:ascii="Arial" w:hAnsi="Arial" w:cs="Arial"/>
        </w:rPr>
      </w:pPr>
    </w:p>
    <w:p w14:paraId="7B3B579D" w14:textId="7F33BBA1" w:rsidR="00BD7331" w:rsidRDefault="00BD7331" w:rsidP="006F1659">
      <w:pPr>
        <w:spacing w:line="360" w:lineRule="auto"/>
        <w:rPr>
          <w:rFonts w:ascii="Arial" w:hAnsi="Arial" w:cs="Arial"/>
        </w:rPr>
      </w:pPr>
      <w:r w:rsidRPr="00BD7331">
        <w:rPr>
          <w:noProof/>
        </w:rPr>
        <w:drawing>
          <wp:inline distT="0" distB="0" distL="0" distR="0" wp14:anchorId="5B57B339" wp14:editId="2C742F49">
            <wp:extent cx="5111750" cy="1276350"/>
            <wp:effectExtent l="0" t="0" r="0" b="0"/>
            <wp:docPr id="441060639"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060639" name="Picture 62">
                      <a:extLst>
                        <a:ext uri="{C183D7F6-B498-43B3-948B-1728B52AA6E4}">
                          <adec:decorative xmlns:adec="http://schemas.microsoft.com/office/drawing/2017/decorative" val="1"/>
                        </a:ext>
                      </a:extLs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111750" cy="1276350"/>
                    </a:xfrm>
                    <a:prstGeom prst="rect">
                      <a:avLst/>
                    </a:prstGeom>
                    <a:noFill/>
                    <a:ln>
                      <a:noFill/>
                    </a:ln>
                  </pic:spPr>
                </pic:pic>
              </a:graphicData>
            </a:graphic>
          </wp:inline>
        </w:drawing>
      </w:r>
    </w:p>
    <w:p w14:paraId="5DC70970" w14:textId="77777777" w:rsidR="00BD7331" w:rsidRPr="0007572B" w:rsidRDefault="00BD7331" w:rsidP="006F1659">
      <w:pPr>
        <w:spacing w:line="360" w:lineRule="auto"/>
        <w:rPr>
          <w:rFonts w:ascii="Arial" w:hAnsi="Arial" w:cs="Arial"/>
        </w:rPr>
      </w:pPr>
    </w:p>
    <w:p w14:paraId="7C9B8D53" w14:textId="244075F7" w:rsidR="00E95DDB" w:rsidRDefault="005F4456" w:rsidP="006F1659">
      <w:pPr>
        <w:spacing w:line="360" w:lineRule="auto"/>
        <w:rPr>
          <w:rFonts w:ascii="Arial" w:hAnsi="Arial" w:cs="Arial"/>
        </w:rPr>
      </w:pPr>
      <w:r w:rsidRPr="0007572B">
        <w:rPr>
          <w:rFonts w:ascii="Arial" w:hAnsi="Arial" w:cs="Arial"/>
        </w:rPr>
        <w:t xml:space="preserve">When the loans are made the amount of interest forgone over the life of the loan is charged to the </w:t>
      </w:r>
      <w:r w:rsidR="00577AA5" w:rsidRPr="0007572B">
        <w:rPr>
          <w:rFonts w:ascii="Arial" w:hAnsi="Arial" w:cs="Arial"/>
        </w:rPr>
        <w:t>CIES</w:t>
      </w:r>
      <w:r w:rsidRPr="0007572B">
        <w:rPr>
          <w:rFonts w:ascii="Arial" w:hAnsi="Arial" w:cs="Arial"/>
        </w:rPr>
        <w:t xml:space="preserve"> (debited to the appropriate service line) and the outstanding principal is reduced on the Balance Sheet. This represents the present value of the interest that will be forgone over the life of the loan agreement. Statutory provisions require that the impact of soft loans on the General Fund balance is the interest receivable in the year, so the amount of foregone interest is managed by a transfer from the Financial Instruments Adjustment Account to the Movement in Reserves Statement. </w:t>
      </w:r>
    </w:p>
    <w:p w14:paraId="388135F0" w14:textId="77777777" w:rsidR="00DA17A8" w:rsidRDefault="00DA17A8" w:rsidP="006F1659">
      <w:pPr>
        <w:spacing w:line="360" w:lineRule="auto"/>
        <w:rPr>
          <w:rFonts w:ascii="Arial" w:hAnsi="Arial" w:cs="Arial"/>
          <w:b/>
          <w:bCs/>
        </w:rPr>
      </w:pPr>
    </w:p>
    <w:p w14:paraId="621DC996" w14:textId="1197837A" w:rsidR="000E2349" w:rsidRPr="0007572B" w:rsidRDefault="000E2349" w:rsidP="006F1659">
      <w:pPr>
        <w:pStyle w:val="Heading4bold"/>
        <w:spacing w:line="360" w:lineRule="auto"/>
      </w:pPr>
      <w:r w:rsidRPr="0007572B">
        <w:lastRenderedPageBreak/>
        <w:t xml:space="preserve">Income, Expenses, </w:t>
      </w:r>
      <w:r w:rsidR="00F400A1" w:rsidRPr="0007572B">
        <w:t>G</w:t>
      </w:r>
      <w:r w:rsidRPr="0007572B">
        <w:t>ains and Losses</w:t>
      </w:r>
    </w:p>
    <w:p w14:paraId="40EA398F" w14:textId="43EC9CAA" w:rsidR="00261260" w:rsidRPr="0007572B" w:rsidRDefault="000E2349" w:rsidP="006F1659">
      <w:pPr>
        <w:spacing w:line="360" w:lineRule="auto"/>
        <w:rPr>
          <w:rFonts w:ascii="Arial" w:hAnsi="Arial" w:cs="Arial"/>
        </w:rPr>
      </w:pPr>
      <w:r w:rsidRPr="0007572B">
        <w:rPr>
          <w:rFonts w:ascii="Arial" w:hAnsi="Arial" w:cs="Arial"/>
        </w:rPr>
        <w:t>The gains and losses recognised in the Comprehensive Income and Expenditure Statement in relation to financial instruments are summarised in the table below:</w:t>
      </w:r>
    </w:p>
    <w:p w14:paraId="0D8DA5FF" w14:textId="20F80D29" w:rsidR="006E6C8E" w:rsidRDefault="006E6C8E" w:rsidP="006F1659">
      <w:pPr>
        <w:spacing w:line="360" w:lineRule="auto"/>
        <w:jc w:val="both"/>
        <w:rPr>
          <w:rFonts w:ascii="Arial" w:hAnsi="Arial" w:cs="Arial"/>
          <w:b/>
        </w:rPr>
      </w:pPr>
    </w:p>
    <w:p w14:paraId="1AE0C4DD" w14:textId="5171A280" w:rsidR="00BD7331" w:rsidRPr="0007572B" w:rsidRDefault="00BD7331" w:rsidP="006F1659">
      <w:pPr>
        <w:spacing w:line="360" w:lineRule="auto"/>
        <w:jc w:val="both"/>
        <w:rPr>
          <w:rFonts w:ascii="Arial" w:hAnsi="Arial" w:cs="Arial"/>
          <w:b/>
          <w:sz w:val="22"/>
          <w:szCs w:val="22"/>
        </w:rPr>
      </w:pPr>
      <w:r w:rsidRPr="00BD7331">
        <w:rPr>
          <w:noProof/>
        </w:rPr>
        <w:drawing>
          <wp:inline distT="0" distB="0" distL="0" distR="0" wp14:anchorId="44942ED5" wp14:editId="0046C89C">
            <wp:extent cx="5975350" cy="2242820"/>
            <wp:effectExtent l="0" t="0" r="6350" b="5080"/>
            <wp:docPr id="1398320425" name="Pictur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320425" name="Picture 63">
                      <a:extLst>
                        <a:ext uri="{C183D7F6-B498-43B3-948B-1728B52AA6E4}">
                          <adec:decorative xmlns:adec="http://schemas.microsoft.com/office/drawing/2017/decorative" val="1"/>
                        </a:ext>
                      </a:extLs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75350" cy="2242820"/>
                    </a:xfrm>
                    <a:prstGeom prst="rect">
                      <a:avLst/>
                    </a:prstGeom>
                    <a:noFill/>
                    <a:ln>
                      <a:noFill/>
                    </a:ln>
                  </pic:spPr>
                </pic:pic>
              </a:graphicData>
            </a:graphic>
          </wp:inline>
        </w:drawing>
      </w:r>
    </w:p>
    <w:p w14:paraId="27B5ACAF" w14:textId="105AA2EA" w:rsidR="006E6C8E" w:rsidRPr="0007572B" w:rsidRDefault="006E6C8E" w:rsidP="006F1659">
      <w:pPr>
        <w:spacing w:line="360" w:lineRule="auto"/>
        <w:jc w:val="both"/>
        <w:rPr>
          <w:rFonts w:ascii="Arial" w:hAnsi="Arial" w:cs="Arial"/>
          <w:b/>
        </w:rPr>
      </w:pPr>
    </w:p>
    <w:p w14:paraId="46C780EE" w14:textId="42E415B0" w:rsidR="000E2349" w:rsidRPr="0007572B" w:rsidRDefault="000E2349" w:rsidP="006F1659">
      <w:pPr>
        <w:pStyle w:val="Heading4bold"/>
        <w:spacing w:line="360" w:lineRule="auto"/>
      </w:pPr>
      <w:r w:rsidRPr="0007572B">
        <w:t>Fair Value of Assets &amp; Liabilities</w:t>
      </w:r>
    </w:p>
    <w:p w14:paraId="0BCCEBA4" w14:textId="77777777" w:rsidR="000E2349" w:rsidRPr="0007572B" w:rsidRDefault="000E2349" w:rsidP="006F1659">
      <w:pPr>
        <w:spacing w:line="360" w:lineRule="auto"/>
        <w:rPr>
          <w:rFonts w:ascii="Arial" w:hAnsi="Arial" w:cs="Arial"/>
        </w:rPr>
      </w:pPr>
      <w:r w:rsidRPr="0007572B">
        <w:rPr>
          <w:rFonts w:ascii="Arial" w:hAnsi="Arial" w:cs="Arial"/>
        </w:rPr>
        <w:t>Fair Value is the price that would be received to sell an asset or paid to transfer a liability in an orderly transaction between market participants at the measurement date.</w:t>
      </w:r>
    </w:p>
    <w:p w14:paraId="4F789904" w14:textId="77777777" w:rsidR="000E2349" w:rsidRPr="0007572B" w:rsidRDefault="000E2349" w:rsidP="006F1659">
      <w:pPr>
        <w:spacing w:line="360" w:lineRule="auto"/>
        <w:rPr>
          <w:rFonts w:ascii="Arial" w:hAnsi="Arial" w:cs="Arial"/>
          <w:highlight w:val="cyan"/>
        </w:rPr>
      </w:pPr>
    </w:p>
    <w:p w14:paraId="60930F42" w14:textId="3A567411" w:rsidR="000E2349" w:rsidRPr="0007572B" w:rsidRDefault="000E2349" w:rsidP="006F1659">
      <w:pPr>
        <w:spacing w:line="360" w:lineRule="auto"/>
        <w:rPr>
          <w:rFonts w:ascii="Arial" w:hAnsi="Arial" w:cs="Arial"/>
        </w:rPr>
      </w:pPr>
      <w:r w:rsidRPr="0007572B">
        <w:rPr>
          <w:rFonts w:ascii="Arial" w:hAnsi="Arial" w:cs="Arial"/>
        </w:rPr>
        <w:t>Assets and liabilities are carried at amortised cost where part of their carrying amount (as per the balance sheet) will either be written down or written up via the Comprehensive Income and Expenditure Statement over the term of the financial instrument.</w:t>
      </w:r>
    </w:p>
    <w:p w14:paraId="21AF910F" w14:textId="77777777" w:rsidR="00F201F3" w:rsidRPr="0007572B" w:rsidRDefault="00F201F3" w:rsidP="006F1659">
      <w:pPr>
        <w:spacing w:line="360" w:lineRule="auto"/>
        <w:rPr>
          <w:rFonts w:ascii="Arial" w:hAnsi="Arial" w:cs="Arial"/>
        </w:rPr>
      </w:pPr>
    </w:p>
    <w:p w14:paraId="04BD4AE5" w14:textId="75E6B7E2" w:rsidR="000E2349" w:rsidRDefault="000E2349" w:rsidP="006F1659">
      <w:pPr>
        <w:spacing w:line="360" w:lineRule="auto"/>
        <w:rPr>
          <w:rFonts w:ascii="Arial" w:hAnsi="Arial" w:cs="Arial"/>
        </w:rPr>
      </w:pPr>
      <w:r w:rsidRPr="0007572B">
        <w:rPr>
          <w:rFonts w:ascii="Arial" w:hAnsi="Arial" w:cs="Arial"/>
        </w:rPr>
        <w:t>For the purposes of the notes to the accounts, all assets and liabilities are given a fair value, although this is only shown in the balance sheet for available for sale assets. For many financial instruments the fair value will be the same as the outstanding principal amount, but for others there could be a significant difference.</w:t>
      </w:r>
    </w:p>
    <w:p w14:paraId="2F29430D" w14:textId="77777777" w:rsidR="00D4492C" w:rsidRPr="0007572B" w:rsidRDefault="00D4492C" w:rsidP="006F1659">
      <w:pPr>
        <w:spacing w:line="360" w:lineRule="auto"/>
        <w:rPr>
          <w:rFonts w:ascii="Arial" w:hAnsi="Arial" w:cs="Arial"/>
        </w:rPr>
      </w:pPr>
    </w:p>
    <w:p w14:paraId="24111FED" w14:textId="77777777" w:rsidR="000E2349" w:rsidRPr="0007572B" w:rsidRDefault="000E2349" w:rsidP="006F1659">
      <w:pPr>
        <w:pStyle w:val="Heading4bold"/>
        <w:spacing w:line="360" w:lineRule="auto"/>
      </w:pPr>
      <w:r w:rsidRPr="0007572B">
        <w:t>Fair Value Hierarchy</w:t>
      </w:r>
    </w:p>
    <w:p w14:paraId="3AB4E49C" w14:textId="77777777" w:rsidR="000E2349" w:rsidRPr="0007572B" w:rsidRDefault="000E2349" w:rsidP="006F1659">
      <w:pPr>
        <w:spacing w:line="360" w:lineRule="auto"/>
        <w:rPr>
          <w:rFonts w:ascii="Arial" w:hAnsi="Arial" w:cs="Arial"/>
          <w:lang w:val="en-US"/>
        </w:rPr>
      </w:pPr>
      <w:r w:rsidRPr="0007572B">
        <w:rPr>
          <w:rFonts w:ascii="Arial" w:hAnsi="Arial" w:cs="Arial"/>
          <w:lang w:val="en-US"/>
        </w:rPr>
        <w:t>Inputs to the valuation techniques in respect of the Authority’s fair value measurement of its assets and liabilities are categorised within the fair value hierarchy as follows:</w:t>
      </w:r>
    </w:p>
    <w:p w14:paraId="48B2FFD3" w14:textId="77777777" w:rsidR="000E2349" w:rsidRPr="0007572B" w:rsidRDefault="000E2349" w:rsidP="006F1659">
      <w:pPr>
        <w:spacing w:line="360" w:lineRule="auto"/>
        <w:rPr>
          <w:rFonts w:ascii="Arial" w:hAnsi="Arial" w:cs="Arial"/>
          <w:lang w:val="en-US"/>
        </w:rPr>
      </w:pPr>
    </w:p>
    <w:p w14:paraId="160D229D" w14:textId="1BF7F3D5" w:rsidR="000E2349" w:rsidRPr="0007572B" w:rsidRDefault="000E2349" w:rsidP="006F1659">
      <w:pPr>
        <w:pStyle w:val="ListParagraph"/>
        <w:numPr>
          <w:ilvl w:val="0"/>
          <w:numId w:val="30"/>
        </w:numPr>
        <w:spacing w:line="360" w:lineRule="auto"/>
        <w:rPr>
          <w:rFonts w:ascii="Arial" w:hAnsi="Arial" w:cs="Arial"/>
          <w:sz w:val="24"/>
          <w:szCs w:val="24"/>
          <w:lang w:val="en-US"/>
        </w:rPr>
      </w:pPr>
      <w:r w:rsidRPr="0007572B">
        <w:rPr>
          <w:rFonts w:ascii="Arial" w:hAnsi="Arial" w:cs="Arial"/>
          <w:sz w:val="24"/>
          <w:szCs w:val="24"/>
          <w:lang w:val="en-US"/>
        </w:rPr>
        <w:lastRenderedPageBreak/>
        <w:t xml:space="preserve">Level 1 – quoted prices (unadjusted) in active markets for identical assets or liabilities that the </w:t>
      </w:r>
      <w:r w:rsidR="00D952FE" w:rsidRPr="0007572B">
        <w:rPr>
          <w:rFonts w:ascii="Arial" w:hAnsi="Arial" w:cs="Arial"/>
          <w:sz w:val="24"/>
          <w:szCs w:val="24"/>
          <w:lang w:val="en-US"/>
        </w:rPr>
        <w:t>A</w:t>
      </w:r>
      <w:r w:rsidRPr="0007572B">
        <w:rPr>
          <w:rFonts w:ascii="Arial" w:hAnsi="Arial" w:cs="Arial"/>
          <w:sz w:val="24"/>
          <w:szCs w:val="24"/>
          <w:lang w:val="en-US"/>
        </w:rPr>
        <w:t>uthority can access at the measurement date.</w:t>
      </w:r>
    </w:p>
    <w:p w14:paraId="10F5962A" w14:textId="77777777" w:rsidR="000E2349" w:rsidRPr="0007572B" w:rsidRDefault="000E2349" w:rsidP="006F1659">
      <w:pPr>
        <w:pStyle w:val="ListParagraph"/>
        <w:numPr>
          <w:ilvl w:val="0"/>
          <w:numId w:val="30"/>
        </w:numPr>
        <w:spacing w:line="360" w:lineRule="auto"/>
        <w:rPr>
          <w:rFonts w:ascii="Arial" w:hAnsi="Arial" w:cs="Arial"/>
          <w:sz w:val="24"/>
          <w:szCs w:val="24"/>
          <w:lang w:val="en-US"/>
        </w:rPr>
      </w:pPr>
      <w:r w:rsidRPr="0007572B">
        <w:rPr>
          <w:rFonts w:ascii="Arial" w:hAnsi="Arial" w:cs="Arial"/>
          <w:sz w:val="24"/>
          <w:szCs w:val="24"/>
          <w:lang w:val="en-US"/>
        </w:rPr>
        <w:t>Level 2 – inputs other than quoted prices included within Level 1 that are observable for the asset or liability, either directly or indirectly.</w:t>
      </w:r>
    </w:p>
    <w:p w14:paraId="388E746B" w14:textId="77777777" w:rsidR="000E2349" w:rsidRPr="0007572B" w:rsidRDefault="000E2349" w:rsidP="006F1659">
      <w:pPr>
        <w:pStyle w:val="ListParagraph"/>
        <w:numPr>
          <w:ilvl w:val="0"/>
          <w:numId w:val="30"/>
        </w:numPr>
        <w:spacing w:line="360" w:lineRule="auto"/>
        <w:rPr>
          <w:rFonts w:ascii="Arial" w:hAnsi="Arial" w:cs="Arial"/>
          <w:sz w:val="24"/>
          <w:szCs w:val="24"/>
          <w:lang w:val="en-US"/>
        </w:rPr>
      </w:pPr>
      <w:r w:rsidRPr="0007572B">
        <w:rPr>
          <w:rFonts w:ascii="Arial" w:hAnsi="Arial" w:cs="Arial"/>
          <w:sz w:val="24"/>
          <w:szCs w:val="24"/>
          <w:lang w:val="en-US"/>
        </w:rPr>
        <w:t>Level 3 – unobservable inputs for the asset or liability.</w:t>
      </w:r>
    </w:p>
    <w:p w14:paraId="4C14F853" w14:textId="77777777" w:rsidR="000E2349" w:rsidRPr="0007572B" w:rsidRDefault="000E2349" w:rsidP="006F1659">
      <w:pPr>
        <w:spacing w:line="360" w:lineRule="auto"/>
        <w:rPr>
          <w:rFonts w:ascii="Arial" w:hAnsi="Arial" w:cs="Arial"/>
        </w:rPr>
      </w:pPr>
    </w:p>
    <w:p w14:paraId="510562D2" w14:textId="158C164F" w:rsidR="00C42CA7" w:rsidRPr="0007572B" w:rsidRDefault="000E2349" w:rsidP="006F1659">
      <w:pPr>
        <w:spacing w:line="360" w:lineRule="auto"/>
        <w:rPr>
          <w:rFonts w:ascii="Arial" w:hAnsi="Arial" w:cs="Arial"/>
        </w:rPr>
      </w:pPr>
      <w:r w:rsidRPr="0007572B">
        <w:rPr>
          <w:rFonts w:ascii="Arial" w:hAnsi="Arial" w:cs="Arial"/>
        </w:rPr>
        <w:t>Set out below is a comparison by class of the carrying amounts and fair value of the Authority's financial assets and financial liabilities:</w:t>
      </w:r>
    </w:p>
    <w:p w14:paraId="455863BA" w14:textId="62D2DCB2" w:rsidR="00084BB4" w:rsidRDefault="00084BB4" w:rsidP="006F1659">
      <w:pPr>
        <w:spacing w:line="360" w:lineRule="auto"/>
        <w:rPr>
          <w:rFonts w:ascii="Arial" w:hAnsi="Arial" w:cs="Arial"/>
        </w:rPr>
      </w:pPr>
    </w:p>
    <w:p w14:paraId="4451624B" w14:textId="157B306F" w:rsidR="00BD7331" w:rsidRPr="0007572B" w:rsidRDefault="00BD7331" w:rsidP="006F1659">
      <w:pPr>
        <w:spacing w:line="360" w:lineRule="auto"/>
        <w:rPr>
          <w:rFonts w:ascii="Arial" w:hAnsi="Arial" w:cs="Arial"/>
          <w:b/>
          <w:sz w:val="22"/>
          <w:szCs w:val="22"/>
        </w:rPr>
      </w:pPr>
      <w:r w:rsidRPr="00BD7331">
        <w:rPr>
          <w:noProof/>
        </w:rPr>
        <w:drawing>
          <wp:inline distT="0" distB="0" distL="0" distR="0" wp14:anchorId="474DDAC4" wp14:editId="65C0B49D">
            <wp:extent cx="5975350" cy="2042795"/>
            <wp:effectExtent l="0" t="0" r="6350" b="0"/>
            <wp:docPr id="14011007" name="Pictur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007" name="Picture 64">
                      <a:extLst>
                        <a:ext uri="{C183D7F6-B498-43B3-948B-1728B52AA6E4}">
                          <adec:decorative xmlns:adec="http://schemas.microsoft.com/office/drawing/2017/decorative" val="1"/>
                        </a:ext>
                      </a:extLs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75350" cy="2042795"/>
                    </a:xfrm>
                    <a:prstGeom prst="rect">
                      <a:avLst/>
                    </a:prstGeom>
                    <a:noFill/>
                    <a:ln>
                      <a:noFill/>
                    </a:ln>
                  </pic:spPr>
                </pic:pic>
              </a:graphicData>
            </a:graphic>
          </wp:inline>
        </w:drawing>
      </w:r>
    </w:p>
    <w:p w14:paraId="01182FE6" w14:textId="77777777" w:rsidR="00BE10B3" w:rsidRPr="0007572B" w:rsidRDefault="00BE10B3" w:rsidP="006F1659">
      <w:pPr>
        <w:spacing w:line="360" w:lineRule="auto"/>
        <w:rPr>
          <w:rFonts w:ascii="Arial" w:hAnsi="Arial" w:cs="Arial"/>
        </w:rPr>
      </w:pPr>
    </w:p>
    <w:p w14:paraId="76BC23B1" w14:textId="77777777" w:rsidR="000E2349" w:rsidRPr="0007572B" w:rsidRDefault="000E2349" w:rsidP="006F1659">
      <w:pPr>
        <w:spacing w:line="360" w:lineRule="auto"/>
        <w:rPr>
          <w:rFonts w:ascii="Arial" w:hAnsi="Arial" w:cs="Arial"/>
        </w:rPr>
      </w:pPr>
      <w:r w:rsidRPr="0007572B">
        <w:rPr>
          <w:rFonts w:ascii="Arial" w:hAnsi="Arial" w:cs="Arial"/>
        </w:rPr>
        <w:t xml:space="preserve">The fair values disclosed in the table above have been assessed using the following assumptions: </w:t>
      </w:r>
    </w:p>
    <w:p w14:paraId="2AB22DFF" w14:textId="77777777" w:rsidR="000E2349" w:rsidRPr="0007572B" w:rsidRDefault="000E2349" w:rsidP="006F1659">
      <w:pPr>
        <w:spacing w:line="360" w:lineRule="auto"/>
        <w:rPr>
          <w:rFonts w:ascii="Arial" w:hAnsi="Arial" w:cs="Arial"/>
        </w:rPr>
      </w:pPr>
    </w:p>
    <w:p w14:paraId="109B4A4F" w14:textId="0829A245" w:rsidR="000E2349" w:rsidRPr="00DA17A8" w:rsidRDefault="000E2349" w:rsidP="006F1659">
      <w:pPr>
        <w:pStyle w:val="Normal0"/>
        <w:numPr>
          <w:ilvl w:val="0"/>
          <w:numId w:val="36"/>
        </w:numPr>
        <w:spacing w:after="120" w:line="360" w:lineRule="auto"/>
        <w:ind w:left="714" w:hanging="357"/>
        <w:rPr>
          <w:rFonts w:ascii="Arial" w:eastAsia="Verdana" w:hAnsi="Arial" w:cs="Arial"/>
          <w:sz w:val="24"/>
          <w:szCs w:val="24"/>
          <w:lang w:val="en-GB"/>
        </w:rPr>
      </w:pPr>
      <w:r w:rsidRPr="00DA17A8">
        <w:rPr>
          <w:rFonts w:ascii="Arial" w:eastAsia="Verdana" w:hAnsi="Arial" w:cs="Arial"/>
          <w:sz w:val="24"/>
          <w:szCs w:val="24"/>
          <w:lang w:val="en-GB"/>
        </w:rPr>
        <w:t>The Authority holds £</w:t>
      </w:r>
      <w:r w:rsidR="00350F78" w:rsidRPr="00DA17A8">
        <w:rPr>
          <w:rFonts w:ascii="Arial" w:eastAsia="Verdana" w:hAnsi="Arial" w:cs="Arial"/>
          <w:sz w:val="24"/>
          <w:szCs w:val="24"/>
          <w:lang w:val="en-GB"/>
        </w:rPr>
        <w:t>4</w:t>
      </w:r>
      <w:r w:rsidR="00DA17A8" w:rsidRPr="00DA17A8">
        <w:rPr>
          <w:rFonts w:ascii="Arial" w:eastAsia="Verdana" w:hAnsi="Arial" w:cs="Arial"/>
          <w:sz w:val="24"/>
          <w:szCs w:val="24"/>
          <w:lang w:val="en-GB"/>
        </w:rPr>
        <w:t>0.839</w:t>
      </w:r>
      <w:r w:rsidR="00350F78" w:rsidRPr="00DA17A8">
        <w:rPr>
          <w:rFonts w:ascii="Arial" w:eastAsia="Verdana" w:hAnsi="Arial" w:cs="Arial"/>
          <w:sz w:val="24"/>
          <w:szCs w:val="24"/>
          <w:lang w:val="en-GB"/>
        </w:rPr>
        <w:t>m</w:t>
      </w:r>
      <w:r w:rsidRPr="00DA17A8">
        <w:rPr>
          <w:rFonts w:ascii="Arial" w:eastAsia="Verdana" w:hAnsi="Arial" w:cs="Arial"/>
          <w:sz w:val="24"/>
          <w:szCs w:val="24"/>
          <w:lang w:val="en-GB"/>
        </w:rPr>
        <w:t xml:space="preserve"> in equity investments for a number of businesses that previously held loans plus other direct investments in </w:t>
      </w:r>
      <w:r w:rsidR="00D1125B" w:rsidRPr="00DA17A8">
        <w:rPr>
          <w:rFonts w:ascii="Arial" w:eastAsia="Verdana" w:hAnsi="Arial" w:cs="Arial"/>
          <w:sz w:val="24"/>
          <w:szCs w:val="24"/>
          <w:lang w:val="en-GB"/>
        </w:rPr>
        <w:t>202</w:t>
      </w:r>
      <w:r w:rsidR="00DA17A8" w:rsidRPr="00DA17A8">
        <w:rPr>
          <w:rFonts w:ascii="Arial" w:eastAsia="Verdana" w:hAnsi="Arial" w:cs="Arial"/>
          <w:sz w:val="24"/>
          <w:szCs w:val="24"/>
          <w:lang w:val="en-GB"/>
        </w:rPr>
        <w:t>3</w:t>
      </w:r>
      <w:r w:rsidR="00D1125B" w:rsidRPr="00DA17A8">
        <w:rPr>
          <w:rFonts w:ascii="Arial" w:eastAsia="Verdana" w:hAnsi="Arial" w:cs="Arial"/>
          <w:sz w:val="24"/>
          <w:szCs w:val="24"/>
          <w:lang w:val="en-GB"/>
        </w:rPr>
        <w:t>/2</w:t>
      </w:r>
      <w:r w:rsidR="00DA17A8" w:rsidRPr="00DA17A8">
        <w:rPr>
          <w:rFonts w:ascii="Arial" w:eastAsia="Verdana" w:hAnsi="Arial" w:cs="Arial"/>
          <w:sz w:val="24"/>
          <w:szCs w:val="24"/>
          <w:lang w:val="en-GB"/>
        </w:rPr>
        <w:t>4</w:t>
      </w:r>
      <w:r w:rsidRPr="00DA17A8">
        <w:rPr>
          <w:rFonts w:ascii="Arial" w:eastAsia="Verdana" w:hAnsi="Arial" w:cs="Arial"/>
          <w:sz w:val="24"/>
          <w:szCs w:val="24"/>
          <w:lang w:val="en-GB"/>
        </w:rPr>
        <w:t xml:space="preserve">. These shares are not traded in active markets. The shares are valued based on level 2 - observable input data from the companies, such as latest filed accounts and management accounting reports. </w:t>
      </w:r>
    </w:p>
    <w:p w14:paraId="4C983EB7" w14:textId="4830968F" w:rsidR="003D2CD5" w:rsidRPr="00DA17A8" w:rsidRDefault="003D2CD5" w:rsidP="006F1659">
      <w:pPr>
        <w:pStyle w:val="Normal0"/>
        <w:numPr>
          <w:ilvl w:val="0"/>
          <w:numId w:val="36"/>
        </w:numPr>
        <w:spacing w:after="120" w:line="360" w:lineRule="auto"/>
        <w:ind w:left="714" w:hanging="357"/>
        <w:rPr>
          <w:rFonts w:ascii="Arial" w:eastAsia="Verdana" w:hAnsi="Arial" w:cs="Arial"/>
          <w:sz w:val="24"/>
          <w:szCs w:val="24"/>
          <w:lang w:val="en-GB"/>
        </w:rPr>
      </w:pPr>
      <w:r w:rsidRPr="00DA17A8">
        <w:rPr>
          <w:rFonts w:ascii="Arial" w:eastAsia="Verdana" w:hAnsi="Arial" w:cs="Arial"/>
          <w:sz w:val="24"/>
          <w:szCs w:val="24"/>
          <w:lang w:val="en-GB"/>
        </w:rPr>
        <w:t>Equity investments are held at Fair Value through Other Comprehensive Income; they meet the requirements of the CIPFA code to be designated this way as they are strategic investments and not held for trading purposes.</w:t>
      </w:r>
    </w:p>
    <w:p w14:paraId="7E535D25" w14:textId="5E5FDCEA" w:rsidR="000E2349" w:rsidRPr="00DA17A8" w:rsidRDefault="000E2349" w:rsidP="006F1659">
      <w:pPr>
        <w:pStyle w:val="Normal0"/>
        <w:numPr>
          <w:ilvl w:val="0"/>
          <w:numId w:val="36"/>
        </w:numPr>
        <w:spacing w:after="120" w:line="360" w:lineRule="auto"/>
        <w:ind w:left="714" w:hanging="357"/>
        <w:rPr>
          <w:rFonts w:ascii="Arial" w:hAnsi="Arial" w:cs="Arial"/>
          <w:sz w:val="24"/>
          <w:szCs w:val="24"/>
        </w:rPr>
      </w:pPr>
      <w:r w:rsidRPr="00DA17A8">
        <w:rPr>
          <w:rFonts w:ascii="Arial" w:eastAsia="Verdana" w:hAnsi="Arial" w:cs="Arial"/>
          <w:sz w:val="24"/>
          <w:szCs w:val="24"/>
          <w:lang w:val="en-GB"/>
        </w:rPr>
        <w:t>There have been no transfers between input levels or changes in valuation techniques during</w:t>
      </w:r>
      <w:r w:rsidRPr="00DA17A8">
        <w:rPr>
          <w:rFonts w:ascii="Arial" w:hAnsi="Arial" w:cs="Arial"/>
          <w:sz w:val="24"/>
          <w:szCs w:val="24"/>
        </w:rPr>
        <w:t xml:space="preserve"> </w:t>
      </w:r>
      <w:r w:rsidR="00D1125B" w:rsidRPr="00DA17A8">
        <w:rPr>
          <w:rFonts w:ascii="Arial" w:hAnsi="Arial" w:cs="Arial"/>
          <w:sz w:val="24"/>
          <w:szCs w:val="24"/>
        </w:rPr>
        <w:t>202</w:t>
      </w:r>
      <w:r w:rsidR="00DA17A8" w:rsidRPr="00DA17A8">
        <w:rPr>
          <w:rFonts w:ascii="Arial" w:hAnsi="Arial" w:cs="Arial"/>
          <w:sz w:val="24"/>
          <w:szCs w:val="24"/>
        </w:rPr>
        <w:t>3</w:t>
      </w:r>
      <w:r w:rsidR="00D1125B" w:rsidRPr="00DA17A8">
        <w:rPr>
          <w:rFonts w:ascii="Arial" w:hAnsi="Arial" w:cs="Arial"/>
          <w:sz w:val="24"/>
          <w:szCs w:val="24"/>
        </w:rPr>
        <w:t>/2</w:t>
      </w:r>
      <w:r w:rsidR="00DA17A8" w:rsidRPr="00DA17A8">
        <w:rPr>
          <w:rFonts w:ascii="Arial" w:hAnsi="Arial" w:cs="Arial"/>
          <w:sz w:val="24"/>
          <w:szCs w:val="24"/>
        </w:rPr>
        <w:t>4</w:t>
      </w:r>
      <w:r w:rsidRPr="00DA17A8">
        <w:rPr>
          <w:rFonts w:ascii="Arial" w:hAnsi="Arial" w:cs="Arial"/>
          <w:sz w:val="24"/>
          <w:szCs w:val="24"/>
        </w:rPr>
        <w:t xml:space="preserve"> for this class of asset.</w:t>
      </w:r>
    </w:p>
    <w:p w14:paraId="4D8787CC" w14:textId="499625E8" w:rsidR="000E2349" w:rsidRPr="00DA17A8" w:rsidRDefault="000E2349" w:rsidP="006F1659">
      <w:pPr>
        <w:pStyle w:val="Normal0"/>
        <w:numPr>
          <w:ilvl w:val="0"/>
          <w:numId w:val="36"/>
        </w:numPr>
        <w:spacing w:after="120" w:line="360" w:lineRule="auto"/>
        <w:ind w:left="714" w:hanging="357"/>
        <w:rPr>
          <w:rFonts w:ascii="Arial" w:eastAsia="Verdana" w:hAnsi="Arial" w:cs="Arial"/>
          <w:sz w:val="24"/>
          <w:szCs w:val="24"/>
          <w:lang w:val="en-GB"/>
        </w:rPr>
      </w:pPr>
      <w:r w:rsidRPr="00DA17A8">
        <w:rPr>
          <w:rFonts w:ascii="Arial" w:eastAsia="Verdana" w:hAnsi="Arial" w:cs="Arial"/>
          <w:sz w:val="24"/>
          <w:szCs w:val="24"/>
          <w:lang w:val="en-GB"/>
        </w:rPr>
        <w:lastRenderedPageBreak/>
        <w:t>The fair value of cash and cash equivalents, short</w:t>
      </w:r>
      <w:r w:rsidR="00F3496D" w:rsidRPr="00DA17A8">
        <w:rPr>
          <w:rFonts w:ascii="Arial" w:eastAsia="Verdana" w:hAnsi="Arial" w:cs="Arial"/>
          <w:sz w:val="24"/>
          <w:szCs w:val="24"/>
          <w:lang w:val="en-GB"/>
        </w:rPr>
        <w:t xml:space="preserve"> </w:t>
      </w:r>
      <w:r w:rsidRPr="00DA17A8">
        <w:rPr>
          <w:rFonts w:ascii="Arial" w:eastAsia="Verdana" w:hAnsi="Arial" w:cs="Arial"/>
          <w:sz w:val="24"/>
          <w:szCs w:val="24"/>
          <w:lang w:val="en-GB"/>
        </w:rPr>
        <w:t>term debtors and short</w:t>
      </w:r>
      <w:r w:rsidR="00F3496D" w:rsidRPr="00DA17A8">
        <w:rPr>
          <w:rFonts w:ascii="Arial" w:eastAsia="Verdana" w:hAnsi="Arial" w:cs="Arial"/>
          <w:sz w:val="24"/>
          <w:szCs w:val="24"/>
          <w:lang w:val="en-GB"/>
        </w:rPr>
        <w:t xml:space="preserve"> </w:t>
      </w:r>
      <w:r w:rsidRPr="00DA17A8">
        <w:rPr>
          <w:rFonts w:ascii="Arial" w:eastAsia="Verdana" w:hAnsi="Arial" w:cs="Arial"/>
          <w:sz w:val="24"/>
          <w:szCs w:val="24"/>
          <w:lang w:val="en-GB"/>
        </w:rPr>
        <w:t xml:space="preserve">term creditors is taken to be their carrying amount as this is deemed to provide a reasonable approximation in accordance with the </w:t>
      </w:r>
      <w:r w:rsidR="00F802A8" w:rsidRPr="00DA17A8">
        <w:rPr>
          <w:rFonts w:ascii="Arial" w:eastAsia="Verdana" w:hAnsi="Arial" w:cs="Arial"/>
          <w:sz w:val="24"/>
          <w:szCs w:val="24"/>
          <w:lang w:val="en-GB"/>
        </w:rPr>
        <w:t>CIPFA</w:t>
      </w:r>
      <w:r w:rsidRPr="00DA17A8">
        <w:rPr>
          <w:rFonts w:ascii="Arial" w:eastAsia="Verdana" w:hAnsi="Arial" w:cs="Arial"/>
          <w:sz w:val="24"/>
          <w:szCs w:val="24"/>
          <w:lang w:val="en-GB"/>
        </w:rPr>
        <w:t xml:space="preserve"> Code of Practice.</w:t>
      </w:r>
    </w:p>
    <w:p w14:paraId="79C37A66" w14:textId="670AD5EA" w:rsidR="000E2349" w:rsidRPr="00DA17A8" w:rsidRDefault="00B55523" w:rsidP="006F1659">
      <w:pPr>
        <w:pStyle w:val="Normal0"/>
        <w:numPr>
          <w:ilvl w:val="0"/>
          <w:numId w:val="36"/>
        </w:numPr>
        <w:spacing w:after="120" w:line="360" w:lineRule="auto"/>
        <w:ind w:left="714" w:hanging="357"/>
        <w:rPr>
          <w:rFonts w:ascii="Arial" w:eastAsia="Verdana" w:hAnsi="Arial" w:cs="Arial"/>
          <w:sz w:val="24"/>
          <w:szCs w:val="24"/>
          <w:lang w:val="en-GB"/>
        </w:rPr>
      </w:pPr>
      <w:r w:rsidRPr="00DA17A8">
        <w:rPr>
          <w:rFonts w:ascii="Arial" w:eastAsia="Verdana" w:hAnsi="Arial" w:cs="Arial"/>
          <w:sz w:val="24"/>
          <w:szCs w:val="24"/>
          <w:lang w:val="en-GB"/>
        </w:rPr>
        <w:t>The fair value of soft loan short</w:t>
      </w:r>
      <w:r w:rsidR="00F3496D" w:rsidRPr="00DA17A8">
        <w:rPr>
          <w:rFonts w:ascii="Arial" w:eastAsia="Verdana" w:hAnsi="Arial" w:cs="Arial"/>
          <w:sz w:val="24"/>
          <w:szCs w:val="24"/>
          <w:lang w:val="en-GB"/>
        </w:rPr>
        <w:t xml:space="preserve"> </w:t>
      </w:r>
      <w:r w:rsidRPr="00DA17A8">
        <w:rPr>
          <w:rFonts w:ascii="Arial" w:eastAsia="Verdana" w:hAnsi="Arial" w:cs="Arial"/>
          <w:sz w:val="24"/>
          <w:szCs w:val="24"/>
          <w:lang w:val="en-GB"/>
        </w:rPr>
        <w:t>term and long</w:t>
      </w:r>
      <w:r w:rsidR="00F3496D" w:rsidRPr="00DA17A8">
        <w:rPr>
          <w:rFonts w:ascii="Arial" w:eastAsia="Verdana" w:hAnsi="Arial" w:cs="Arial"/>
          <w:sz w:val="24"/>
          <w:szCs w:val="24"/>
          <w:lang w:val="en-GB"/>
        </w:rPr>
        <w:t xml:space="preserve"> </w:t>
      </w:r>
      <w:r w:rsidRPr="00DA17A8">
        <w:rPr>
          <w:rFonts w:ascii="Arial" w:eastAsia="Verdana" w:hAnsi="Arial" w:cs="Arial"/>
          <w:sz w:val="24"/>
          <w:szCs w:val="24"/>
          <w:lang w:val="en-GB"/>
        </w:rPr>
        <w:t xml:space="preserve">term debtors has been calculated using an interest rate arrived at by taking the </w:t>
      </w:r>
      <w:r w:rsidR="00D952FE" w:rsidRPr="00DA17A8">
        <w:rPr>
          <w:rFonts w:ascii="Arial" w:eastAsia="Verdana" w:hAnsi="Arial" w:cs="Arial"/>
          <w:sz w:val="24"/>
          <w:szCs w:val="24"/>
          <w:lang w:val="en-GB"/>
        </w:rPr>
        <w:t>A</w:t>
      </w:r>
      <w:r w:rsidRPr="00DA17A8">
        <w:rPr>
          <w:rFonts w:ascii="Arial" w:eastAsia="Verdana" w:hAnsi="Arial" w:cs="Arial"/>
          <w:sz w:val="24"/>
          <w:szCs w:val="24"/>
          <w:lang w:val="en-GB"/>
        </w:rPr>
        <w:t>uthority’s prevailing cost of borrowing and adding an allowance for the risk that the loans might not be repaid.</w:t>
      </w:r>
    </w:p>
    <w:p w14:paraId="696882C3" w14:textId="77A4A369" w:rsidR="00B55523" w:rsidRPr="00DA17A8" w:rsidRDefault="00B55523" w:rsidP="006F1659">
      <w:pPr>
        <w:pStyle w:val="Normal0"/>
        <w:numPr>
          <w:ilvl w:val="0"/>
          <w:numId w:val="36"/>
        </w:numPr>
        <w:spacing w:after="120" w:line="360" w:lineRule="auto"/>
        <w:ind w:left="714" w:hanging="357"/>
        <w:rPr>
          <w:rFonts w:ascii="Arial" w:eastAsia="Verdana" w:hAnsi="Arial" w:cs="Arial"/>
          <w:sz w:val="24"/>
          <w:szCs w:val="24"/>
          <w:lang w:val="en-GB"/>
        </w:rPr>
      </w:pPr>
      <w:r w:rsidRPr="00DA17A8">
        <w:rPr>
          <w:rFonts w:ascii="Arial" w:eastAsia="Verdana" w:hAnsi="Arial" w:cs="Arial"/>
          <w:sz w:val="24"/>
          <w:szCs w:val="24"/>
          <w:lang w:val="en-GB"/>
        </w:rPr>
        <w:t>The fair value of other long</w:t>
      </w:r>
      <w:r w:rsidR="00F3496D" w:rsidRPr="00DA17A8">
        <w:rPr>
          <w:rFonts w:ascii="Arial" w:eastAsia="Verdana" w:hAnsi="Arial" w:cs="Arial"/>
          <w:sz w:val="24"/>
          <w:szCs w:val="24"/>
          <w:lang w:val="en-GB"/>
        </w:rPr>
        <w:t xml:space="preserve"> </w:t>
      </w:r>
      <w:r w:rsidRPr="00DA17A8">
        <w:rPr>
          <w:rFonts w:ascii="Arial" w:eastAsia="Verdana" w:hAnsi="Arial" w:cs="Arial"/>
          <w:sz w:val="24"/>
          <w:szCs w:val="24"/>
          <w:lang w:val="en-GB"/>
        </w:rPr>
        <w:t>term debtors has been evaluated and where these relate to loan advances greater than £3m, prevailing benchmark market rates have been applied to provide the fair value. All other long</w:t>
      </w:r>
      <w:r w:rsidR="00F3496D" w:rsidRPr="00DA17A8">
        <w:rPr>
          <w:rFonts w:ascii="Arial" w:eastAsia="Verdana" w:hAnsi="Arial" w:cs="Arial"/>
          <w:sz w:val="24"/>
          <w:szCs w:val="24"/>
          <w:lang w:val="en-GB"/>
        </w:rPr>
        <w:t xml:space="preserve"> </w:t>
      </w:r>
      <w:r w:rsidRPr="00DA17A8">
        <w:rPr>
          <w:rFonts w:ascii="Arial" w:eastAsia="Verdana" w:hAnsi="Arial" w:cs="Arial"/>
          <w:sz w:val="24"/>
          <w:szCs w:val="24"/>
          <w:lang w:val="en-GB"/>
        </w:rPr>
        <w:t>term debtors are included at their carrying value</w:t>
      </w:r>
      <w:r w:rsidR="00D024DF" w:rsidRPr="00DA17A8">
        <w:rPr>
          <w:rFonts w:ascii="Arial" w:eastAsia="Verdana" w:hAnsi="Arial" w:cs="Arial"/>
          <w:sz w:val="24"/>
          <w:szCs w:val="24"/>
          <w:lang w:val="en-GB"/>
        </w:rPr>
        <w:t>.</w:t>
      </w:r>
    </w:p>
    <w:p w14:paraId="54829931" w14:textId="33824919" w:rsidR="000E2349" w:rsidRPr="00DA17A8" w:rsidRDefault="000E2349" w:rsidP="006F1659">
      <w:pPr>
        <w:pStyle w:val="Normal0"/>
        <w:numPr>
          <w:ilvl w:val="0"/>
          <w:numId w:val="36"/>
        </w:numPr>
        <w:spacing w:after="120" w:line="360" w:lineRule="auto"/>
        <w:ind w:left="714" w:hanging="357"/>
        <w:rPr>
          <w:rFonts w:ascii="Arial" w:eastAsia="Verdana" w:hAnsi="Arial" w:cs="Arial"/>
          <w:sz w:val="24"/>
          <w:szCs w:val="24"/>
          <w:lang w:val="en-GB"/>
        </w:rPr>
      </w:pPr>
      <w:r w:rsidRPr="00DA17A8">
        <w:rPr>
          <w:rFonts w:ascii="Arial" w:eastAsia="Verdana" w:hAnsi="Arial" w:cs="Arial"/>
          <w:sz w:val="24"/>
          <w:szCs w:val="24"/>
          <w:lang w:val="en-GB"/>
        </w:rPr>
        <w:t xml:space="preserve">Fair value for PFI schemes cannot be obtained as there is no comparable information </w:t>
      </w:r>
      <w:r w:rsidR="0022418C" w:rsidRPr="00DA17A8">
        <w:rPr>
          <w:rFonts w:ascii="Arial" w:eastAsia="Verdana" w:hAnsi="Arial" w:cs="Arial"/>
          <w:sz w:val="24"/>
          <w:szCs w:val="24"/>
          <w:lang w:val="en-GB"/>
        </w:rPr>
        <w:t>available,</w:t>
      </w:r>
      <w:r w:rsidRPr="00DA17A8">
        <w:rPr>
          <w:rFonts w:ascii="Arial" w:eastAsia="Verdana" w:hAnsi="Arial" w:cs="Arial"/>
          <w:sz w:val="24"/>
          <w:szCs w:val="24"/>
          <w:lang w:val="en-GB"/>
        </w:rPr>
        <w:t xml:space="preserve"> and these have therefore been shown at cost.</w:t>
      </w:r>
    </w:p>
    <w:p w14:paraId="5D23948B" w14:textId="0E32D813" w:rsidR="000E2349" w:rsidRPr="00DA17A8" w:rsidRDefault="000E2349" w:rsidP="006F1659">
      <w:pPr>
        <w:pStyle w:val="Normal0"/>
        <w:numPr>
          <w:ilvl w:val="0"/>
          <w:numId w:val="36"/>
        </w:numPr>
        <w:spacing w:after="120" w:line="360" w:lineRule="auto"/>
        <w:ind w:left="714" w:hanging="357"/>
        <w:rPr>
          <w:rFonts w:ascii="Arial" w:eastAsia="Verdana" w:hAnsi="Arial" w:cs="Arial"/>
          <w:sz w:val="24"/>
          <w:szCs w:val="24"/>
          <w:lang w:val="en-GB"/>
        </w:rPr>
      </w:pPr>
      <w:r w:rsidRPr="00DA17A8">
        <w:rPr>
          <w:rFonts w:ascii="Arial" w:eastAsia="Verdana" w:hAnsi="Arial" w:cs="Arial"/>
          <w:sz w:val="24"/>
          <w:szCs w:val="24"/>
          <w:lang w:val="en-GB"/>
        </w:rPr>
        <w:t>PWLB loans – premature repayment loan rates from the PWLB have been applied to provide the fair value. In comparison, by applying PWLB new loan rates their fair value would be £</w:t>
      </w:r>
      <w:r w:rsidR="00DA17A8" w:rsidRPr="00DA17A8">
        <w:rPr>
          <w:rFonts w:ascii="Arial" w:eastAsia="Verdana" w:hAnsi="Arial" w:cs="Arial"/>
          <w:sz w:val="24"/>
          <w:szCs w:val="24"/>
          <w:lang w:val="en-GB"/>
        </w:rPr>
        <w:t>493.962</w:t>
      </w:r>
      <w:r w:rsidR="003F1F09" w:rsidRPr="00DA17A8">
        <w:rPr>
          <w:rFonts w:ascii="Arial" w:eastAsia="Verdana" w:hAnsi="Arial" w:cs="Arial"/>
          <w:sz w:val="24"/>
          <w:szCs w:val="24"/>
          <w:lang w:val="en-GB"/>
        </w:rPr>
        <w:t>m</w:t>
      </w:r>
      <w:r w:rsidRPr="00DA17A8">
        <w:rPr>
          <w:rFonts w:ascii="Arial" w:eastAsia="Verdana" w:hAnsi="Arial" w:cs="Arial"/>
          <w:sz w:val="24"/>
          <w:szCs w:val="24"/>
          <w:lang w:val="en-GB"/>
        </w:rPr>
        <w:t>.</w:t>
      </w:r>
    </w:p>
    <w:p w14:paraId="47B91AC7" w14:textId="4A590EDD" w:rsidR="000E2349" w:rsidRPr="00DA17A8" w:rsidRDefault="000E2349" w:rsidP="006F1659">
      <w:pPr>
        <w:pStyle w:val="Normal0"/>
        <w:numPr>
          <w:ilvl w:val="0"/>
          <w:numId w:val="36"/>
        </w:numPr>
        <w:spacing w:line="360" w:lineRule="auto"/>
        <w:rPr>
          <w:rFonts w:ascii="Arial" w:eastAsia="Verdana" w:hAnsi="Arial" w:cs="Arial"/>
          <w:sz w:val="24"/>
          <w:szCs w:val="24"/>
          <w:lang w:val="en-GB"/>
        </w:rPr>
      </w:pPr>
      <w:r w:rsidRPr="00DA17A8">
        <w:rPr>
          <w:rFonts w:ascii="Arial" w:eastAsia="Verdana" w:hAnsi="Arial" w:cs="Arial"/>
          <w:sz w:val="24"/>
          <w:szCs w:val="24"/>
          <w:lang w:val="en-GB"/>
        </w:rPr>
        <w:t>Non-PWLB loans – premature repayment loan rates from the PWLB have been applied to provide the fair value. In comparison, by applying PWLB new loan rates their fair value would be £</w:t>
      </w:r>
      <w:r w:rsidR="00DA17A8" w:rsidRPr="00DA17A8">
        <w:rPr>
          <w:rFonts w:ascii="Arial" w:eastAsia="Verdana" w:hAnsi="Arial" w:cs="Arial"/>
          <w:sz w:val="24"/>
          <w:szCs w:val="24"/>
          <w:lang w:val="en-GB"/>
        </w:rPr>
        <w:t>744.340m</w:t>
      </w:r>
      <w:r w:rsidRPr="00DA17A8">
        <w:rPr>
          <w:rFonts w:ascii="Arial" w:eastAsia="Verdana" w:hAnsi="Arial" w:cs="Arial"/>
          <w:sz w:val="24"/>
          <w:szCs w:val="24"/>
          <w:lang w:val="en-GB"/>
        </w:rPr>
        <w:t>.</w:t>
      </w:r>
    </w:p>
    <w:p w14:paraId="30445641" w14:textId="77777777" w:rsidR="00CF101C" w:rsidRPr="00DA17A8" w:rsidRDefault="00CF101C" w:rsidP="006F1659">
      <w:pPr>
        <w:pStyle w:val="Normal0"/>
        <w:spacing w:line="360" w:lineRule="auto"/>
        <w:ind w:left="720"/>
        <w:rPr>
          <w:rFonts w:ascii="Arial" w:eastAsia="Verdana" w:hAnsi="Arial" w:cs="Arial"/>
          <w:sz w:val="24"/>
          <w:szCs w:val="24"/>
          <w:lang w:val="en-GB"/>
        </w:rPr>
      </w:pPr>
    </w:p>
    <w:p w14:paraId="2B0CADC5" w14:textId="77777777" w:rsidR="000E2349" w:rsidRPr="00DA17A8" w:rsidRDefault="000E2349" w:rsidP="006F1659">
      <w:pPr>
        <w:pStyle w:val="Normal0"/>
        <w:numPr>
          <w:ilvl w:val="0"/>
          <w:numId w:val="36"/>
        </w:numPr>
        <w:spacing w:line="360" w:lineRule="auto"/>
        <w:rPr>
          <w:rFonts w:ascii="Arial" w:eastAsia="Verdana" w:hAnsi="Arial" w:cs="Arial"/>
          <w:sz w:val="24"/>
          <w:szCs w:val="24"/>
          <w:lang w:val="en-GB"/>
        </w:rPr>
      </w:pPr>
      <w:r w:rsidRPr="00DA17A8">
        <w:rPr>
          <w:rFonts w:ascii="Arial" w:eastAsia="Verdana" w:hAnsi="Arial" w:cs="Arial"/>
          <w:sz w:val="24"/>
          <w:szCs w:val="24"/>
          <w:lang w:val="en-GB"/>
        </w:rPr>
        <w:t>The valuation techniques used for PWLB and non-PWLB debt are level 2 –observable inputs. There have been no changes in valuation technique during the financial year.</w:t>
      </w:r>
    </w:p>
    <w:p w14:paraId="7D8753A0" w14:textId="77777777" w:rsidR="000E2349" w:rsidRPr="0007572B" w:rsidRDefault="000E2349" w:rsidP="006F1659">
      <w:pPr>
        <w:pStyle w:val="Normal0"/>
        <w:spacing w:line="360" w:lineRule="auto"/>
        <w:ind w:left="720" w:hanging="720"/>
        <w:rPr>
          <w:rFonts w:ascii="Arial" w:eastAsia="Verdana" w:hAnsi="Arial" w:cs="Arial"/>
          <w:sz w:val="24"/>
          <w:szCs w:val="24"/>
          <w:lang w:val="en-GB"/>
        </w:rPr>
      </w:pPr>
    </w:p>
    <w:p w14:paraId="4BA01796" w14:textId="4EF68536" w:rsidR="000E2349" w:rsidRPr="0007572B" w:rsidRDefault="000E2349" w:rsidP="006F1659">
      <w:pPr>
        <w:pStyle w:val="Normal0"/>
        <w:spacing w:line="360" w:lineRule="auto"/>
        <w:rPr>
          <w:rFonts w:ascii="Arial" w:eastAsia="Verdana" w:hAnsi="Arial" w:cs="Arial"/>
          <w:sz w:val="24"/>
          <w:szCs w:val="24"/>
          <w:lang w:val="en-GB"/>
        </w:rPr>
      </w:pPr>
      <w:r w:rsidRPr="0007572B">
        <w:rPr>
          <w:rFonts w:ascii="Arial" w:eastAsia="Verdana" w:hAnsi="Arial" w:cs="Arial"/>
          <w:sz w:val="24"/>
          <w:szCs w:val="24"/>
          <w:lang w:val="en-GB"/>
        </w:rPr>
        <w:t>The purpose of the fair value disclosure is primarily to provide a comparison with the carrying value, which includes accrued interest as at the balance sheet date. The Authority has therefore included accrued interest in the fair value calculation.</w:t>
      </w:r>
    </w:p>
    <w:p w14:paraId="57B5B613" w14:textId="77777777" w:rsidR="000E2349" w:rsidRPr="0007572B" w:rsidRDefault="000E2349" w:rsidP="006F1659">
      <w:pPr>
        <w:pStyle w:val="Normal0"/>
        <w:spacing w:line="360" w:lineRule="auto"/>
        <w:ind w:left="720" w:hanging="720"/>
        <w:rPr>
          <w:rFonts w:ascii="Arial" w:eastAsia="Verdana" w:hAnsi="Arial" w:cs="Arial"/>
          <w:sz w:val="24"/>
          <w:szCs w:val="24"/>
          <w:lang w:val="en-GB"/>
        </w:rPr>
      </w:pPr>
      <w:r w:rsidRPr="0007572B">
        <w:rPr>
          <w:rFonts w:ascii="Arial" w:eastAsia="Verdana" w:hAnsi="Arial" w:cs="Arial"/>
          <w:sz w:val="24"/>
          <w:szCs w:val="24"/>
          <w:lang w:val="en-GB"/>
        </w:rPr>
        <w:tab/>
      </w:r>
    </w:p>
    <w:p w14:paraId="7116D5E9" w14:textId="5DCA699D" w:rsidR="000E2349" w:rsidRPr="0007572B" w:rsidRDefault="000E2349" w:rsidP="006F1659">
      <w:pPr>
        <w:pStyle w:val="Normal0"/>
        <w:spacing w:line="360" w:lineRule="auto"/>
        <w:rPr>
          <w:rFonts w:ascii="Arial" w:eastAsia="Verdana" w:hAnsi="Arial" w:cs="Arial"/>
          <w:sz w:val="24"/>
          <w:szCs w:val="24"/>
          <w:lang w:val="en-GB"/>
        </w:rPr>
      </w:pPr>
      <w:r w:rsidRPr="0007572B">
        <w:rPr>
          <w:rFonts w:ascii="Arial" w:eastAsia="Verdana" w:hAnsi="Arial" w:cs="Arial"/>
          <w:sz w:val="24"/>
          <w:szCs w:val="24"/>
          <w:lang w:val="en-GB"/>
        </w:rPr>
        <w:t>The discount rates used for the evaluation were obtained by the Authority from Link Asset Services. The Link Asset Group is a leading and independent provider of capital financing, treasury advisory and strategic advisory consulting services to the public sector.</w:t>
      </w:r>
    </w:p>
    <w:p w14:paraId="141931C6" w14:textId="77777777" w:rsidR="000E2349" w:rsidRPr="0007572B" w:rsidRDefault="000E2349" w:rsidP="006F1659">
      <w:pPr>
        <w:pStyle w:val="Normal0"/>
        <w:spacing w:line="360" w:lineRule="auto"/>
        <w:rPr>
          <w:rFonts w:ascii="Arial" w:eastAsia="Verdana" w:hAnsi="Arial" w:cs="Arial"/>
          <w:sz w:val="24"/>
          <w:szCs w:val="24"/>
          <w:lang w:val="en-GB"/>
        </w:rPr>
      </w:pPr>
    </w:p>
    <w:p w14:paraId="31DDE2F0" w14:textId="6185DE77" w:rsidR="00EB27EB" w:rsidRDefault="000E2349" w:rsidP="006F1659">
      <w:pPr>
        <w:spacing w:line="360" w:lineRule="auto"/>
        <w:rPr>
          <w:rFonts w:ascii="Arial" w:eastAsia="Verdana" w:hAnsi="Arial" w:cs="Arial"/>
        </w:rPr>
      </w:pPr>
      <w:r w:rsidRPr="0007572B">
        <w:rPr>
          <w:rFonts w:ascii="Arial" w:eastAsia="Verdana" w:hAnsi="Arial" w:cs="Arial"/>
        </w:rPr>
        <w:lastRenderedPageBreak/>
        <w:t>Assumptions used, which do not have a material effect on the fair value evaluation are: interest is calculated using a 365 day basis; interest is paid on the maturity date; no adjustment is made to the interest value and date where a relevant date occurs on a non-working day.</w:t>
      </w:r>
    </w:p>
    <w:p w14:paraId="0C6FA25F" w14:textId="77777777" w:rsidR="00366EB7" w:rsidRDefault="00366EB7" w:rsidP="006F1659">
      <w:pPr>
        <w:spacing w:line="360" w:lineRule="auto"/>
        <w:rPr>
          <w:rFonts w:ascii="Arial" w:hAnsi="Arial" w:cs="Arial"/>
        </w:rPr>
      </w:pPr>
    </w:p>
    <w:p w14:paraId="6B9EA7C6" w14:textId="553D75D2" w:rsidR="002B3C1D" w:rsidRDefault="000E2349" w:rsidP="006F1659">
      <w:pPr>
        <w:spacing w:line="360" w:lineRule="auto"/>
        <w:rPr>
          <w:rFonts w:ascii="Arial" w:hAnsi="Arial" w:cs="Arial"/>
        </w:rPr>
      </w:pPr>
      <w:r w:rsidRPr="0007572B">
        <w:rPr>
          <w:rFonts w:ascii="Arial" w:hAnsi="Arial" w:cs="Arial"/>
        </w:rPr>
        <w:t>Loans and Borrowings are set out by type of loan and by maturity in the table below:</w:t>
      </w:r>
    </w:p>
    <w:p w14:paraId="233617C0" w14:textId="52BD018C" w:rsidR="000E5109" w:rsidRDefault="000E5109" w:rsidP="006F1659">
      <w:pPr>
        <w:spacing w:line="360" w:lineRule="auto"/>
        <w:rPr>
          <w:rFonts w:ascii="Arial" w:hAnsi="Arial" w:cs="Arial"/>
        </w:rPr>
      </w:pPr>
    </w:p>
    <w:p w14:paraId="761681FA" w14:textId="74B34AE1" w:rsidR="00BD7331" w:rsidRPr="0007572B" w:rsidRDefault="00BD7331" w:rsidP="006F1659">
      <w:pPr>
        <w:spacing w:line="360" w:lineRule="auto"/>
        <w:rPr>
          <w:rFonts w:ascii="Arial" w:hAnsi="Arial" w:cs="Arial"/>
        </w:rPr>
      </w:pPr>
      <w:r w:rsidRPr="00BD7331">
        <w:rPr>
          <w:noProof/>
        </w:rPr>
        <w:drawing>
          <wp:inline distT="0" distB="0" distL="0" distR="0" wp14:anchorId="3F045A5F" wp14:editId="58541345">
            <wp:extent cx="5975350" cy="4361815"/>
            <wp:effectExtent l="0" t="0" r="6350" b="635"/>
            <wp:docPr id="212776947" name="Pictur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76947" name="Picture 65">
                      <a:extLst>
                        <a:ext uri="{C183D7F6-B498-43B3-948B-1728B52AA6E4}">
                          <adec:decorative xmlns:adec="http://schemas.microsoft.com/office/drawing/2017/decorative" val="1"/>
                        </a:ext>
                      </a:extLs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975350" cy="4361815"/>
                    </a:xfrm>
                    <a:prstGeom prst="rect">
                      <a:avLst/>
                    </a:prstGeom>
                    <a:noFill/>
                    <a:ln>
                      <a:noFill/>
                    </a:ln>
                  </pic:spPr>
                </pic:pic>
              </a:graphicData>
            </a:graphic>
          </wp:inline>
        </w:drawing>
      </w:r>
    </w:p>
    <w:p w14:paraId="5BB90A61" w14:textId="46037614" w:rsidR="00C70967" w:rsidRDefault="00C70967" w:rsidP="006F1659">
      <w:pPr>
        <w:spacing w:line="360" w:lineRule="auto"/>
        <w:jc w:val="both"/>
        <w:rPr>
          <w:rFonts w:ascii="Arial" w:hAnsi="Arial" w:cs="Arial"/>
          <w:b/>
          <w:sz w:val="22"/>
          <w:szCs w:val="22"/>
        </w:rPr>
      </w:pPr>
    </w:p>
    <w:p w14:paraId="7D8DD969" w14:textId="77777777" w:rsidR="00366EB7" w:rsidRDefault="00366EB7" w:rsidP="006F1659">
      <w:pPr>
        <w:spacing w:line="360" w:lineRule="auto"/>
        <w:rPr>
          <w:rFonts w:ascii="Arial" w:eastAsia="Palatino Linotype" w:hAnsi="Arial" w:cs="Arial"/>
          <w:b/>
          <w:bCs/>
          <w:szCs w:val="28"/>
          <w:lang w:val="en-US"/>
        </w:rPr>
      </w:pPr>
      <w:bookmarkStart w:id="176" w:name="_Toc92894902"/>
      <w:bookmarkStart w:id="177" w:name="_Toc92895206"/>
      <w:bookmarkStart w:id="178" w:name="_Toc109922640"/>
      <w:r>
        <w:br w:type="page"/>
      </w:r>
    </w:p>
    <w:p w14:paraId="7C5216BC" w14:textId="31B4BB9A" w:rsidR="007C64B7" w:rsidRPr="0007572B" w:rsidRDefault="00876B48" w:rsidP="006F1659">
      <w:pPr>
        <w:pStyle w:val="Heading3greennumbered"/>
        <w:spacing w:line="360" w:lineRule="auto"/>
      </w:pPr>
      <w:r w:rsidRPr="0007572B">
        <w:lastRenderedPageBreak/>
        <w:t>30</w:t>
      </w:r>
      <w:r w:rsidR="004047A3" w:rsidRPr="0007572B">
        <w:t xml:space="preserve"> Nature and Extent of Risks Arising from Financial Instruments</w:t>
      </w:r>
      <w:bookmarkEnd w:id="176"/>
      <w:bookmarkEnd w:id="177"/>
      <w:bookmarkEnd w:id="178"/>
    </w:p>
    <w:p w14:paraId="6261EE7D" w14:textId="77777777" w:rsidR="00D4492C" w:rsidRDefault="00D4492C" w:rsidP="006F1659">
      <w:pPr>
        <w:spacing w:line="360" w:lineRule="auto"/>
        <w:rPr>
          <w:rFonts w:ascii="Arial" w:eastAsiaTheme="minorHAnsi" w:hAnsi="Arial" w:cs="Arial"/>
        </w:rPr>
      </w:pPr>
    </w:p>
    <w:p w14:paraId="2214F5D2" w14:textId="171A2DF6" w:rsidR="00C802FD" w:rsidRPr="0007572B" w:rsidRDefault="00D4492C" w:rsidP="006F1659">
      <w:pPr>
        <w:spacing w:after="160" w:line="360" w:lineRule="auto"/>
        <w:rPr>
          <w:rFonts w:ascii="Arial" w:eastAsiaTheme="minorHAnsi" w:hAnsi="Arial" w:cs="Arial"/>
        </w:rPr>
      </w:pPr>
      <w:r>
        <w:rPr>
          <w:rFonts w:ascii="Arial" w:eastAsiaTheme="minorHAnsi" w:hAnsi="Arial" w:cs="Arial"/>
        </w:rPr>
        <w:t>T</w:t>
      </w:r>
      <w:r w:rsidR="00C802FD" w:rsidRPr="0007572B">
        <w:rPr>
          <w:rFonts w:ascii="Arial" w:eastAsiaTheme="minorHAnsi" w:hAnsi="Arial" w:cs="Arial"/>
        </w:rPr>
        <w:t>he Authority’s activities expose it to a variety of financial risks, the key risks are:</w:t>
      </w:r>
      <w:r w:rsidR="00C802FD" w:rsidRPr="0007572B">
        <w:rPr>
          <w:rFonts w:ascii="Arial" w:eastAsiaTheme="minorHAnsi" w:hAnsi="Arial" w:cs="Arial"/>
        </w:rPr>
        <w:tab/>
      </w:r>
    </w:p>
    <w:p w14:paraId="192736A8" w14:textId="77777777" w:rsidR="00C802FD" w:rsidRPr="0007572B" w:rsidRDefault="00C802FD" w:rsidP="006F1659">
      <w:pPr>
        <w:numPr>
          <w:ilvl w:val="0"/>
          <w:numId w:val="7"/>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Credit Risk – the possibility that other parties might fail to pay amounts due to the Authority;</w:t>
      </w:r>
    </w:p>
    <w:p w14:paraId="10689BCF" w14:textId="77777777" w:rsidR="00C802FD" w:rsidRPr="0007572B" w:rsidRDefault="00C802FD" w:rsidP="006F1659">
      <w:pPr>
        <w:numPr>
          <w:ilvl w:val="0"/>
          <w:numId w:val="7"/>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Liquidity Risk – the possibility that the Authority might not have funds available to meet its commitments to make payments;</w:t>
      </w:r>
    </w:p>
    <w:p w14:paraId="182E0056" w14:textId="77777777" w:rsidR="00C802FD" w:rsidRPr="0007572B" w:rsidRDefault="00C802FD" w:rsidP="006F1659">
      <w:pPr>
        <w:numPr>
          <w:ilvl w:val="0"/>
          <w:numId w:val="7"/>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Re-financing risk – the possibility that the Authority might be requiring to renew a financial instrument on maturity at disadvantageous interest rates or terms;</w:t>
      </w:r>
    </w:p>
    <w:p w14:paraId="37CF9632" w14:textId="25C7372F" w:rsidR="00C802FD" w:rsidRDefault="00C802FD" w:rsidP="006F1659">
      <w:pPr>
        <w:numPr>
          <w:ilvl w:val="0"/>
          <w:numId w:val="7"/>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Market Risk – the possibility that financial loss might arise for the Authority as a result of changes in such measures as interest rates or stock market movements.</w:t>
      </w:r>
    </w:p>
    <w:p w14:paraId="31C1C36C" w14:textId="77777777" w:rsidR="00C802FD" w:rsidRPr="0007572B" w:rsidRDefault="00C802FD" w:rsidP="006F1659">
      <w:pPr>
        <w:spacing w:after="160" w:line="360" w:lineRule="auto"/>
        <w:ind w:left="720"/>
        <w:contextualSpacing/>
        <w:rPr>
          <w:rFonts w:ascii="Arial" w:eastAsiaTheme="minorHAnsi" w:hAnsi="Arial" w:cs="Arial"/>
          <w:lang w:eastAsia="en-GB"/>
        </w:rPr>
      </w:pPr>
    </w:p>
    <w:p w14:paraId="7172D61B" w14:textId="77777777" w:rsidR="00C802FD" w:rsidRPr="0007572B" w:rsidRDefault="00C802FD" w:rsidP="006F1659">
      <w:pPr>
        <w:spacing w:after="160" w:line="360" w:lineRule="auto"/>
        <w:rPr>
          <w:rFonts w:ascii="Arial" w:eastAsiaTheme="minorHAnsi" w:hAnsi="Arial" w:cs="Arial"/>
          <w:sz w:val="28"/>
          <w:szCs w:val="28"/>
        </w:rPr>
      </w:pPr>
      <w:r w:rsidRPr="0007572B">
        <w:rPr>
          <w:rFonts w:ascii="Arial" w:eastAsiaTheme="minorHAnsi" w:hAnsi="Arial" w:cs="Arial"/>
        </w:rPr>
        <w:t>The Authority’s overall risk management programme focuses on the unpredictability of financial markets and seeks to minimise potential adverse effects on the resources available to fund services.</w:t>
      </w:r>
    </w:p>
    <w:p w14:paraId="7E6B874B" w14:textId="7E3235B6" w:rsidR="00DA17A8" w:rsidRPr="0007572B" w:rsidRDefault="00C802FD" w:rsidP="006F1659">
      <w:pPr>
        <w:spacing w:after="160" w:line="360" w:lineRule="auto"/>
        <w:rPr>
          <w:rFonts w:ascii="Arial" w:eastAsiaTheme="minorHAnsi" w:hAnsi="Arial" w:cs="Arial"/>
        </w:rPr>
      </w:pPr>
      <w:r w:rsidRPr="0007572B">
        <w:rPr>
          <w:rFonts w:ascii="Arial" w:eastAsiaTheme="minorHAnsi" w:hAnsi="Arial" w:cs="Arial"/>
        </w:rPr>
        <w:t>The procedures for risk management are set out through a legal framework, based on the Local Government Act 2003 and associated regulations. These require the Authority to comply with the CIPFA Prudential Code, the CIPFA Code of Practice on Treasury Management in the Public Services and investment guidance issued through the Act. Overall these procedures require the Authority to manage risk in the following ways:</w:t>
      </w:r>
    </w:p>
    <w:p w14:paraId="7B0C7F68" w14:textId="77777777" w:rsidR="00C802FD" w:rsidRPr="0007572B" w:rsidRDefault="00C802FD" w:rsidP="00DA17A8">
      <w:pPr>
        <w:pStyle w:val="FIBody"/>
        <w:numPr>
          <w:ilvl w:val="0"/>
          <w:numId w:val="47"/>
        </w:numPr>
        <w:spacing w:before="240" w:line="360" w:lineRule="auto"/>
        <w:jc w:val="left"/>
        <w:rPr>
          <w:rFonts w:ascii="Arial" w:hAnsi="Arial"/>
          <w:color w:val="auto"/>
          <w:sz w:val="24"/>
          <w:szCs w:val="24"/>
          <w:lang w:eastAsia="en-GB"/>
        </w:rPr>
      </w:pPr>
      <w:r w:rsidRPr="0007572B">
        <w:rPr>
          <w:rFonts w:ascii="Arial" w:hAnsi="Arial"/>
          <w:color w:val="auto"/>
          <w:sz w:val="24"/>
          <w:szCs w:val="24"/>
          <w:lang w:eastAsia="en-GB"/>
        </w:rPr>
        <w:t>by formally adopting the requirements of the</w:t>
      </w:r>
      <w:r w:rsidRPr="0007572B">
        <w:rPr>
          <w:rFonts w:ascii="Arial" w:hAnsi="Arial"/>
          <w:sz w:val="24"/>
          <w:szCs w:val="24"/>
          <w:lang w:eastAsia="en-GB"/>
        </w:rPr>
        <w:t xml:space="preserve"> </w:t>
      </w:r>
      <w:r w:rsidRPr="0007572B">
        <w:rPr>
          <w:rFonts w:ascii="Arial" w:hAnsi="Arial"/>
          <w:color w:val="auto"/>
          <w:sz w:val="24"/>
          <w:szCs w:val="24"/>
          <w:lang w:eastAsia="en-GB"/>
        </w:rPr>
        <w:t>CIPFA Treasury Management</w:t>
      </w:r>
      <w:r w:rsidRPr="0007572B">
        <w:rPr>
          <w:rFonts w:ascii="Arial" w:hAnsi="Arial"/>
          <w:i/>
          <w:color w:val="auto"/>
          <w:sz w:val="24"/>
          <w:szCs w:val="24"/>
        </w:rPr>
        <w:t xml:space="preserve"> </w:t>
      </w:r>
      <w:r w:rsidRPr="0007572B">
        <w:rPr>
          <w:rFonts w:ascii="Arial" w:hAnsi="Arial"/>
          <w:color w:val="auto"/>
          <w:sz w:val="24"/>
          <w:szCs w:val="24"/>
          <w:lang w:eastAsia="en-GB"/>
        </w:rPr>
        <w:t>Code of Practice;</w:t>
      </w:r>
    </w:p>
    <w:p w14:paraId="2980A8E0" w14:textId="77777777" w:rsidR="00C802FD" w:rsidRPr="0007572B" w:rsidRDefault="00C802FD" w:rsidP="006F1659">
      <w:pPr>
        <w:pStyle w:val="FIBody"/>
        <w:numPr>
          <w:ilvl w:val="0"/>
          <w:numId w:val="47"/>
        </w:numPr>
        <w:spacing w:line="360" w:lineRule="auto"/>
        <w:jc w:val="left"/>
        <w:rPr>
          <w:rFonts w:ascii="Arial" w:hAnsi="Arial"/>
          <w:color w:val="auto"/>
          <w:sz w:val="24"/>
          <w:szCs w:val="24"/>
          <w:lang w:eastAsia="en-GB"/>
        </w:rPr>
      </w:pPr>
      <w:r w:rsidRPr="0007572B">
        <w:rPr>
          <w:rFonts w:ascii="Arial" w:hAnsi="Arial"/>
          <w:color w:val="auto"/>
          <w:sz w:val="24"/>
          <w:szCs w:val="24"/>
          <w:lang w:eastAsia="en-GB"/>
        </w:rPr>
        <w:t>by the adoption of a Treasury Policy Statement and treasury management clauses within its financial regulations/standing orders/constitution;</w:t>
      </w:r>
    </w:p>
    <w:p w14:paraId="47DB6906" w14:textId="77777777" w:rsidR="00C802FD" w:rsidRPr="0007572B" w:rsidRDefault="00C802FD" w:rsidP="006F1659">
      <w:pPr>
        <w:numPr>
          <w:ilvl w:val="0"/>
          <w:numId w:val="47"/>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by approving annually in advance prudential indicators for the following three years limiting:</w:t>
      </w:r>
    </w:p>
    <w:p w14:paraId="4758E83E" w14:textId="77777777" w:rsidR="00C802FD" w:rsidRPr="0007572B" w:rsidRDefault="00C802FD" w:rsidP="006F1659">
      <w:pPr>
        <w:pStyle w:val="ListParagraph"/>
        <w:numPr>
          <w:ilvl w:val="0"/>
          <w:numId w:val="43"/>
        </w:numPr>
        <w:spacing w:after="160" w:line="360" w:lineRule="auto"/>
        <w:rPr>
          <w:rFonts w:ascii="Arial" w:eastAsiaTheme="minorHAnsi" w:hAnsi="Arial" w:cs="Arial"/>
          <w:sz w:val="24"/>
          <w:szCs w:val="24"/>
        </w:rPr>
      </w:pPr>
      <w:r w:rsidRPr="0007572B">
        <w:rPr>
          <w:rFonts w:ascii="Arial" w:eastAsiaTheme="minorHAnsi" w:hAnsi="Arial" w:cs="Arial"/>
          <w:sz w:val="24"/>
          <w:szCs w:val="24"/>
        </w:rPr>
        <w:t>The Authority’s overall borrowing;</w:t>
      </w:r>
    </w:p>
    <w:p w14:paraId="38D25CEE" w14:textId="77777777" w:rsidR="00C802FD" w:rsidRPr="0007572B" w:rsidRDefault="00C802FD" w:rsidP="006F1659">
      <w:pPr>
        <w:pStyle w:val="ListParagraph"/>
        <w:numPr>
          <w:ilvl w:val="0"/>
          <w:numId w:val="43"/>
        </w:numPr>
        <w:spacing w:after="160" w:line="360" w:lineRule="auto"/>
        <w:rPr>
          <w:rFonts w:ascii="Arial" w:eastAsiaTheme="minorHAnsi" w:hAnsi="Arial" w:cs="Arial"/>
          <w:sz w:val="24"/>
          <w:szCs w:val="24"/>
        </w:rPr>
      </w:pPr>
      <w:r w:rsidRPr="0007572B">
        <w:rPr>
          <w:rFonts w:ascii="Arial" w:eastAsiaTheme="minorHAnsi" w:hAnsi="Arial" w:cs="Arial"/>
          <w:sz w:val="24"/>
          <w:szCs w:val="24"/>
        </w:rPr>
        <w:t>Its maximum and minimum exposures in the maturity structure of its debt;</w:t>
      </w:r>
    </w:p>
    <w:p w14:paraId="7943D818" w14:textId="77777777" w:rsidR="00C802FD" w:rsidRPr="0007572B" w:rsidRDefault="00C802FD" w:rsidP="006F1659">
      <w:pPr>
        <w:pStyle w:val="ListParagraph"/>
        <w:numPr>
          <w:ilvl w:val="0"/>
          <w:numId w:val="43"/>
        </w:numPr>
        <w:spacing w:after="160" w:line="360" w:lineRule="auto"/>
        <w:rPr>
          <w:rFonts w:ascii="Arial" w:eastAsiaTheme="minorHAnsi" w:hAnsi="Arial" w:cs="Arial"/>
          <w:sz w:val="24"/>
          <w:szCs w:val="24"/>
        </w:rPr>
      </w:pPr>
      <w:r w:rsidRPr="0007572B">
        <w:rPr>
          <w:rFonts w:ascii="Arial" w:eastAsiaTheme="minorHAnsi" w:hAnsi="Arial" w:cs="Arial"/>
          <w:sz w:val="24"/>
          <w:szCs w:val="24"/>
        </w:rPr>
        <w:t>Its management of interest rate exposure:</w:t>
      </w:r>
    </w:p>
    <w:p w14:paraId="3AC6156B" w14:textId="77777777" w:rsidR="00C802FD" w:rsidRPr="0007572B" w:rsidRDefault="00C802FD" w:rsidP="006F1659">
      <w:pPr>
        <w:pStyle w:val="ListParagraph"/>
        <w:numPr>
          <w:ilvl w:val="0"/>
          <w:numId w:val="43"/>
        </w:numPr>
        <w:spacing w:after="160" w:line="360" w:lineRule="auto"/>
        <w:rPr>
          <w:rFonts w:ascii="Arial" w:eastAsiaTheme="minorHAnsi" w:hAnsi="Arial" w:cs="Arial"/>
          <w:sz w:val="24"/>
          <w:szCs w:val="24"/>
        </w:rPr>
      </w:pPr>
      <w:r w:rsidRPr="0007572B">
        <w:rPr>
          <w:rFonts w:ascii="Arial" w:eastAsiaTheme="minorHAnsi" w:hAnsi="Arial" w:cs="Arial"/>
          <w:sz w:val="24"/>
          <w:szCs w:val="24"/>
        </w:rPr>
        <w:t>Its maximum and minimum exposures to investments maturing beyond a year.</w:t>
      </w:r>
    </w:p>
    <w:p w14:paraId="5C3077B8" w14:textId="77777777" w:rsidR="00C802FD" w:rsidRDefault="00C802FD" w:rsidP="006F1659">
      <w:pPr>
        <w:numPr>
          <w:ilvl w:val="0"/>
          <w:numId w:val="8"/>
        </w:numPr>
        <w:spacing w:after="160" w:line="360" w:lineRule="auto"/>
        <w:ind w:left="850" w:hanging="425"/>
        <w:contextualSpacing/>
        <w:rPr>
          <w:rFonts w:ascii="Arial" w:eastAsiaTheme="minorHAnsi" w:hAnsi="Arial" w:cs="Arial"/>
          <w:lang w:eastAsia="en-GB"/>
        </w:rPr>
      </w:pPr>
      <w:r w:rsidRPr="0007572B">
        <w:rPr>
          <w:rFonts w:ascii="Arial" w:eastAsiaTheme="minorHAnsi" w:hAnsi="Arial" w:cs="Arial"/>
          <w:lang w:eastAsia="en-GB"/>
        </w:rPr>
        <w:lastRenderedPageBreak/>
        <w:t>by approving an investment strategy for the forthcoming year, setting out its criteria for both investing and selecting Investment counter parties in compliance with the Government Guidance.</w:t>
      </w:r>
    </w:p>
    <w:p w14:paraId="343E6E2C" w14:textId="77777777" w:rsidR="00DA17A8" w:rsidRPr="0007572B" w:rsidRDefault="00DA17A8" w:rsidP="00DA17A8">
      <w:pPr>
        <w:spacing w:after="160" w:line="360" w:lineRule="auto"/>
        <w:contextualSpacing/>
        <w:rPr>
          <w:rFonts w:ascii="Arial" w:eastAsiaTheme="minorHAnsi" w:hAnsi="Arial" w:cs="Arial"/>
          <w:lang w:eastAsia="en-GB"/>
        </w:rPr>
      </w:pPr>
    </w:p>
    <w:p w14:paraId="6FF12643" w14:textId="2AF48FC3" w:rsidR="00C802FD" w:rsidRPr="0007572B" w:rsidRDefault="00C802FD" w:rsidP="006F1659">
      <w:pPr>
        <w:pStyle w:val="FIBody"/>
        <w:spacing w:line="360" w:lineRule="auto"/>
        <w:ind w:left="0"/>
        <w:jc w:val="left"/>
        <w:rPr>
          <w:rFonts w:ascii="Arial" w:hAnsi="Arial"/>
          <w:color w:val="auto"/>
          <w:sz w:val="24"/>
          <w:szCs w:val="24"/>
          <w:lang w:eastAsia="en-GB"/>
        </w:rPr>
      </w:pPr>
      <w:r w:rsidRPr="0007572B">
        <w:rPr>
          <w:rFonts w:ascii="Arial" w:hAnsi="Arial"/>
          <w:color w:val="auto"/>
          <w:sz w:val="24"/>
          <w:szCs w:val="24"/>
          <w:lang w:eastAsia="en-GB"/>
        </w:rPr>
        <w:t>These are required to be reported and approved at or before the Authority’s annual setting of the budget or before the start of the year to which they relate. These items are reported with the annual treasury management strategy which outlines the detailed approach to managing risk in relation to the Council’s financial instrument exposure. Actual performance is also reported after each year, as is a mid-year update.</w:t>
      </w:r>
    </w:p>
    <w:p w14:paraId="1155DDB7" w14:textId="77777777" w:rsidR="00C802FD" w:rsidRPr="0007572B" w:rsidRDefault="00C802FD" w:rsidP="006F1659">
      <w:pPr>
        <w:pStyle w:val="FIBody"/>
        <w:spacing w:line="360" w:lineRule="auto"/>
        <w:ind w:left="0"/>
        <w:jc w:val="left"/>
        <w:rPr>
          <w:rFonts w:ascii="Arial" w:hAnsi="Arial"/>
          <w:color w:val="auto"/>
          <w:sz w:val="24"/>
          <w:szCs w:val="24"/>
          <w:lang w:eastAsia="en-GB"/>
        </w:rPr>
      </w:pPr>
    </w:p>
    <w:p w14:paraId="2627753F" w14:textId="052BE38C" w:rsidR="00C802FD" w:rsidRPr="0007572B" w:rsidRDefault="00C802FD" w:rsidP="006F1659">
      <w:pPr>
        <w:pStyle w:val="FIBody"/>
        <w:spacing w:line="360" w:lineRule="auto"/>
        <w:ind w:left="0"/>
        <w:jc w:val="left"/>
        <w:rPr>
          <w:rFonts w:ascii="Arial" w:hAnsi="Arial"/>
          <w:color w:val="auto"/>
          <w:sz w:val="24"/>
          <w:szCs w:val="24"/>
          <w:lang w:eastAsia="en-GB"/>
        </w:rPr>
      </w:pPr>
      <w:r w:rsidRPr="00DA17A8">
        <w:rPr>
          <w:rFonts w:ascii="Arial" w:hAnsi="Arial"/>
          <w:color w:val="auto"/>
          <w:sz w:val="24"/>
          <w:szCs w:val="24"/>
          <w:lang w:eastAsia="en-GB"/>
        </w:rPr>
        <w:t xml:space="preserve">The annual treasury management strategy which incorporates the prudential indicators was approved by the Combined Authority </w:t>
      </w:r>
      <w:r w:rsidR="00874A97" w:rsidRPr="00DA17A8">
        <w:rPr>
          <w:rFonts w:ascii="Arial" w:hAnsi="Arial"/>
          <w:color w:val="auto"/>
          <w:sz w:val="24"/>
          <w:szCs w:val="24"/>
          <w:lang w:eastAsia="en-GB"/>
        </w:rPr>
        <w:t xml:space="preserve">in </w:t>
      </w:r>
      <w:r w:rsidR="00DA17A8" w:rsidRPr="00DA17A8">
        <w:rPr>
          <w:rFonts w:ascii="Arial" w:hAnsi="Arial"/>
          <w:color w:val="auto"/>
          <w:sz w:val="24"/>
          <w:szCs w:val="24"/>
          <w:lang w:eastAsia="en-GB"/>
        </w:rPr>
        <w:t>March</w:t>
      </w:r>
      <w:r w:rsidR="00874A97" w:rsidRPr="00DA17A8">
        <w:rPr>
          <w:rFonts w:ascii="Arial" w:hAnsi="Arial"/>
          <w:color w:val="auto"/>
          <w:sz w:val="24"/>
          <w:szCs w:val="24"/>
          <w:lang w:eastAsia="en-GB"/>
        </w:rPr>
        <w:t xml:space="preserve"> </w:t>
      </w:r>
      <w:r w:rsidRPr="00DA17A8">
        <w:rPr>
          <w:rFonts w:ascii="Arial" w:hAnsi="Arial"/>
          <w:color w:val="auto"/>
          <w:sz w:val="24"/>
          <w:szCs w:val="24"/>
          <w:lang w:eastAsia="en-GB"/>
        </w:rPr>
        <w:t>202</w:t>
      </w:r>
      <w:r w:rsidR="00874A97" w:rsidRPr="00DA17A8">
        <w:rPr>
          <w:rFonts w:ascii="Arial" w:hAnsi="Arial"/>
          <w:color w:val="auto"/>
          <w:sz w:val="24"/>
          <w:szCs w:val="24"/>
          <w:lang w:eastAsia="en-GB"/>
        </w:rPr>
        <w:t>3</w:t>
      </w:r>
      <w:r w:rsidRPr="00DA17A8">
        <w:rPr>
          <w:rFonts w:ascii="Arial" w:hAnsi="Arial"/>
          <w:color w:val="auto"/>
          <w:sz w:val="24"/>
          <w:szCs w:val="24"/>
          <w:lang w:eastAsia="en-GB"/>
        </w:rPr>
        <w:t xml:space="preserve"> and is available on the </w:t>
      </w:r>
      <w:r w:rsidR="00CA750E" w:rsidRPr="00DA17A8">
        <w:rPr>
          <w:rFonts w:ascii="Arial" w:hAnsi="Arial"/>
          <w:color w:val="auto"/>
          <w:sz w:val="24"/>
          <w:szCs w:val="24"/>
          <w:lang w:eastAsia="en-GB"/>
        </w:rPr>
        <w:t>GMCA</w:t>
      </w:r>
      <w:r w:rsidRPr="00DA17A8">
        <w:rPr>
          <w:rFonts w:ascii="Arial" w:hAnsi="Arial"/>
          <w:color w:val="auto"/>
          <w:sz w:val="24"/>
          <w:szCs w:val="24"/>
          <w:lang w:eastAsia="en-GB"/>
        </w:rPr>
        <w:t xml:space="preserve"> website.</w:t>
      </w:r>
      <w:r w:rsidRPr="0007572B">
        <w:rPr>
          <w:rFonts w:ascii="Arial" w:hAnsi="Arial"/>
          <w:color w:val="auto"/>
          <w:sz w:val="24"/>
          <w:szCs w:val="24"/>
          <w:lang w:eastAsia="en-GB"/>
        </w:rPr>
        <w:t xml:space="preserve"> </w:t>
      </w:r>
    </w:p>
    <w:p w14:paraId="52C9BB77" w14:textId="77777777" w:rsidR="00C802FD" w:rsidRPr="0007572B" w:rsidRDefault="00C802FD" w:rsidP="006F1659">
      <w:pPr>
        <w:spacing w:line="360" w:lineRule="auto"/>
        <w:rPr>
          <w:rFonts w:ascii="Arial" w:eastAsiaTheme="minorHAnsi" w:hAnsi="Arial" w:cs="Arial"/>
        </w:rPr>
      </w:pPr>
    </w:p>
    <w:p w14:paraId="2029AC4F" w14:textId="2B50462D" w:rsidR="00C802FD" w:rsidRDefault="00C802FD" w:rsidP="006F1659">
      <w:pPr>
        <w:spacing w:line="360" w:lineRule="auto"/>
        <w:rPr>
          <w:rFonts w:ascii="Arial" w:eastAsiaTheme="minorHAnsi" w:hAnsi="Arial" w:cs="Arial"/>
        </w:rPr>
      </w:pPr>
      <w:r w:rsidRPr="0007572B">
        <w:rPr>
          <w:rFonts w:ascii="Arial" w:eastAsiaTheme="minorHAnsi" w:hAnsi="Arial" w:cs="Arial"/>
        </w:rPr>
        <w:t>Risk management is carried out by a central treasury team, under policies approved by the Authority in the annual treasury management strategy.</w:t>
      </w:r>
      <w:r w:rsidRPr="0007572B">
        <w:rPr>
          <w:rFonts w:ascii="Arial" w:hAnsi="Arial" w:cs="Arial"/>
          <w:sz w:val="28"/>
          <w:szCs w:val="28"/>
        </w:rPr>
        <w:t xml:space="preserve"> </w:t>
      </w:r>
      <w:r w:rsidRPr="0007572B">
        <w:rPr>
          <w:rFonts w:ascii="Arial" w:eastAsiaTheme="minorHAnsi" w:hAnsi="Arial" w:cs="Arial"/>
        </w:rPr>
        <w:t>The Authority maintains written principles for overall risk management, as well as written policies covering specific areas, such as interest rate risk, credit risk, and the investment of surplus cash through Treasury Management Practices (TMPs). These TMPs are a requirement of the Code of Practice and are reviewed periodically.</w:t>
      </w:r>
    </w:p>
    <w:p w14:paraId="41A0E7EA" w14:textId="77777777" w:rsidR="00D4492C" w:rsidRPr="0007572B" w:rsidRDefault="00D4492C" w:rsidP="006F1659">
      <w:pPr>
        <w:spacing w:line="360" w:lineRule="auto"/>
        <w:rPr>
          <w:rFonts w:ascii="Arial" w:eastAsiaTheme="minorHAnsi" w:hAnsi="Arial" w:cs="Arial"/>
        </w:rPr>
      </w:pPr>
    </w:p>
    <w:p w14:paraId="71E58A3B" w14:textId="77777777" w:rsidR="00C802FD" w:rsidRPr="0007572B" w:rsidRDefault="00C802FD" w:rsidP="006F1659">
      <w:pPr>
        <w:pStyle w:val="Heading4bold"/>
        <w:spacing w:line="360" w:lineRule="auto"/>
        <w:rPr>
          <w:rFonts w:eastAsiaTheme="minorHAnsi"/>
        </w:rPr>
      </w:pPr>
      <w:r w:rsidRPr="0007572B">
        <w:rPr>
          <w:rFonts w:eastAsiaTheme="minorHAnsi"/>
        </w:rPr>
        <w:t>Specified Investments</w:t>
      </w:r>
    </w:p>
    <w:p w14:paraId="0DF4E88E" w14:textId="77777777" w:rsidR="00C802FD" w:rsidRPr="0007572B" w:rsidRDefault="00C802FD" w:rsidP="006F1659">
      <w:pPr>
        <w:spacing w:line="360" w:lineRule="auto"/>
        <w:rPr>
          <w:rFonts w:ascii="Arial" w:eastAsiaTheme="minorHAnsi" w:hAnsi="Arial" w:cs="Arial"/>
        </w:rPr>
      </w:pPr>
    </w:p>
    <w:p w14:paraId="078A5174" w14:textId="27AB81CF" w:rsidR="00C802FD" w:rsidRPr="0007572B" w:rsidRDefault="00C802FD" w:rsidP="006F1659">
      <w:pPr>
        <w:spacing w:after="160" w:line="360" w:lineRule="auto"/>
        <w:rPr>
          <w:rFonts w:ascii="Arial" w:eastAsiaTheme="minorHAnsi" w:hAnsi="Arial" w:cs="Arial"/>
        </w:rPr>
      </w:pPr>
      <w:r w:rsidRPr="0007572B">
        <w:rPr>
          <w:rFonts w:ascii="Arial" w:eastAsiaTheme="minorHAnsi" w:hAnsi="Arial" w:cs="Arial"/>
        </w:rPr>
        <w:t>Specified Investments are investments in sterling denomination, with maturities up to a maximum of 1 year. All specified investments meet the minimum ‘high’ ratings criteria where applicable.</w:t>
      </w:r>
    </w:p>
    <w:p w14:paraId="606375A7" w14:textId="77777777" w:rsidR="00C802FD" w:rsidRPr="0007572B" w:rsidRDefault="00C802FD" w:rsidP="006F1659">
      <w:pPr>
        <w:numPr>
          <w:ilvl w:val="1"/>
          <w:numId w:val="9"/>
        </w:numPr>
        <w:spacing w:after="160" w:line="360" w:lineRule="auto"/>
        <w:ind w:left="709" w:hanging="425"/>
        <w:contextualSpacing/>
        <w:rPr>
          <w:rFonts w:ascii="Arial" w:eastAsiaTheme="minorHAnsi" w:hAnsi="Arial" w:cs="Arial"/>
          <w:lang w:eastAsia="en-GB"/>
        </w:rPr>
      </w:pPr>
      <w:r w:rsidRPr="0007572B">
        <w:rPr>
          <w:rFonts w:ascii="Arial" w:eastAsiaTheme="minorHAnsi" w:hAnsi="Arial" w:cs="Arial"/>
          <w:lang w:eastAsia="en-GB"/>
        </w:rPr>
        <w:t>Term deposits – Other local authorities: Credit Criteria high security;</w:t>
      </w:r>
    </w:p>
    <w:p w14:paraId="62A56F71" w14:textId="3D03ED0F" w:rsidR="00C802FD" w:rsidRPr="0007572B" w:rsidRDefault="00C802FD" w:rsidP="006F1659">
      <w:pPr>
        <w:numPr>
          <w:ilvl w:val="1"/>
          <w:numId w:val="9"/>
        </w:numPr>
        <w:spacing w:after="160" w:line="360" w:lineRule="auto"/>
        <w:ind w:left="709" w:hanging="425"/>
        <w:contextualSpacing/>
        <w:rPr>
          <w:rFonts w:ascii="Arial" w:eastAsiaTheme="minorHAnsi" w:hAnsi="Arial" w:cs="Arial"/>
          <w:lang w:eastAsia="en-GB"/>
        </w:rPr>
      </w:pPr>
      <w:r w:rsidRPr="0007572B">
        <w:rPr>
          <w:rFonts w:ascii="Arial" w:eastAsiaTheme="minorHAnsi" w:hAnsi="Arial" w:cs="Arial"/>
          <w:lang w:eastAsia="en-GB"/>
        </w:rPr>
        <w:t xml:space="preserve">Term deposits – Banks and building societies; Credit Criteria </w:t>
      </w:r>
      <w:r w:rsidR="00732359">
        <w:rPr>
          <w:rFonts w:ascii="Arial" w:eastAsiaTheme="minorHAnsi" w:hAnsi="Arial" w:cs="Arial"/>
          <w:lang w:eastAsia="en-GB"/>
        </w:rPr>
        <w:t>Minimum of A-</w:t>
      </w:r>
      <w:r w:rsidRPr="0007572B">
        <w:rPr>
          <w:rFonts w:ascii="Arial" w:eastAsiaTheme="minorHAnsi" w:hAnsi="Arial" w:cs="Arial"/>
          <w:lang w:eastAsia="en-GB"/>
        </w:rPr>
        <w:t>;</w:t>
      </w:r>
    </w:p>
    <w:p w14:paraId="7FB131D7" w14:textId="77777777" w:rsidR="00C802FD" w:rsidRPr="0007572B" w:rsidRDefault="00C802FD" w:rsidP="006F1659">
      <w:pPr>
        <w:numPr>
          <w:ilvl w:val="1"/>
          <w:numId w:val="9"/>
        </w:numPr>
        <w:spacing w:after="160" w:line="360" w:lineRule="auto"/>
        <w:ind w:left="709" w:hanging="425"/>
        <w:contextualSpacing/>
        <w:rPr>
          <w:rFonts w:ascii="Arial" w:eastAsiaTheme="minorHAnsi" w:hAnsi="Arial" w:cs="Arial"/>
          <w:lang w:eastAsia="en-GB"/>
        </w:rPr>
      </w:pPr>
      <w:r w:rsidRPr="0007572B">
        <w:rPr>
          <w:rFonts w:ascii="Arial" w:eastAsiaTheme="minorHAnsi" w:hAnsi="Arial" w:cs="Arial"/>
          <w:lang w:eastAsia="en-GB"/>
        </w:rPr>
        <w:t>Debt Management Agency Deposit Facility &amp; UK Nationalised Banks – UK Government Backed;</w:t>
      </w:r>
    </w:p>
    <w:p w14:paraId="4BD2059B" w14:textId="77777777" w:rsidR="00C802FD" w:rsidRPr="0007572B" w:rsidRDefault="00C802FD" w:rsidP="006F1659">
      <w:pPr>
        <w:numPr>
          <w:ilvl w:val="1"/>
          <w:numId w:val="9"/>
        </w:numPr>
        <w:spacing w:after="160" w:line="360" w:lineRule="auto"/>
        <w:ind w:left="709" w:hanging="425"/>
        <w:contextualSpacing/>
        <w:rPr>
          <w:rFonts w:ascii="Arial" w:eastAsiaTheme="minorHAnsi" w:hAnsi="Arial" w:cs="Arial"/>
          <w:lang w:eastAsia="en-GB"/>
        </w:rPr>
      </w:pPr>
      <w:r w:rsidRPr="0007572B">
        <w:rPr>
          <w:rFonts w:ascii="Arial" w:eastAsiaTheme="minorHAnsi" w:hAnsi="Arial" w:cs="Arial"/>
          <w:lang w:eastAsia="en-GB"/>
        </w:rPr>
        <w:tab/>
        <w:t>Certificates of deposits issued by banks and building societies covered by UK Government guarantees – UK Government explicit guarantee;</w:t>
      </w:r>
    </w:p>
    <w:p w14:paraId="532DF8EE" w14:textId="77777777" w:rsidR="00C802FD" w:rsidRPr="0007572B" w:rsidRDefault="00C802FD" w:rsidP="006F1659">
      <w:pPr>
        <w:numPr>
          <w:ilvl w:val="1"/>
          <w:numId w:val="9"/>
        </w:numPr>
        <w:spacing w:after="160" w:line="360" w:lineRule="auto"/>
        <w:ind w:left="709" w:hanging="425"/>
        <w:contextualSpacing/>
        <w:rPr>
          <w:rFonts w:ascii="Arial" w:eastAsiaTheme="minorHAnsi" w:hAnsi="Arial" w:cs="Arial"/>
          <w:lang w:eastAsia="en-GB"/>
        </w:rPr>
      </w:pPr>
      <w:r w:rsidRPr="0007572B">
        <w:rPr>
          <w:rFonts w:ascii="Arial" w:eastAsiaTheme="minorHAnsi" w:hAnsi="Arial" w:cs="Arial"/>
          <w:lang w:eastAsia="en-GB"/>
        </w:rPr>
        <w:lastRenderedPageBreak/>
        <w:tab/>
        <w:t>Money Market Funds, credit criteria AAA;</w:t>
      </w:r>
    </w:p>
    <w:p w14:paraId="25B39256" w14:textId="77777777" w:rsidR="00C802FD" w:rsidRPr="0007572B" w:rsidRDefault="00C802FD" w:rsidP="006F1659">
      <w:pPr>
        <w:numPr>
          <w:ilvl w:val="1"/>
          <w:numId w:val="9"/>
        </w:numPr>
        <w:spacing w:after="160" w:line="360" w:lineRule="auto"/>
        <w:ind w:left="709" w:hanging="425"/>
        <w:contextualSpacing/>
        <w:rPr>
          <w:rFonts w:ascii="Arial" w:eastAsiaTheme="minorHAnsi" w:hAnsi="Arial" w:cs="Arial"/>
          <w:lang w:eastAsia="en-GB"/>
        </w:rPr>
      </w:pPr>
      <w:r w:rsidRPr="0007572B">
        <w:rPr>
          <w:rFonts w:ascii="Arial" w:eastAsiaTheme="minorHAnsi" w:hAnsi="Arial" w:cs="Arial"/>
          <w:lang w:eastAsia="en-GB"/>
        </w:rPr>
        <w:tab/>
        <w:t>Non-UK Banks / Building Societies – Domiciled in a country which has a minimum sovereign Long Term rating of AAA;</w:t>
      </w:r>
    </w:p>
    <w:p w14:paraId="7501B8D8" w14:textId="77777777" w:rsidR="00C802FD" w:rsidRPr="0007572B" w:rsidRDefault="00C802FD" w:rsidP="006F1659">
      <w:pPr>
        <w:numPr>
          <w:ilvl w:val="1"/>
          <w:numId w:val="9"/>
        </w:numPr>
        <w:spacing w:after="160" w:line="360" w:lineRule="auto"/>
        <w:ind w:left="709" w:hanging="425"/>
        <w:contextualSpacing/>
        <w:rPr>
          <w:rFonts w:ascii="Arial" w:eastAsiaTheme="minorHAnsi" w:hAnsi="Arial" w:cs="Arial"/>
          <w:lang w:eastAsia="en-GB"/>
        </w:rPr>
      </w:pPr>
      <w:r w:rsidRPr="0007572B">
        <w:rPr>
          <w:rFonts w:ascii="Arial" w:eastAsiaTheme="minorHAnsi" w:hAnsi="Arial" w:cs="Arial"/>
          <w:lang w:eastAsia="en-GB"/>
        </w:rPr>
        <w:tab/>
        <w:t>Treasury Bills – UK Government backed;</w:t>
      </w:r>
    </w:p>
    <w:p w14:paraId="5E1D1ADF" w14:textId="77777777" w:rsidR="00C802FD" w:rsidRDefault="00C802FD" w:rsidP="006F1659">
      <w:pPr>
        <w:numPr>
          <w:ilvl w:val="1"/>
          <w:numId w:val="9"/>
        </w:numPr>
        <w:spacing w:after="160" w:line="360" w:lineRule="auto"/>
        <w:ind w:left="709" w:hanging="425"/>
        <w:contextualSpacing/>
        <w:rPr>
          <w:rFonts w:ascii="Arial" w:eastAsiaTheme="minorHAnsi" w:hAnsi="Arial" w:cs="Arial"/>
          <w:lang w:eastAsia="en-GB"/>
        </w:rPr>
      </w:pPr>
      <w:r w:rsidRPr="0007572B">
        <w:rPr>
          <w:rFonts w:ascii="Arial" w:eastAsiaTheme="minorHAnsi" w:hAnsi="Arial" w:cs="Arial"/>
          <w:lang w:eastAsia="en-GB"/>
        </w:rPr>
        <w:t>Covered Bonds – Credit Criteria AAA.</w:t>
      </w:r>
    </w:p>
    <w:p w14:paraId="4B698C91" w14:textId="77777777" w:rsidR="00DA17A8" w:rsidRPr="0007572B" w:rsidRDefault="00DA17A8" w:rsidP="00DA17A8">
      <w:pPr>
        <w:spacing w:after="160" w:line="360" w:lineRule="auto"/>
        <w:contextualSpacing/>
        <w:rPr>
          <w:rFonts w:ascii="Arial" w:eastAsiaTheme="minorHAnsi" w:hAnsi="Arial" w:cs="Arial"/>
          <w:lang w:eastAsia="en-GB"/>
        </w:rPr>
      </w:pPr>
    </w:p>
    <w:p w14:paraId="226A007D" w14:textId="77777777" w:rsidR="00C802FD" w:rsidRPr="0007572B" w:rsidRDefault="00C802FD" w:rsidP="006F1659">
      <w:pPr>
        <w:pStyle w:val="Heading4bold"/>
        <w:spacing w:line="360" w:lineRule="auto"/>
        <w:rPr>
          <w:rFonts w:eastAsiaTheme="minorHAnsi"/>
        </w:rPr>
      </w:pPr>
      <w:r w:rsidRPr="0007572B">
        <w:rPr>
          <w:rFonts w:eastAsiaTheme="minorHAnsi"/>
        </w:rPr>
        <w:t>Non-Specified Investments</w:t>
      </w:r>
    </w:p>
    <w:p w14:paraId="57A171BB" w14:textId="77777777" w:rsidR="00C802FD" w:rsidRDefault="00C802FD" w:rsidP="006F1659">
      <w:pPr>
        <w:spacing w:after="160" w:line="360" w:lineRule="auto"/>
        <w:rPr>
          <w:rFonts w:ascii="Arial" w:eastAsiaTheme="minorHAnsi" w:hAnsi="Arial" w:cs="Arial"/>
        </w:rPr>
      </w:pPr>
      <w:r w:rsidRPr="0007572B">
        <w:rPr>
          <w:rFonts w:ascii="Arial" w:eastAsiaTheme="minorHAnsi" w:hAnsi="Arial" w:cs="Arial"/>
        </w:rPr>
        <w:t>Non-specified investments are any other type of investment not defined as specified above. Any proposals to use any non-specified investments will be reported to members for approval.</w:t>
      </w:r>
    </w:p>
    <w:p w14:paraId="194622A9" w14:textId="77777777" w:rsidR="00DA17A8" w:rsidRPr="0007572B" w:rsidRDefault="00DA17A8" w:rsidP="006F1659">
      <w:pPr>
        <w:spacing w:after="160" w:line="360" w:lineRule="auto"/>
        <w:rPr>
          <w:rFonts w:ascii="Arial" w:eastAsiaTheme="minorHAnsi" w:hAnsi="Arial" w:cs="Arial"/>
        </w:rPr>
      </w:pPr>
    </w:p>
    <w:p w14:paraId="67950738" w14:textId="77777777" w:rsidR="00C802FD" w:rsidRPr="0007572B" w:rsidRDefault="00C802FD" w:rsidP="006F1659">
      <w:pPr>
        <w:pStyle w:val="Heading4bold"/>
        <w:spacing w:line="360" w:lineRule="auto"/>
        <w:rPr>
          <w:rFonts w:eastAsiaTheme="minorHAnsi"/>
        </w:rPr>
      </w:pPr>
      <w:r w:rsidRPr="0007572B">
        <w:rPr>
          <w:rFonts w:eastAsiaTheme="minorHAnsi"/>
        </w:rPr>
        <w:t>Investment Limits</w:t>
      </w:r>
    </w:p>
    <w:p w14:paraId="5B42EBF3" w14:textId="71EAA929" w:rsidR="00C802FD" w:rsidRPr="0007572B" w:rsidRDefault="00C802FD" w:rsidP="006F1659">
      <w:pPr>
        <w:spacing w:after="160" w:line="360" w:lineRule="auto"/>
        <w:jc w:val="both"/>
        <w:rPr>
          <w:rFonts w:ascii="Arial" w:eastAsiaTheme="minorHAnsi" w:hAnsi="Arial" w:cs="Arial"/>
        </w:rPr>
      </w:pPr>
      <w:r w:rsidRPr="0007572B">
        <w:rPr>
          <w:rFonts w:ascii="Arial" w:eastAsiaTheme="minorHAnsi" w:hAnsi="Arial" w:cs="Arial"/>
        </w:rPr>
        <w:t xml:space="preserve">The financial investment limits </w:t>
      </w:r>
      <w:r w:rsidR="00732359">
        <w:rPr>
          <w:rFonts w:ascii="Arial" w:eastAsiaTheme="minorHAnsi" w:hAnsi="Arial" w:cs="Arial"/>
        </w:rPr>
        <w:t>applying to institutions or investment vehicles are</w:t>
      </w:r>
      <w:r w:rsidRPr="0007572B">
        <w:rPr>
          <w:rFonts w:ascii="Arial" w:eastAsiaTheme="minorHAnsi" w:hAnsi="Arial" w:cs="Arial"/>
        </w:rPr>
        <w:t xml:space="preserve"> as follows:</w:t>
      </w:r>
    </w:p>
    <w:p w14:paraId="3162A5BD" w14:textId="25467081" w:rsidR="00C802FD" w:rsidRDefault="00C802FD" w:rsidP="006F1659">
      <w:pPr>
        <w:pStyle w:val="ListParagraph"/>
        <w:numPr>
          <w:ilvl w:val="0"/>
          <w:numId w:val="32"/>
        </w:numPr>
        <w:spacing w:line="360" w:lineRule="auto"/>
        <w:jc w:val="both"/>
        <w:rPr>
          <w:rFonts w:ascii="Arial" w:eastAsiaTheme="minorHAnsi" w:hAnsi="Arial" w:cs="Arial"/>
          <w:sz w:val="24"/>
          <w:szCs w:val="24"/>
        </w:rPr>
      </w:pPr>
      <w:r w:rsidRPr="0007572B">
        <w:rPr>
          <w:rFonts w:ascii="Arial" w:eastAsiaTheme="minorHAnsi" w:hAnsi="Arial" w:cs="Arial"/>
          <w:sz w:val="24"/>
          <w:szCs w:val="24"/>
        </w:rPr>
        <w:t>Banks and Building Societies</w:t>
      </w:r>
      <w:r w:rsidR="00732359">
        <w:rPr>
          <w:rFonts w:ascii="Arial" w:eastAsiaTheme="minorHAnsi" w:hAnsi="Arial" w:cs="Arial"/>
          <w:sz w:val="24"/>
          <w:szCs w:val="24"/>
        </w:rPr>
        <w:tab/>
      </w:r>
      <w:r w:rsidR="000933D8">
        <w:rPr>
          <w:rFonts w:ascii="Arial" w:eastAsiaTheme="minorHAnsi" w:hAnsi="Arial" w:cs="Arial"/>
          <w:sz w:val="24"/>
          <w:szCs w:val="24"/>
        </w:rPr>
        <w:tab/>
      </w:r>
      <w:r w:rsidR="000933D8">
        <w:rPr>
          <w:rFonts w:ascii="Arial" w:eastAsiaTheme="minorHAnsi" w:hAnsi="Arial" w:cs="Arial"/>
          <w:sz w:val="24"/>
          <w:szCs w:val="24"/>
        </w:rPr>
        <w:tab/>
      </w:r>
      <w:r w:rsidR="000933D8">
        <w:rPr>
          <w:rFonts w:ascii="Arial" w:eastAsiaTheme="minorHAnsi" w:hAnsi="Arial" w:cs="Arial"/>
          <w:sz w:val="24"/>
          <w:szCs w:val="24"/>
        </w:rPr>
        <w:tab/>
      </w:r>
      <w:r w:rsidR="000933D8">
        <w:rPr>
          <w:rFonts w:ascii="Arial" w:eastAsiaTheme="minorHAnsi" w:hAnsi="Arial" w:cs="Arial"/>
          <w:sz w:val="24"/>
          <w:szCs w:val="24"/>
        </w:rPr>
        <w:tab/>
      </w:r>
      <w:r w:rsidR="00732359">
        <w:rPr>
          <w:rFonts w:ascii="Arial" w:eastAsiaTheme="minorHAnsi" w:hAnsi="Arial" w:cs="Arial"/>
          <w:sz w:val="24"/>
          <w:szCs w:val="24"/>
        </w:rPr>
        <w:t>£25m</w:t>
      </w:r>
    </w:p>
    <w:p w14:paraId="7EC2A115" w14:textId="02535691" w:rsidR="00732359" w:rsidRDefault="00732359" w:rsidP="006F1659">
      <w:pPr>
        <w:pStyle w:val="ListParagraph"/>
        <w:numPr>
          <w:ilvl w:val="0"/>
          <w:numId w:val="32"/>
        </w:numPr>
        <w:spacing w:line="360" w:lineRule="auto"/>
        <w:jc w:val="both"/>
        <w:rPr>
          <w:rFonts w:ascii="Arial" w:eastAsiaTheme="minorHAnsi" w:hAnsi="Arial" w:cs="Arial"/>
          <w:sz w:val="24"/>
          <w:szCs w:val="24"/>
        </w:rPr>
      </w:pPr>
      <w:r>
        <w:rPr>
          <w:rFonts w:ascii="Arial" w:eastAsiaTheme="minorHAnsi" w:hAnsi="Arial" w:cs="Arial"/>
          <w:sz w:val="24"/>
          <w:szCs w:val="24"/>
        </w:rPr>
        <w:t xml:space="preserve">CD’s or Corporate Bonds with Banks and Building </w:t>
      </w:r>
      <w:r w:rsidR="000933D8">
        <w:rPr>
          <w:rFonts w:ascii="Arial" w:eastAsiaTheme="minorHAnsi" w:hAnsi="Arial" w:cs="Arial"/>
          <w:sz w:val="24"/>
          <w:szCs w:val="24"/>
        </w:rPr>
        <w:t>Societies</w:t>
      </w:r>
      <w:r w:rsidR="000933D8">
        <w:rPr>
          <w:rFonts w:ascii="Arial" w:eastAsiaTheme="minorHAnsi" w:hAnsi="Arial" w:cs="Arial"/>
          <w:sz w:val="24"/>
          <w:szCs w:val="24"/>
        </w:rPr>
        <w:tab/>
        <w:t>£25m</w:t>
      </w:r>
    </w:p>
    <w:p w14:paraId="62D61537" w14:textId="2BDE4544" w:rsidR="00C802FD" w:rsidRPr="00732359" w:rsidRDefault="00C802FD" w:rsidP="006F1659">
      <w:pPr>
        <w:pStyle w:val="ListParagraph"/>
        <w:numPr>
          <w:ilvl w:val="0"/>
          <w:numId w:val="32"/>
        </w:numPr>
        <w:spacing w:line="360" w:lineRule="auto"/>
        <w:jc w:val="both"/>
        <w:rPr>
          <w:rFonts w:ascii="Arial" w:eastAsiaTheme="minorHAnsi" w:hAnsi="Arial" w:cs="Arial"/>
          <w:sz w:val="24"/>
          <w:szCs w:val="24"/>
        </w:rPr>
      </w:pPr>
      <w:r w:rsidRPr="00732359">
        <w:rPr>
          <w:rFonts w:ascii="Arial" w:eastAsiaTheme="minorHAnsi" w:hAnsi="Arial" w:cs="Arial"/>
        </w:rPr>
        <w:t>Debt Management Office</w:t>
      </w:r>
      <w:r w:rsidRPr="00732359">
        <w:rPr>
          <w:rFonts w:ascii="Arial" w:eastAsiaTheme="minorHAnsi" w:hAnsi="Arial" w:cs="Arial"/>
        </w:rPr>
        <w:tab/>
      </w:r>
      <w:r w:rsidRPr="00732359">
        <w:rPr>
          <w:rFonts w:ascii="Arial" w:eastAsiaTheme="minorHAnsi" w:hAnsi="Arial" w:cs="Arial"/>
        </w:rPr>
        <w:tab/>
      </w:r>
      <w:r w:rsidR="000933D8">
        <w:rPr>
          <w:rFonts w:ascii="Arial" w:eastAsiaTheme="minorHAnsi" w:hAnsi="Arial" w:cs="Arial"/>
        </w:rPr>
        <w:tab/>
      </w:r>
      <w:r w:rsidR="000933D8">
        <w:rPr>
          <w:rFonts w:ascii="Arial" w:eastAsiaTheme="minorHAnsi" w:hAnsi="Arial" w:cs="Arial"/>
        </w:rPr>
        <w:tab/>
      </w:r>
      <w:r w:rsidR="000933D8">
        <w:rPr>
          <w:rFonts w:ascii="Arial" w:eastAsiaTheme="minorHAnsi" w:hAnsi="Arial" w:cs="Arial"/>
        </w:rPr>
        <w:tab/>
      </w:r>
      <w:r w:rsidR="000933D8">
        <w:rPr>
          <w:rFonts w:ascii="Arial" w:eastAsiaTheme="minorHAnsi" w:hAnsi="Arial" w:cs="Arial"/>
        </w:rPr>
        <w:tab/>
      </w:r>
      <w:r w:rsidR="00732359">
        <w:rPr>
          <w:rFonts w:ascii="Arial" w:eastAsiaTheme="minorHAnsi" w:hAnsi="Arial" w:cs="Arial"/>
        </w:rPr>
        <w:t>Unlimited</w:t>
      </w:r>
    </w:p>
    <w:p w14:paraId="49F8BF1D" w14:textId="582453AC" w:rsidR="00C802FD" w:rsidRPr="0007572B" w:rsidRDefault="000933D8" w:rsidP="006F1659">
      <w:pPr>
        <w:pStyle w:val="ListParagraph"/>
        <w:numPr>
          <w:ilvl w:val="0"/>
          <w:numId w:val="31"/>
        </w:numPr>
        <w:spacing w:line="360" w:lineRule="auto"/>
        <w:jc w:val="both"/>
        <w:rPr>
          <w:rFonts w:ascii="Arial" w:eastAsiaTheme="minorHAnsi" w:hAnsi="Arial" w:cs="Arial"/>
          <w:sz w:val="24"/>
          <w:szCs w:val="24"/>
        </w:rPr>
      </w:pPr>
      <w:r>
        <w:rPr>
          <w:rFonts w:ascii="Arial" w:eastAsiaTheme="minorHAnsi" w:hAnsi="Arial" w:cs="Arial"/>
          <w:sz w:val="24"/>
          <w:szCs w:val="24"/>
        </w:rPr>
        <w:t>Money Market Funds</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£25m</w:t>
      </w:r>
      <w:r>
        <w:rPr>
          <w:rFonts w:ascii="Arial" w:eastAsiaTheme="minorHAnsi" w:hAnsi="Arial" w:cs="Arial"/>
          <w:sz w:val="24"/>
          <w:szCs w:val="24"/>
        </w:rPr>
        <w:tab/>
      </w:r>
    </w:p>
    <w:p w14:paraId="66C89718" w14:textId="405E0A98" w:rsidR="00C802FD" w:rsidRDefault="00C802FD" w:rsidP="006F1659">
      <w:pPr>
        <w:pStyle w:val="ListParagraph"/>
        <w:numPr>
          <w:ilvl w:val="0"/>
          <w:numId w:val="31"/>
        </w:numPr>
        <w:spacing w:after="160" w:line="360" w:lineRule="auto"/>
        <w:jc w:val="both"/>
        <w:rPr>
          <w:rFonts w:ascii="Arial" w:eastAsiaTheme="minorHAnsi" w:hAnsi="Arial" w:cs="Arial"/>
          <w:sz w:val="24"/>
          <w:szCs w:val="24"/>
        </w:rPr>
      </w:pPr>
      <w:r w:rsidRPr="0007572B">
        <w:rPr>
          <w:rFonts w:ascii="Arial" w:eastAsiaTheme="minorHAnsi" w:hAnsi="Arial" w:cs="Arial"/>
          <w:sz w:val="24"/>
          <w:szCs w:val="24"/>
        </w:rPr>
        <w:t>Other local authorities</w:t>
      </w:r>
      <w:r w:rsidRPr="0007572B">
        <w:rPr>
          <w:rFonts w:ascii="Arial" w:eastAsiaTheme="minorHAnsi" w:hAnsi="Arial" w:cs="Arial"/>
          <w:sz w:val="24"/>
          <w:szCs w:val="24"/>
        </w:rPr>
        <w:tab/>
      </w:r>
      <w:r w:rsidRPr="0007572B">
        <w:rPr>
          <w:rFonts w:ascii="Arial" w:eastAsiaTheme="minorHAnsi" w:hAnsi="Arial" w:cs="Arial"/>
          <w:sz w:val="24"/>
          <w:szCs w:val="24"/>
        </w:rPr>
        <w:tab/>
      </w:r>
      <w:r w:rsidR="000933D8">
        <w:rPr>
          <w:rFonts w:ascii="Arial" w:eastAsiaTheme="minorHAnsi" w:hAnsi="Arial" w:cs="Arial"/>
          <w:sz w:val="24"/>
          <w:szCs w:val="24"/>
        </w:rPr>
        <w:tab/>
      </w:r>
      <w:r w:rsidR="000933D8">
        <w:rPr>
          <w:rFonts w:ascii="Arial" w:eastAsiaTheme="minorHAnsi" w:hAnsi="Arial" w:cs="Arial"/>
          <w:sz w:val="24"/>
          <w:szCs w:val="24"/>
        </w:rPr>
        <w:tab/>
      </w:r>
      <w:r w:rsidR="000933D8">
        <w:rPr>
          <w:rFonts w:ascii="Arial" w:eastAsiaTheme="minorHAnsi" w:hAnsi="Arial" w:cs="Arial"/>
          <w:sz w:val="24"/>
          <w:szCs w:val="24"/>
        </w:rPr>
        <w:tab/>
      </w:r>
      <w:r w:rsidR="000933D8">
        <w:rPr>
          <w:rFonts w:ascii="Arial" w:eastAsiaTheme="minorHAnsi" w:hAnsi="Arial" w:cs="Arial"/>
          <w:sz w:val="24"/>
          <w:szCs w:val="24"/>
        </w:rPr>
        <w:tab/>
      </w:r>
      <w:r w:rsidRPr="0007572B">
        <w:rPr>
          <w:rFonts w:ascii="Arial" w:eastAsiaTheme="minorHAnsi" w:hAnsi="Arial" w:cs="Arial"/>
          <w:sz w:val="24"/>
          <w:szCs w:val="24"/>
        </w:rPr>
        <w:t>£2</w:t>
      </w:r>
      <w:r w:rsidR="000933D8">
        <w:rPr>
          <w:rFonts w:ascii="Arial" w:eastAsiaTheme="minorHAnsi" w:hAnsi="Arial" w:cs="Arial"/>
          <w:sz w:val="24"/>
          <w:szCs w:val="24"/>
        </w:rPr>
        <w:t>5</w:t>
      </w:r>
      <w:r w:rsidRPr="0007572B">
        <w:rPr>
          <w:rFonts w:ascii="Arial" w:eastAsiaTheme="minorHAnsi" w:hAnsi="Arial" w:cs="Arial"/>
          <w:sz w:val="24"/>
          <w:szCs w:val="24"/>
        </w:rPr>
        <w:t>m</w:t>
      </w:r>
    </w:p>
    <w:p w14:paraId="1DA7D32C" w14:textId="77777777" w:rsidR="00DA17A8" w:rsidRPr="00DA17A8" w:rsidRDefault="00DA17A8" w:rsidP="00DA17A8">
      <w:pPr>
        <w:spacing w:after="160" w:line="360" w:lineRule="auto"/>
        <w:jc w:val="both"/>
        <w:rPr>
          <w:rFonts w:ascii="Arial" w:eastAsiaTheme="minorHAnsi" w:hAnsi="Arial" w:cs="Arial"/>
        </w:rPr>
      </w:pPr>
    </w:p>
    <w:p w14:paraId="5A8D38BC" w14:textId="77777777" w:rsidR="00C802FD" w:rsidRPr="0007572B" w:rsidRDefault="00C802FD" w:rsidP="006F1659">
      <w:pPr>
        <w:pStyle w:val="Heading4bold"/>
        <w:spacing w:line="360" w:lineRule="auto"/>
        <w:rPr>
          <w:rFonts w:eastAsiaTheme="minorHAnsi"/>
        </w:rPr>
      </w:pPr>
      <w:r w:rsidRPr="0007572B">
        <w:rPr>
          <w:rFonts w:eastAsiaTheme="minorHAnsi"/>
        </w:rPr>
        <w:t>Credit Risk</w:t>
      </w:r>
    </w:p>
    <w:p w14:paraId="32A33B90" w14:textId="77777777" w:rsidR="00C802FD" w:rsidRPr="0007572B" w:rsidRDefault="00C802FD" w:rsidP="006F1659">
      <w:pPr>
        <w:spacing w:line="360" w:lineRule="auto"/>
        <w:rPr>
          <w:rFonts w:ascii="Arial" w:eastAsiaTheme="minorHAnsi" w:hAnsi="Arial" w:cs="Arial"/>
        </w:rPr>
      </w:pPr>
      <w:r w:rsidRPr="0007572B">
        <w:rPr>
          <w:rFonts w:ascii="Arial" w:eastAsiaTheme="minorHAnsi" w:hAnsi="Arial" w:cs="Arial"/>
        </w:rPr>
        <w:t>Credit risk arises from deposits with banks and financial institutions, as well as credit exposures to the Authority’s debtors and creditors.</w:t>
      </w:r>
    </w:p>
    <w:p w14:paraId="3B30C1E1" w14:textId="77777777" w:rsidR="00C802FD" w:rsidRPr="0007572B" w:rsidRDefault="00C802FD" w:rsidP="006F1659">
      <w:pPr>
        <w:spacing w:line="360" w:lineRule="auto"/>
        <w:rPr>
          <w:rFonts w:ascii="Arial" w:eastAsiaTheme="minorHAnsi" w:hAnsi="Arial" w:cs="Arial"/>
        </w:rPr>
      </w:pPr>
    </w:p>
    <w:p w14:paraId="588AA1EA" w14:textId="135A3639" w:rsidR="00C802FD" w:rsidRPr="00DA17A8" w:rsidRDefault="00C802FD" w:rsidP="006F1659">
      <w:pPr>
        <w:spacing w:line="360" w:lineRule="auto"/>
        <w:rPr>
          <w:rFonts w:ascii="Arial" w:eastAsiaTheme="minorHAnsi" w:hAnsi="Arial" w:cs="Arial"/>
        </w:rPr>
      </w:pPr>
      <w:r w:rsidRPr="0007572B">
        <w:rPr>
          <w:rFonts w:ascii="Arial" w:eastAsiaTheme="minorHAnsi" w:hAnsi="Arial" w:cs="Arial"/>
        </w:rPr>
        <w:t xml:space="preserve">This risk is minimised through the Annual Investment Strategy, which requires that deposits are not made with financial institutions unless they meet identified minimum credit criteria, in accordance with the Fitch and Moody’s Ratings Services. The Annual Investment Strategy also imposes a maximum sum to be invested with a financial institution located within each category. Deposits are not made with banks and financial institutions unless they meet the minimum requirements of the investment criteria </w:t>
      </w:r>
      <w:r w:rsidRPr="0007572B">
        <w:rPr>
          <w:rFonts w:ascii="Arial" w:eastAsiaTheme="minorHAnsi" w:hAnsi="Arial" w:cs="Arial"/>
        </w:rPr>
        <w:lastRenderedPageBreak/>
        <w:t xml:space="preserve">outlined </w:t>
      </w:r>
      <w:r w:rsidRPr="00DA17A8">
        <w:rPr>
          <w:rFonts w:ascii="Arial" w:eastAsiaTheme="minorHAnsi" w:hAnsi="Arial" w:cs="Arial"/>
        </w:rPr>
        <w:t>above. All investments held as at 31 March 202</w:t>
      </w:r>
      <w:r w:rsidR="00F158E2" w:rsidRPr="00DA17A8">
        <w:rPr>
          <w:rFonts w:ascii="Arial" w:eastAsiaTheme="minorHAnsi" w:hAnsi="Arial" w:cs="Arial"/>
        </w:rPr>
        <w:t>3</w:t>
      </w:r>
      <w:r w:rsidRPr="00DA17A8">
        <w:rPr>
          <w:rFonts w:ascii="Arial" w:eastAsiaTheme="minorHAnsi" w:hAnsi="Arial" w:cs="Arial"/>
        </w:rPr>
        <w:t xml:space="preserve"> were with the HM Treasury Debt Management Office, other local authorities or UK banks and building societies.</w:t>
      </w:r>
    </w:p>
    <w:p w14:paraId="59726B4B" w14:textId="77777777" w:rsidR="00C802FD" w:rsidRPr="00DA17A8" w:rsidRDefault="00C802FD" w:rsidP="006F1659">
      <w:pPr>
        <w:spacing w:line="360" w:lineRule="auto"/>
        <w:rPr>
          <w:rFonts w:ascii="Arial" w:eastAsiaTheme="minorHAnsi" w:hAnsi="Arial" w:cs="Arial"/>
        </w:rPr>
      </w:pPr>
    </w:p>
    <w:p w14:paraId="521C342A" w14:textId="77777777" w:rsidR="00C802FD" w:rsidRPr="00DA17A8" w:rsidRDefault="00C802FD" w:rsidP="006F1659">
      <w:pPr>
        <w:spacing w:line="360" w:lineRule="auto"/>
        <w:rPr>
          <w:rFonts w:ascii="Arial" w:eastAsiaTheme="minorHAnsi" w:hAnsi="Arial" w:cs="Arial"/>
          <w:color w:val="000000" w:themeColor="text1"/>
        </w:rPr>
      </w:pPr>
      <w:r w:rsidRPr="00DA17A8">
        <w:rPr>
          <w:rFonts w:ascii="Arial" w:eastAsiaTheme="minorHAnsi" w:hAnsi="Arial" w:cs="Arial"/>
        </w:rPr>
        <w:t xml:space="preserve">The Authority has not used any non-credit rated institutions (for instance smaller building societies or bank subsidiaries where the parent has a satisfactory rating). In these circumstances, these investments would have been classified as other </w:t>
      </w:r>
      <w:r w:rsidRPr="00DA17A8">
        <w:rPr>
          <w:rFonts w:ascii="Arial" w:eastAsiaTheme="minorHAnsi" w:hAnsi="Arial" w:cs="Arial"/>
          <w:color w:val="000000" w:themeColor="text1"/>
        </w:rPr>
        <w:t>counterparties.</w:t>
      </w:r>
    </w:p>
    <w:p w14:paraId="1F0A18D6" w14:textId="77777777" w:rsidR="00C802FD" w:rsidRPr="00DA17A8" w:rsidRDefault="00C802FD" w:rsidP="006F1659">
      <w:pPr>
        <w:spacing w:line="360" w:lineRule="auto"/>
        <w:rPr>
          <w:rFonts w:ascii="Arial" w:eastAsiaTheme="minorHAnsi" w:hAnsi="Arial" w:cs="Arial"/>
          <w:color w:val="000000" w:themeColor="text1"/>
        </w:rPr>
      </w:pPr>
    </w:p>
    <w:p w14:paraId="61677A98" w14:textId="77777777" w:rsidR="00C802FD" w:rsidRPr="0007572B" w:rsidRDefault="00C802FD" w:rsidP="006F1659">
      <w:pPr>
        <w:spacing w:line="360" w:lineRule="auto"/>
        <w:rPr>
          <w:rFonts w:ascii="Arial" w:eastAsiaTheme="minorHAnsi" w:hAnsi="Arial" w:cs="Arial"/>
        </w:rPr>
      </w:pPr>
      <w:r w:rsidRPr="00DA17A8">
        <w:rPr>
          <w:rFonts w:ascii="Arial" w:eastAsiaTheme="minorHAnsi" w:hAnsi="Arial" w:cs="Arial"/>
        </w:rPr>
        <w:t>The following significant inputs, assumptions</w:t>
      </w:r>
      <w:r w:rsidRPr="0007572B">
        <w:rPr>
          <w:rFonts w:ascii="Arial" w:eastAsiaTheme="minorHAnsi" w:hAnsi="Arial" w:cs="Arial"/>
        </w:rPr>
        <w:t xml:space="preserve"> and estimation techniques have been used in calculating impairment loss allowances:</w:t>
      </w:r>
    </w:p>
    <w:p w14:paraId="59D7038A" w14:textId="77777777" w:rsidR="00C802FD" w:rsidRPr="0007572B" w:rsidRDefault="00C802FD" w:rsidP="006F1659">
      <w:pPr>
        <w:spacing w:line="360" w:lineRule="auto"/>
        <w:jc w:val="both"/>
        <w:rPr>
          <w:rFonts w:ascii="Arial" w:eastAsiaTheme="minorHAnsi" w:hAnsi="Arial" w:cs="Arial"/>
        </w:rPr>
      </w:pPr>
    </w:p>
    <w:p w14:paraId="78BF7698" w14:textId="70B62D3C" w:rsidR="00C802FD" w:rsidRPr="00DA17A8" w:rsidRDefault="00C802FD" w:rsidP="00DA17A8">
      <w:pPr>
        <w:pStyle w:val="ListParagraph"/>
        <w:numPr>
          <w:ilvl w:val="0"/>
          <w:numId w:val="35"/>
        </w:numPr>
        <w:spacing w:line="360" w:lineRule="auto"/>
        <w:rPr>
          <w:rFonts w:ascii="Arial" w:hAnsi="Arial" w:cs="Arial"/>
          <w:sz w:val="24"/>
          <w:szCs w:val="24"/>
        </w:rPr>
      </w:pPr>
      <w:r w:rsidRPr="0007572B">
        <w:rPr>
          <w:rFonts w:ascii="Arial" w:hAnsi="Arial" w:cs="Arial"/>
          <w:sz w:val="24"/>
          <w:szCs w:val="24"/>
        </w:rPr>
        <w:t>The Authority assesses each loan it provides individually in terms of likelihood and quantum of recovery, taking a forward-looking approach to the assessment from two different aspects:</w:t>
      </w:r>
    </w:p>
    <w:p w14:paraId="64359F80" w14:textId="77777777" w:rsidR="00C802FD" w:rsidRPr="0007572B" w:rsidRDefault="00C802FD" w:rsidP="006F1659">
      <w:pPr>
        <w:pStyle w:val="ListParagraph"/>
        <w:numPr>
          <w:ilvl w:val="0"/>
          <w:numId w:val="38"/>
        </w:numPr>
        <w:spacing w:line="360" w:lineRule="auto"/>
        <w:rPr>
          <w:rFonts w:ascii="Arial" w:hAnsi="Arial" w:cs="Arial"/>
          <w:sz w:val="24"/>
          <w:szCs w:val="24"/>
        </w:rPr>
      </w:pPr>
      <w:r w:rsidRPr="0007572B">
        <w:rPr>
          <w:rFonts w:ascii="Arial" w:hAnsi="Arial" w:cs="Arial"/>
          <w:sz w:val="24"/>
          <w:szCs w:val="24"/>
        </w:rPr>
        <w:t>Performance - reviewing portfolio and management information to assess business risk from a performance perspective.</w:t>
      </w:r>
    </w:p>
    <w:p w14:paraId="4A82A6E1" w14:textId="6C141D11" w:rsidR="003941CA" w:rsidRDefault="00C802FD" w:rsidP="006F1659">
      <w:pPr>
        <w:pStyle w:val="ListParagraph"/>
        <w:numPr>
          <w:ilvl w:val="0"/>
          <w:numId w:val="38"/>
        </w:numPr>
        <w:spacing w:line="360" w:lineRule="auto"/>
        <w:rPr>
          <w:rFonts w:ascii="Arial" w:hAnsi="Arial" w:cs="Arial"/>
          <w:sz w:val="24"/>
          <w:szCs w:val="24"/>
        </w:rPr>
      </w:pPr>
      <w:r w:rsidRPr="0007572B">
        <w:rPr>
          <w:rFonts w:ascii="Arial" w:hAnsi="Arial" w:cs="Arial"/>
          <w:sz w:val="24"/>
          <w:szCs w:val="24"/>
        </w:rPr>
        <w:t>Security</w:t>
      </w:r>
      <w:r w:rsidR="00A041A7" w:rsidRPr="0007572B">
        <w:rPr>
          <w:rFonts w:ascii="Arial" w:hAnsi="Arial" w:cs="Arial"/>
          <w:sz w:val="24"/>
          <w:szCs w:val="24"/>
        </w:rPr>
        <w:t xml:space="preserve"> </w:t>
      </w:r>
      <w:r w:rsidRPr="0007572B">
        <w:rPr>
          <w:rFonts w:ascii="Arial" w:hAnsi="Arial" w:cs="Arial"/>
          <w:sz w:val="24"/>
          <w:szCs w:val="24"/>
        </w:rPr>
        <w:t xml:space="preserve">- reviewing the strength of the Authority’s security in a loan recovery situation to allow this to be factored into the loss allowance assessment. </w:t>
      </w:r>
    </w:p>
    <w:p w14:paraId="154D0C8B" w14:textId="39EB2B20" w:rsidR="00BD7331" w:rsidRDefault="00BD7331" w:rsidP="00BD7331">
      <w:pPr>
        <w:spacing w:line="360" w:lineRule="auto"/>
        <w:rPr>
          <w:rFonts w:ascii="Arial" w:hAnsi="Arial" w:cs="Arial"/>
        </w:rPr>
      </w:pPr>
      <w:r w:rsidRPr="00BD7331">
        <w:rPr>
          <w:noProof/>
        </w:rPr>
        <w:drawing>
          <wp:inline distT="0" distB="0" distL="0" distR="0" wp14:anchorId="4C162DEB" wp14:editId="0058B266">
            <wp:extent cx="5975350" cy="1252220"/>
            <wp:effectExtent l="0" t="0" r="6350" b="5080"/>
            <wp:docPr id="679725968" name="Pictur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725968" name="Picture 68">
                      <a:extLst>
                        <a:ext uri="{C183D7F6-B498-43B3-948B-1728B52AA6E4}">
                          <adec:decorative xmlns:adec="http://schemas.microsoft.com/office/drawing/2017/decorative" val="1"/>
                        </a:ext>
                      </a:extLs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75350" cy="1252220"/>
                    </a:xfrm>
                    <a:prstGeom prst="rect">
                      <a:avLst/>
                    </a:prstGeom>
                    <a:noFill/>
                    <a:ln>
                      <a:noFill/>
                    </a:ln>
                  </pic:spPr>
                </pic:pic>
              </a:graphicData>
            </a:graphic>
          </wp:inline>
        </w:drawing>
      </w:r>
    </w:p>
    <w:p w14:paraId="1EFBBD16" w14:textId="77777777" w:rsidR="00BD7331" w:rsidRPr="00BD7331" w:rsidRDefault="00BD7331" w:rsidP="00BD7331">
      <w:pPr>
        <w:spacing w:line="360" w:lineRule="auto"/>
        <w:rPr>
          <w:rFonts w:ascii="Arial" w:hAnsi="Arial" w:cs="Arial"/>
        </w:rPr>
      </w:pPr>
    </w:p>
    <w:p w14:paraId="7D921975" w14:textId="25EC7520" w:rsidR="00C802FD" w:rsidRPr="00DA17A8" w:rsidRDefault="00C802FD" w:rsidP="006F1659">
      <w:pPr>
        <w:pStyle w:val="ListParagraph"/>
        <w:numPr>
          <w:ilvl w:val="0"/>
          <w:numId w:val="35"/>
        </w:numPr>
        <w:spacing w:line="360" w:lineRule="auto"/>
        <w:rPr>
          <w:rFonts w:ascii="Arial" w:eastAsiaTheme="minorHAnsi" w:hAnsi="Arial" w:cs="Arial"/>
          <w:sz w:val="24"/>
          <w:szCs w:val="24"/>
        </w:rPr>
      </w:pPr>
      <w:bookmarkStart w:id="179" w:name="_Hlk109071599"/>
      <w:r w:rsidRPr="00DA17A8">
        <w:rPr>
          <w:rFonts w:ascii="Arial" w:eastAsiaTheme="minorHAnsi" w:hAnsi="Arial" w:cs="Arial"/>
          <w:sz w:val="24"/>
          <w:szCs w:val="24"/>
        </w:rPr>
        <w:t xml:space="preserve">The Authority’s debtors relate primarily to claims on </w:t>
      </w:r>
      <w:r w:rsidR="000713CE" w:rsidRPr="00DA17A8">
        <w:rPr>
          <w:rFonts w:ascii="Arial" w:eastAsiaTheme="minorHAnsi" w:hAnsi="Arial" w:cs="Arial"/>
          <w:sz w:val="24"/>
          <w:szCs w:val="24"/>
        </w:rPr>
        <w:t>c</w:t>
      </w:r>
      <w:r w:rsidRPr="00DA17A8">
        <w:rPr>
          <w:rFonts w:ascii="Arial" w:eastAsiaTheme="minorHAnsi" w:hAnsi="Arial" w:cs="Arial"/>
          <w:sz w:val="24"/>
          <w:szCs w:val="24"/>
        </w:rPr>
        <w:t xml:space="preserve">entral and </w:t>
      </w:r>
      <w:r w:rsidR="000713CE" w:rsidRPr="00DA17A8">
        <w:rPr>
          <w:rFonts w:ascii="Arial" w:eastAsiaTheme="minorHAnsi" w:hAnsi="Arial" w:cs="Arial"/>
          <w:sz w:val="24"/>
          <w:szCs w:val="24"/>
        </w:rPr>
        <w:t>l</w:t>
      </w:r>
      <w:r w:rsidRPr="00DA17A8">
        <w:rPr>
          <w:rFonts w:ascii="Arial" w:eastAsiaTheme="minorHAnsi" w:hAnsi="Arial" w:cs="Arial"/>
          <w:sz w:val="24"/>
          <w:szCs w:val="24"/>
        </w:rPr>
        <w:t xml:space="preserve">ocal </w:t>
      </w:r>
      <w:r w:rsidR="000713CE" w:rsidRPr="00DA17A8">
        <w:rPr>
          <w:rFonts w:ascii="Arial" w:eastAsiaTheme="minorHAnsi" w:hAnsi="Arial" w:cs="Arial"/>
          <w:sz w:val="24"/>
          <w:szCs w:val="24"/>
        </w:rPr>
        <w:t>g</w:t>
      </w:r>
      <w:r w:rsidRPr="00DA17A8">
        <w:rPr>
          <w:rFonts w:ascii="Arial" w:eastAsiaTheme="minorHAnsi" w:hAnsi="Arial" w:cs="Arial"/>
          <w:sz w:val="24"/>
          <w:szCs w:val="24"/>
        </w:rPr>
        <w:t xml:space="preserve">overnment departments. Other non-trade debtors include HMRC and RGF/GPF, HIF, City Deal and Growth Deal loans. </w:t>
      </w:r>
    </w:p>
    <w:bookmarkEnd w:id="179"/>
    <w:p w14:paraId="68E79829" w14:textId="77777777" w:rsidR="00C802FD" w:rsidRPr="00DA17A8" w:rsidRDefault="00C802FD" w:rsidP="006F1659">
      <w:pPr>
        <w:pStyle w:val="ListParagraph"/>
        <w:spacing w:line="360" w:lineRule="auto"/>
        <w:rPr>
          <w:rFonts w:ascii="Arial" w:eastAsiaTheme="minorHAnsi" w:hAnsi="Arial" w:cs="Arial"/>
          <w:sz w:val="24"/>
          <w:szCs w:val="24"/>
        </w:rPr>
      </w:pPr>
    </w:p>
    <w:p w14:paraId="17C54413" w14:textId="42DEBF63" w:rsidR="00C802FD" w:rsidRPr="0007572B" w:rsidRDefault="00C802FD" w:rsidP="006F1659">
      <w:pPr>
        <w:pStyle w:val="ListParagraph"/>
        <w:spacing w:line="360" w:lineRule="auto"/>
        <w:rPr>
          <w:rFonts w:ascii="Arial" w:eastAsiaTheme="minorHAnsi" w:hAnsi="Arial" w:cs="Arial"/>
          <w:sz w:val="24"/>
          <w:szCs w:val="24"/>
        </w:rPr>
      </w:pPr>
      <w:r w:rsidRPr="00DA17A8">
        <w:rPr>
          <w:rFonts w:ascii="Arial" w:eastAsiaTheme="minorHAnsi" w:hAnsi="Arial" w:cs="Arial"/>
          <w:sz w:val="24"/>
          <w:szCs w:val="24"/>
        </w:rPr>
        <w:t>The RGF/GPF, HIF, City Deal, Growth Deal and other stand-alone loans have had individual risk profiles assessed, resulting in a ‘lifetime expected loss allowance’ of £</w:t>
      </w:r>
      <w:r w:rsidR="00DA17A8" w:rsidRPr="00DA17A8">
        <w:rPr>
          <w:rFonts w:ascii="Arial" w:eastAsiaTheme="minorHAnsi" w:hAnsi="Arial" w:cs="Arial"/>
          <w:sz w:val="24"/>
          <w:szCs w:val="24"/>
        </w:rPr>
        <w:t>6.115</w:t>
      </w:r>
      <w:r w:rsidRPr="00DA17A8">
        <w:rPr>
          <w:rFonts w:ascii="Arial" w:eastAsiaTheme="minorHAnsi" w:hAnsi="Arial" w:cs="Arial"/>
          <w:sz w:val="24"/>
          <w:szCs w:val="24"/>
        </w:rPr>
        <w:t>m being included within the accounts, as per the table above.</w:t>
      </w:r>
    </w:p>
    <w:p w14:paraId="05D144F4" w14:textId="77777777" w:rsidR="00C802FD" w:rsidRPr="00DA17A8" w:rsidRDefault="00C802FD" w:rsidP="006F1659">
      <w:pPr>
        <w:pStyle w:val="ListParagraph"/>
        <w:spacing w:line="360" w:lineRule="auto"/>
        <w:rPr>
          <w:rFonts w:ascii="Arial" w:eastAsiaTheme="minorHAnsi" w:hAnsi="Arial" w:cs="Arial"/>
          <w:sz w:val="24"/>
          <w:szCs w:val="24"/>
        </w:rPr>
      </w:pPr>
    </w:p>
    <w:p w14:paraId="484EF305" w14:textId="445B6FE8" w:rsidR="00C802FD" w:rsidRPr="00DA17A8" w:rsidRDefault="00C802FD" w:rsidP="006F1659">
      <w:pPr>
        <w:pStyle w:val="ListParagraph"/>
        <w:spacing w:line="360" w:lineRule="auto"/>
        <w:rPr>
          <w:rFonts w:ascii="Arial" w:eastAsiaTheme="minorHAnsi" w:hAnsi="Arial" w:cs="Arial"/>
          <w:sz w:val="24"/>
          <w:szCs w:val="24"/>
        </w:rPr>
      </w:pPr>
      <w:bookmarkStart w:id="180" w:name="_Hlk109071201"/>
      <w:r w:rsidRPr="00DA17A8">
        <w:rPr>
          <w:rFonts w:ascii="Arial" w:eastAsiaTheme="minorHAnsi" w:hAnsi="Arial" w:cs="Arial"/>
          <w:sz w:val="24"/>
          <w:szCs w:val="24"/>
        </w:rPr>
        <w:t>Of the total debtors past their due date for payment, the estimated exposure to default for trade debtors is £0.</w:t>
      </w:r>
      <w:r w:rsidR="0094056D" w:rsidRPr="00DA17A8">
        <w:rPr>
          <w:rFonts w:ascii="Arial" w:eastAsiaTheme="minorHAnsi" w:hAnsi="Arial" w:cs="Arial"/>
          <w:sz w:val="24"/>
          <w:szCs w:val="24"/>
        </w:rPr>
        <w:t>1</w:t>
      </w:r>
      <w:r w:rsidRPr="00DA17A8">
        <w:rPr>
          <w:rFonts w:ascii="Arial" w:eastAsiaTheme="minorHAnsi" w:hAnsi="Arial" w:cs="Arial"/>
          <w:sz w:val="24"/>
          <w:szCs w:val="24"/>
        </w:rPr>
        <w:t>m.</w:t>
      </w:r>
    </w:p>
    <w:bookmarkEnd w:id="180"/>
    <w:p w14:paraId="17CDF15E" w14:textId="77777777" w:rsidR="00C802FD" w:rsidRPr="00DA17A8" w:rsidRDefault="00C802FD" w:rsidP="006F1659">
      <w:pPr>
        <w:pStyle w:val="ListParagraph"/>
        <w:spacing w:line="360" w:lineRule="auto"/>
        <w:rPr>
          <w:rFonts w:ascii="Arial" w:eastAsiaTheme="minorHAnsi" w:hAnsi="Arial" w:cs="Arial"/>
          <w:sz w:val="24"/>
          <w:szCs w:val="24"/>
        </w:rPr>
      </w:pPr>
    </w:p>
    <w:p w14:paraId="7D3D5269" w14:textId="3CBF6E34" w:rsidR="00133E33" w:rsidRPr="00DA17A8" w:rsidRDefault="00C802FD" w:rsidP="006F1659">
      <w:pPr>
        <w:pStyle w:val="ListParagraph"/>
        <w:numPr>
          <w:ilvl w:val="0"/>
          <w:numId w:val="34"/>
        </w:numPr>
        <w:spacing w:after="240" w:line="360" w:lineRule="auto"/>
        <w:rPr>
          <w:rFonts w:ascii="Arial" w:eastAsiaTheme="minorHAnsi" w:hAnsi="Arial" w:cs="Arial"/>
          <w:b/>
          <w:sz w:val="24"/>
          <w:szCs w:val="24"/>
        </w:rPr>
      </w:pPr>
      <w:bookmarkStart w:id="181" w:name="_Hlk109071608"/>
      <w:r w:rsidRPr="00DA17A8">
        <w:rPr>
          <w:rFonts w:ascii="Arial" w:eastAsiaTheme="minorHAnsi" w:hAnsi="Arial" w:cs="Arial"/>
          <w:sz w:val="24"/>
          <w:szCs w:val="24"/>
        </w:rPr>
        <w:t xml:space="preserve">The Authority’s trade creditors relate primarily to </w:t>
      </w:r>
      <w:r w:rsidR="00133E33" w:rsidRPr="00DA17A8">
        <w:rPr>
          <w:rFonts w:ascii="Arial" w:eastAsiaTheme="minorHAnsi" w:hAnsi="Arial" w:cs="Arial"/>
          <w:sz w:val="24"/>
          <w:szCs w:val="24"/>
        </w:rPr>
        <w:t>capital and revenue amounts</w:t>
      </w:r>
      <w:r w:rsidRPr="00DA17A8">
        <w:rPr>
          <w:rFonts w:ascii="Arial" w:eastAsiaTheme="minorHAnsi" w:hAnsi="Arial" w:cs="Arial"/>
          <w:sz w:val="24"/>
          <w:szCs w:val="24"/>
        </w:rPr>
        <w:t xml:space="preserve"> payable </w:t>
      </w:r>
      <w:r w:rsidR="00133E33" w:rsidRPr="00DA17A8">
        <w:rPr>
          <w:rFonts w:ascii="Arial" w:eastAsiaTheme="minorHAnsi" w:hAnsi="Arial" w:cs="Arial"/>
          <w:sz w:val="24"/>
          <w:szCs w:val="24"/>
        </w:rPr>
        <w:t xml:space="preserve">in relation </w:t>
      </w:r>
      <w:r w:rsidRPr="00DA17A8">
        <w:rPr>
          <w:rFonts w:ascii="Arial" w:eastAsiaTheme="minorHAnsi" w:hAnsi="Arial" w:cs="Arial"/>
          <w:sz w:val="24"/>
          <w:szCs w:val="24"/>
        </w:rPr>
        <w:t xml:space="preserve">to </w:t>
      </w:r>
      <w:r w:rsidR="00133E33" w:rsidRPr="00DA17A8">
        <w:rPr>
          <w:rFonts w:ascii="Arial" w:eastAsiaTheme="minorHAnsi" w:hAnsi="Arial" w:cs="Arial"/>
          <w:sz w:val="24"/>
          <w:szCs w:val="24"/>
        </w:rPr>
        <w:t xml:space="preserve">Waste Disposal and Police Fund. </w:t>
      </w:r>
    </w:p>
    <w:bookmarkEnd w:id="181"/>
    <w:p w14:paraId="028925D8" w14:textId="77777777" w:rsidR="00133E33" w:rsidRPr="0007572B" w:rsidRDefault="00133E33" w:rsidP="006F1659">
      <w:pPr>
        <w:pStyle w:val="ListParagraph"/>
        <w:spacing w:after="240" w:line="360" w:lineRule="auto"/>
        <w:rPr>
          <w:rFonts w:ascii="Arial" w:eastAsiaTheme="minorHAnsi" w:hAnsi="Arial" w:cs="Arial"/>
          <w:b/>
          <w:sz w:val="24"/>
          <w:szCs w:val="24"/>
        </w:rPr>
      </w:pPr>
    </w:p>
    <w:p w14:paraId="7A043665" w14:textId="54EDE55B" w:rsidR="00C802FD" w:rsidRDefault="00C802FD" w:rsidP="006F1659">
      <w:pPr>
        <w:pStyle w:val="Heading5"/>
        <w:spacing w:line="360" w:lineRule="auto"/>
        <w:rPr>
          <w:rFonts w:eastAsiaTheme="minorHAnsi"/>
        </w:rPr>
      </w:pPr>
      <w:r w:rsidRPr="0007572B">
        <w:rPr>
          <w:rFonts w:eastAsiaTheme="minorHAnsi"/>
        </w:rPr>
        <w:t>Credit Ratings Used:</w:t>
      </w:r>
    </w:p>
    <w:p w14:paraId="4584BCBC" w14:textId="77777777" w:rsidR="00D4492C" w:rsidRPr="00D4492C" w:rsidRDefault="00D4492C" w:rsidP="006F1659">
      <w:pPr>
        <w:spacing w:line="360" w:lineRule="auto"/>
        <w:rPr>
          <w:rFonts w:eastAsiaTheme="minorHAnsi"/>
        </w:rPr>
      </w:pPr>
    </w:p>
    <w:p w14:paraId="0EA7BC1A" w14:textId="77777777" w:rsidR="00C802FD" w:rsidRPr="0007572B" w:rsidRDefault="00C802FD" w:rsidP="006F1659">
      <w:pPr>
        <w:spacing w:after="160" w:line="360" w:lineRule="auto"/>
        <w:rPr>
          <w:rFonts w:ascii="Arial" w:eastAsiaTheme="minorHAnsi" w:hAnsi="Arial" w:cs="Arial"/>
        </w:rPr>
      </w:pPr>
      <w:r w:rsidRPr="0007572B">
        <w:rPr>
          <w:rFonts w:ascii="Arial" w:eastAsiaTheme="minorHAnsi" w:hAnsi="Arial" w:cs="Arial"/>
        </w:rPr>
        <w:t>Banks and Building Societies - as a minimum, institutions must have the following Fitch (or equivalent) credit ratings (where rated):</w:t>
      </w:r>
    </w:p>
    <w:p w14:paraId="53E7EB37" w14:textId="07EDD8F3" w:rsidR="00C802FD" w:rsidRPr="0007572B" w:rsidRDefault="00C802FD" w:rsidP="006F1659">
      <w:pPr>
        <w:numPr>
          <w:ilvl w:val="0"/>
          <w:numId w:val="15"/>
        </w:numPr>
        <w:spacing w:after="160" w:line="360" w:lineRule="auto"/>
        <w:contextualSpacing/>
        <w:jc w:val="both"/>
        <w:rPr>
          <w:rFonts w:ascii="Arial" w:eastAsiaTheme="minorHAnsi" w:hAnsi="Arial" w:cs="Arial"/>
          <w:lang w:eastAsia="en-GB"/>
        </w:rPr>
      </w:pPr>
      <w:r w:rsidRPr="0007572B">
        <w:rPr>
          <w:rFonts w:ascii="Arial" w:eastAsiaTheme="minorHAnsi" w:hAnsi="Arial" w:cs="Arial"/>
          <w:lang w:eastAsia="en-GB"/>
        </w:rPr>
        <w:t xml:space="preserve">Long Term </w:t>
      </w:r>
      <w:r w:rsidRPr="0007572B">
        <w:rPr>
          <w:rFonts w:ascii="Arial" w:eastAsiaTheme="minorHAnsi" w:hAnsi="Arial" w:cs="Arial"/>
          <w:lang w:eastAsia="en-GB"/>
        </w:rPr>
        <w:tab/>
        <w:t xml:space="preserve">- Fitch </w:t>
      </w:r>
      <w:r w:rsidR="00DA17A8">
        <w:rPr>
          <w:rFonts w:ascii="Arial" w:eastAsiaTheme="minorHAnsi" w:hAnsi="Arial" w:cs="Arial"/>
          <w:lang w:eastAsia="en-GB"/>
        </w:rPr>
        <w:t>A1</w:t>
      </w:r>
    </w:p>
    <w:p w14:paraId="0337788C" w14:textId="404F413E" w:rsidR="00C802FD" w:rsidRDefault="00C802FD" w:rsidP="006F1659">
      <w:pPr>
        <w:numPr>
          <w:ilvl w:val="0"/>
          <w:numId w:val="15"/>
        </w:numPr>
        <w:spacing w:after="160" w:line="360" w:lineRule="auto"/>
        <w:contextualSpacing/>
        <w:jc w:val="both"/>
        <w:rPr>
          <w:rFonts w:ascii="Arial" w:eastAsiaTheme="minorHAnsi" w:hAnsi="Arial" w:cs="Arial"/>
          <w:lang w:eastAsia="en-GB"/>
        </w:rPr>
      </w:pPr>
      <w:r w:rsidRPr="0007572B">
        <w:rPr>
          <w:rFonts w:ascii="Arial" w:eastAsiaTheme="minorHAnsi" w:hAnsi="Arial" w:cs="Arial"/>
          <w:lang w:eastAsia="en-GB"/>
        </w:rPr>
        <w:t>Short Term</w:t>
      </w:r>
      <w:r w:rsidRPr="0007572B">
        <w:rPr>
          <w:rFonts w:ascii="Arial" w:eastAsiaTheme="minorHAnsi" w:hAnsi="Arial" w:cs="Arial"/>
          <w:lang w:eastAsia="en-GB"/>
        </w:rPr>
        <w:tab/>
        <w:t>- Fitch F</w:t>
      </w:r>
      <w:r w:rsidR="00DA17A8">
        <w:rPr>
          <w:rFonts w:ascii="Arial" w:eastAsiaTheme="minorHAnsi" w:hAnsi="Arial" w:cs="Arial"/>
          <w:lang w:eastAsia="en-GB"/>
        </w:rPr>
        <w:t>1</w:t>
      </w:r>
      <w:r w:rsidRPr="0007572B">
        <w:rPr>
          <w:rFonts w:ascii="Arial" w:eastAsiaTheme="minorHAnsi" w:hAnsi="Arial" w:cs="Arial"/>
          <w:lang w:eastAsia="en-GB"/>
        </w:rPr>
        <w:t xml:space="preserve"> or higher</w:t>
      </w:r>
    </w:p>
    <w:p w14:paraId="041B6606" w14:textId="77777777" w:rsidR="00DA17A8" w:rsidRPr="0007572B" w:rsidRDefault="00DA17A8" w:rsidP="00DA17A8">
      <w:pPr>
        <w:spacing w:after="160" w:line="360" w:lineRule="auto"/>
        <w:contextualSpacing/>
        <w:jc w:val="both"/>
        <w:rPr>
          <w:rFonts w:ascii="Arial" w:eastAsiaTheme="minorHAnsi" w:hAnsi="Arial" w:cs="Arial"/>
          <w:lang w:eastAsia="en-GB"/>
        </w:rPr>
      </w:pPr>
    </w:p>
    <w:p w14:paraId="781B653E" w14:textId="104948A0" w:rsidR="00C802FD" w:rsidRDefault="00C802FD" w:rsidP="006F1659">
      <w:pPr>
        <w:pStyle w:val="Heading5"/>
        <w:spacing w:line="360" w:lineRule="auto"/>
        <w:rPr>
          <w:rFonts w:eastAsiaTheme="minorHAnsi"/>
        </w:rPr>
      </w:pPr>
      <w:r w:rsidRPr="0007572B">
        <w:rPr>
          <w:rFonts w:eastAsiaTheme="minorHAnsi"/>
        </w:rPr>
        <w:t>Monitoring of credit ratings:</w:t>
      </w:r>
    </w:p>
    <w:p w14:paraId="6673CACF" w14:textId="77777777" w:rsidR="00D4492C" w:rsidRPr="00D4492C" w:rsidRDefault="00D4492C" w:rsidP="006F1659">
      <w:pPr>
        <w:spacing w:line="360" w:lineRule="auto"/>
        <w:rPr>
          <w:rFonts w:eastAsiaTheme="minorHAnsi"/>
        </w:rPr>
      </w:pPr>
    </w:p>
    <w:p w14:paraId="4E07E95D" w14:textId="77777777" w:rsidR="00C802FD" w:rsidRPr="0007572B" w:rsidRDefault="00C802FD" w:rsidP="006F1659">
      <w:pPr>
        <w:spacing w:after="160" w:line="360" w:lineRule="auto"/>
        <w:rPr>
          <w:rFonts w:ascii="Arial" w:eastAsiaTheme="minorHAnsi" w:hAnsi="Arial" w:cs="Arial"/>
        </w:rPr>
      </w:pPr>
      <w:r w:rsidRPr="0007572B">
        <w:rPr>
          <w:rFonts w:ascii="Arial" w:eastAsiaTheme="minorHAnsi" w:hAnsi="Arial" w:cs="Arial"/>
        </w:rPr>
        <w:t>This Authority will not use the approach of using the lowest rating from all three rating agencies to determine creditworthy counterparties. The Link Asset Services creditworthiness service uses a wider array of information than just primary ratings and by using a risk weighted scoring system does not give undue preponderance to just one agency’s ratings.</w:t>
      </w:r>
    </w:p>
    <w:p w14:paraId="20907213" w14:textId="6DA119C8" w:rsidR="00C802FD" w:rsidRPr="0007572B" w:rsidRDefault="00C802FD" w:rsidP="006F1659">
      <w:pPr>
        <w:spacing w:after="160" w:line="360" w:lineRule="auto"/>
        <w:rPr>
          <w:rFonts w:ascii="Arial" w:eastAsiaTheme="minorHAnsi" w:hAnsi="Arial" w:cs="Arial"/>
        </w:rPr>
      </w:pPr>
      <w:r w:rsidRPr="0007572B">
        <w:rPr>
          <w:rFonts w:ascii="Arial" w:eastAsiaTheme="minorHAnsi" w:hAnsi="Arial" w:cs="Arial"/>
        </w:rPr>
        <w:t>All credit ratings will be monitored weekly. The Authority is alerted to changes to ratings of all three agencies through its use of the Link Asset Services creditworthiness service.</w:t>
      </w:r>
    </w:p>
    <w:p w14:paraId="6074FBD9" w14:textId="77777777" w:rsidR="00C802FD" w:rsidRPr="0007572B" w:rsidRDefault="00C802FD" w:rsidP="006F1659">
      <w:pPr>
        <w:numPr>
          <w:ilvl w:val="0"/>
          <w:numId w:val="10"/>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If a downgrade results in the counterparty/investment scheme no longer meeting the Authority’s minimum criteria, its further use as a new investment will be withdrawn immediately;</w:t>
      </w:r>
    </w:p>
    <w:p w14:paraId="02EE8F79" w14:textId="77777777" w:rsidR="00C802FD" w:rsidRPr="0007572B" w:rsidRDefault="00C802FD" w:rsidP="006F1659">
      <w:pPr>
        <w:numPr>
          <w:ilvl w:val="0"/>
          <w:numId w:val="10"/>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In addition to the use of Credit Ratings, the Authority will be advised of information in Credit Default Swap against the iTraxx benchmark and other market data on a weekly basis. Extreme market movements may result in the downgrade of an institution or removal from the Authority’s lending list;</w:t>
      </w:r>
    </w:p>
    <w:p w14:paraId="1502CE0E" w14:textId="1A724114" w:rsidR="00C802FD" w:rsidRPr="0007572B" w:rsidRDefault="00C802FD" w:rsidP="006F1659">
      <w:pPr>
        <w:numPr>
          <w:ilvl w:val="0"/>
          <w:numId w:val="10"/>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 xml:space="preserve">Sole reliance will not be placed on the use of this external service. In addition this Authority will also use market data and market information, </w:t>
      </w:r>
      <w:r w:rsidR="000933D8">
        <w:rPr>
          <w:rFonts w:ascii="Arial" w:eastAsiaTheme="minorHAnsi" w:hAnsi="Arial" w:cs="Arial"/>
          <w:lang w:eastAsia="en-GB"/>
        </w:rPr>
        <w:t xml:space="preserve">as well as </w:t>
      </w:r>
      <w:r w:rsidRPr="0007572B">
        <w:rPr>
          <w:rFonts w:ascii="Arial" w:eastAsiaTheme="minorHAnsi" w:hAnsi="Arial" w:cs="Arial"/>
          <w:lang w:eastAsia="en-GB"/>
        </w:rPr>
        <w:t xml:space="preserve">information on </w:t>
      </w:r>
      <w:r w:rsidR="000933D8">
        <w:rPr>
          <w:rFonts w:ascii="Arial" w:eastAsiaTheme="minorHAnsi" w:hAnsi="Arial" w:cs="Arial"/>
          <w:lang w:eastAsia="en-GB"/>
        </w:rPr>
        <w:t xml:space="preserve">any external support for banks to </w:t>
      </w:r>
      <w:r w:rsidR="006D0611">
        <w:rPr>
          <w:rFonts w:ascii="Arial" w:eastAsiaTheme="minorHAnsi" w:hAnsi="Arial" w:cs="Arial"/>
          <w:lang w:eastAsia="en-GB"/>
        </w:rPr>
        <w:t>help</w:t>
      </w:r>
      <w:r w:rsidR="000933D8">
        <w:rPr>
          <w:rFonts w:ascii="Arial" w:eastAsiaTheme="minorHAnsi" w:hAnsi="Arial" w:cs="Arial"/>
          <w:lang w:eastAsia="en-GB"/>
        </w:rPr>
        <w:t xml:space="preserve"> support its decision-making process.</w:t>
      </w:r>
    </w:p>
    <w:p w14:paraId="432EAF6D" w14:textId="77777777" w:rsidR="00C802FD" w:rsidRPr="0007572B" w:rsidRDefault="00C802FD" w:rsidP="006F1659">
      <w:pPr>
        <w:pStyle w:val="Heading4bold"/>
        <w:spacing w:line="360" w:lineRule="auto"/>
        <w:rPr>
          <w:rFonts w:eastAsiaTheme="minorHAnsi"/>
        </w:rPr>
      </w:pPr>
      <w:r w:rsidRPr="0007572B">
        <w:rPr>
          <w:rFonts w:eastAsiaTheme="minorHAnsi"/>
        </w:rPr>
        <w:lastRenderedPageBreak/>
        <w:t>Liquidity Risk</w:t>
      </w:r>
    </w:p>
    <w:p w14:paraId="13945CF4" w14:textId="77777777" w:rsidR="00C802FD" w:rsidRPr="0007572B" w:rsidRDefault="00C802FD" w:rsidP="006F1659">
      <w:pPr>
        <w:spacing w:line="360" w:lineRule="auto"/>
        <w:rPr>
          <w:rFonts w:ascii="Arial" w:eastAsiaTheme="minorHAnsi" w:hAnsi="Arial" w:cs="Arial"/>
        </w:rPr>
      </w:pPr>
      <w:r w:rsidRPr="0007572B">
        <w:rPr>
          <w:rFonts w:ascii="Arial" w:eastAsiaTheme="minorHAnsi" w:hAnsi="Arial" w:cs="Arial"/>
        </w:rPr>
        <w:t>The Authority manages its liquidity position through the risk management procedures above (the setting and approval of prudential indicators and the approval of the treasury and investment strategy reports), as well as through a comprehensive cash flow management system, as required by the Code of Practice. This seeks to ensure that cash is available as needed.</w:t>
      </w:r>
    </w:p>
    <w:p w14:paraId="3DBEC519" w14:textId="77777777" w:rsidR="00C802FD" w:rsidRPr="0007572B" w:rsidRDefault="00C802FD" w:rsidP="006F1659">
      <w:pPr>
        <w:spacing w:line="360" w:lineRule="auto"/>
        <w:rPr>
          <w:rFonts w:ascii="Arial" w:eastAsiaTheme="minorHAnsi" w:hAnsi="Arial" w:cs="Arial"/>
        </w:rPr>
      </w:pPr>
    </w:p>
    <w:p w14:paraId="5A9C1C5C" w14:textId="77777777" w:rsidR="00C802FD" w:rsidRPr="0007572B" w:rsidRDefault="00C802FD" w:rsidP="006F1659">
      <w:pPr>
        <w:spacing w:line="360" w:lineRule="auto"/>
        <w:rPr>
          <w:rFonts w:ascii="Arial" w:eastAsiaTheme="minorHAnsi" w:hAnsi="Arial" w:cs="Arial"/>
        </w:rPr>
      </w:pPr>
      <w:r w:rsidRPr="0007572B">
        <w:rPr>
          <w:rFonts w:ascii="Arial" w:eastAsiaTheme="minorHAnsi" w:hAnsi="Arial" w:cs="Arial"/>
        </w:rPr>
        <w:t>If unexpected movements happen, the Authority has ready access to borrowings from the money market and the Public Works Loans Board. The Authority is also required to provide a balanced budget through the Local Government Finance Act 1992, which ensures sufficient monies are raised to cover annual expenditure. There is no significant risk that it will be unable to raise finance to meet its commitments under financial instruments.</w:t>
      </w:r>
    </w:p>
    <w:p w14:paraId="31F8CBD1" w14:textId="77777777" w:rsidR="00C802FD" w:rsidRPr="0007572B" w:rsidRDefault="00C802FD" w:rsidP="006F1659">
      <w:pPr>
        <w:spacing w:line="360" w:lineRule="auto"/>
        <w:rPr>
          <w:rFonts w:ascii="Arial" w:eastAsiaTheme="minorHAnsi" w:hAnsi="Arial" w:cs="Arial"/>
        </w:rPr>
      </w:pPr>
    </w:p>
    <w:p w14:paraId="30AFD4F6" w14:textId="77777777" w:rsidR="00C802FD" w:rsidRPr="0007572B" w:rsidRDefault="00C802FD" w:rsidP="006F1659">
      <w:pPr>
        <w:spacing w:line="360" w:lineRule="auto"/>
        <w:rPr>
          <w:rFonts w:ascii="Arial" w:eastAsiaTheme="minorHAnsi" w:hAnsi="Arial" w:cs="Arial"/>
        </w:rPr>
      </w:pPr>
      <w:r w:rsidRPr="0007572B">
        <w:rPr>
          <w:rFonts w:ascii="Arial" w:eastAsiaTheme="minorHAnsi" w:hAnsi="Arial" w:cs="Arial"/>
        </w:rPr>
        <w:t>The Authority maintains a significant debt and investment portfolio. Whilst the cash flow procedures listed above are considered against the refinancing risk procedures, longer term risk to the Authority relates to managing the exposure to replacing financial instruments as they mature. This risk relates to both the maturing of longer term financial liabilities and longer term financial assets.</w:t>
      </w:r>
    </w:p>
    <w:p w14:paraId="6489B882" w14:textId="77777777" w:rsidR="00C802FD" w:rsidRPr="0007572B" w:rsidRDefault="00C802FD" w:rsidP="006F1659">
      <w:pPr>
        <w:spacing w:line="360" w:lineRule="auto"/>
        <w:rPr>
          <w:rFonts w:ascii="Arial" w:eastAsiaTheme="minorHAnsi" w:hAnsi="Arial" w:cs="Arial"/>
        </w:rPr>
      </w:pPr>
    </w:p>
    <w:p w14:paraId="12783696" w14:textId="77777777" w:rsidR="00C802FD" w:rsidRPr="0007572B" w:rsidRDefault="00C802FD" w:rsidP="006F1659">
      <w:pPr>
        <w:spacing w:line="360" w:lineRule="auto"/>
        <w:rPr>
          <w:rFonts w:ascii="Arial" w:eastAsiaTheme="minorHAnsi" w:hAnsi="Arial" w:cs="Arial"/>
        </w:rPr>
      </w:pPr>
      <w:r w:rsidRPr="0007572B">
        <w:rPr>
          <w:rFonts w:ascii="Arial" w:eastAsiaTheme="minorHAnsi" w:hAnsi="Arial" w:cs="Arial"/>
        </w:rPr>
        <w:t>The approved prudential indicator limits for the maturity structure of debt and the limits placed on investments placed for greater than one year in duration are the key parameters used to address this risk. The Authority approved treasury and investment strategies address the main risks and the central treasury team address the operational risks within the approved parameters. This includes:</w:t>
      </w:r>
    </w:p>
    <w:p w14:paraId="28D2C66D" w14:textId="77777777" w:rsidR="00C802FD" w:rsidRPr="0007572B" w:rsidRDefault="00C802FD" w:rsidP="006F1659">
      <w:pPr>
        <w:spacing w:line="360" w:lineRule="auto"/>
        <w:rPr>
          <w:rFonts w:ascii="Arial" w:eastAsiaTheme="minorHAnsi" w:hAnsi="Arial" w:cs="Arial"/>
        </w:rPr>
      </w:pPr>
    </w:p>
    <w:p w14:paraId="39130456" w14:textId="77777777" w:rsidR="00C802FD" w:rsidRPr="0007572B" w:rsidRDefault="00C802FD" w:rsidP="006F1659">
      <w:pPr>
        <w:numPr>
          <w:ilvl w:val="0"/>
          <w:numId w:val="11"/>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monitoring the maturity profile of financial liabilities and amending the profile through either new borrowing or the rescheduling of the existing debt; and</w:t>
      </w:r>
    </w:p>
    <w:p w14:paraId="299A2EAF" w14:textId="77777777" w:rsidR="00C802FD" w:rsidRPr="0007572B" w:rsidRDefault="00C802FD" w:rsidP="006F1659">
      <w:pPr>
        <w:numPr>
          <w:ilvl w:val="0"/>
          <w:numId w:val="11"/>
        </w:numPr>
        <w:spacing w:line="360" w:lineRule="auto"/>
        <w:contextualSpacing/>
        <w:rPr>
          <w:rFonts w:ascii="Arial" w:eastAsiaTheme="minorHAnsi" w:hAnsi="Arial" w:cs="Arial"/>
          <w:lang w:eastAsia="en-GB"/>
        </w:rPr>
      </w:pPr>
      <w:r w:rsidRPr="0007572B">
        <w:rPr>
          <w:rFonts w:ascii="Arial" w:eastAsiaTheme="minorHAnsi" w:hAnsi="Arial" w:cs="Arial"/>
          <w:lang w:eastAsia="en-GB"/>
        </w:rPr>
        <w:t>monitoring the maturity profile of investments to ensure sufficient liquidity is available for the Authority’s day to day cash flow needs, and the spread of longer term investments provide stability of maturities and returns in relation to the longer term cash flow needs.</w:t>
      </w:r>
    </w:p>
    <w:p w14:paraId="1AFDC871" w14:textId="77777777" w:rsidR="00C802FD" w:rsidRPr="0007572B" w:rsidRDefault="00C802FD" w:rsidP="006F1659">
      <w:pPr>
        <w:spacing w:line="360" w:lineRule="auto"/>
        <w:rPr>
          <w:rFonts w:ascii="Arial" w:eastAsiaTheme="minorHAnsi" w:hAnsi="Arial" w:cs="Arial"/>
        </w:rPr>
      </w:pPr>
    </w:p>
    <w:p w14:paraId="14FF5ADD" w14:textId="241AFC49" w:rsidR="00C802FD" w:rsidRDefault="00C802FD" w:rsidP="006F1659">
      <w:pPr>
        <w:spacing w:after="160" w:line="360" w:lineRule="auto"/>
        <w:rPr>
          <w:rFonts w:ascii="Arial" w:eastAsiaTheme="minorHAnsi" w:hAnsi="Arial" w:cs="Arial"/>
        </w:rPr>
      </w:pPr>
      <w:r w:rsidRPr="00DA17A8">
        <w:rPr>
          <w:rFonts w:ascii="Arial" w:eastAsiaTheme="minorHAnsi" w:hAnsi="Arial" w:cs="Arial"/>
        </w:rPr>
        <w:lastRenderedPageBreak/>
        <w:t xml:space="preserve">The Authority has £50m lender option borrower option (LOBO) loans. These have fixed rates of </w:t>
      </w:r>
      <w:r w:rsidR="00EB430D" w:rsidRPr="00DA17A8">
        <w:rPr>
          <w:rFonts w:ascii="Arial" w:eastAsiaTheme="minorHAnsi" w:hAnsi="Arial" w:cs="Arial"/>
        </w:rPr>
        <w:t>interest,</w:t>
      </w:r>
      <w:r w:rsidRPr="00DA17A8">
        <w:rPr>
          <w:rFonts w:ascii="Arial" w:eastAsiaTheme="minorHAnsi" w:hAnsi="Arial" w:cs="Arial"/>
        </w:rPr>
        <w:t xml:space="preserve"> but the lender may seek to increase interest rates at which point the Authority has the option to repay the loan. As there is no certainty as to whether these loans will be repaid early, the Authority has treated them as fixed loans which will run to maturity. In forming this judgement the Authority has taken account of its ability to refinance through PWLB.</w:t>
      </w:r>
    </w:p>
    <w:p w14:paraId="6376DB56" w14:textId="06D49730" w:rsidR="00EB430D" w:rsidRDefault="00343260" w:rsidP="00BD7331">
      <w:pPr>
        <w:spacing w:after="160" w:line="360" w:lineRule="auto"/>
        <w:rPr>
          <w:rFonts w:ascii="Arial" w:eastAsiaTheme="minorHAnsi" w:hAnsi="Arial" w:cs="Arial"/>
        </w:rPr>
      </w:pPr>
      <w:r>
        <w:rPr>
          <w:rFonts w:ascii="Arial" w:eastAsiaTheme="minorHAnsi" w:hAnsi="Arial" w:cs="Arial"/>
        </w:rPr>
        <w:t>The table below shows the liquidity risk to the Authority based on maturity analy</w:t>
      </w:r>
      <w:r w:rsidR="009D664A">
        <w:rPr>
          <w:rFonts w:ascii="Arial" w:eastAsiaTheme="minorHAnsi" w:hAnsi="Arial" w:cs="Arial"/>
        </w:rPr>
        <w:t>sis:</w:t>
      </w:r>
    </w:p>
    <w:p w14:paraId="5D683409" w14:textId="6FB53CC1" w:rsidR="00BD7331" w:rsidRDefault="00BD7331" w:rsidP="00BD7331">
      <w:pPr>
        <w:spacing w:after="160" w:line="360" w:lineRule="auto"/>
        <w:rPr>
          <w:rFonts w:ascii="Arial" w:eastAsiaTheme="minorHAnsi" w:hAnsi="Arial" w:cs="Arial"/>
        </w:rPr>
      </w:pPr>
      <w:r w:rsidRPr="00BD7331">
        <w:rPr>
          <w:rFonts w:eastAsiaTheme="minorHAnsi"/>
          <w:noProof/>
        </w:rPr>
        <w:drawing>
          <wp:inline distT="0" distB="0" distL="0" distR="0" wp14:anchorId="6EAAA297" wp14:editId="368AA7EB">
            <wp:extent cx="5575300" cy="1123950"/>
            <wp:effectExtent l="0" t="0" r="6350" b="0"/>
            <wp:docPr id="280926269"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926269" name="Picture 66">
                      <a:extLst>
                        <a:ext uri="{C183D7F6-B498-43B3-948B-1728B52AA6E4}">
                          <adec:decorative xmlns:adec="http://schemas.microsoft.com/office/drawing/2017/decorative" val="1"/>
                        </a:ext>
                      </a:extLs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575300" cy="1123950"/>
                    </a:xfrm>
                    <a:prstGeom prst="rect">
                      <a:avLst/>
                    </a:prstGeom>
                    <a:noFill/>
                    <a:ln>
                      <a:noFill/>
                    </a:ln>
                  </pic:spPr>
                </pic:pic>
              </a:graphicData>
            </a:graphic>
          </wp:inline>
        </w:drawing>
      </w:r>
    </w:p>
    <w:p w14:paraId="1B7F04AA" w14:textId="77777777" w:rsidR="00BD7331" w:rsidRPr="00BD7331" w:rsidRDefault="00BD7331" w:rsidP="00BD7331">
      <w:pPr>
        <w:spacing w:after="160" w:line="360" w:lineRule="auto"/>
        <w:rPr>
          <w:rFonts w:ascii="Arial" w:eastAsiaTheme="minorHAnsi" w:hAnsi="Arial" w:cs="Arial"/>
        </w:rPr>
      </w:pPr>
    </w:p>
    <w:p w14:paraId="5D13DE81" w14:textId="77777777" w:rsidR="00C802FD" w:rsidRPr="0007572B" w:rsidRDefault="00C802FD" w:rsidP="006F1659">
      <w:pPr>
        <w:pStyle w:val="Heading4bold"/>
        <w:spacing w:line="360" w:lineRule="auto"/>
        <w:rPr>
          <w:rFonts w:eastAsiaTheme="minorHAnsi"/>
        </w:rPr>
      </w:pPr>
      <w:r w:rsidRPr="0007572B">
        <w:rPr>
          <w:rFonts w:eastAsiaTheme="minorHAnsi"/>
        </w:rPr>
        <w:t>Refinancing and maturity risk</w:t>
      </w:r>
    </w:p>
    <w:p w14:paraId="1DAA74E2" w14:textId="77777777" w:rsidR="00C802FD" w:rsidRPr="0007572B" w:rsidRDefault="00C802FD" w:rsidP="006F1659">
      <w:pPr>
        <w:spacing w:line="360" w:lineRule="auto"/>
        <w:rPr>
          <w:rFonts w:ascii="Arial" w:eastAsiaTheme="minorHAnsi" w:hAnsi="Arial" w:cs="Arial"/>
        </w:rPr>
      </w:pPr>
      <w:r w:rsidRPr="0007572B">
        <w:rPr>
          <w:rFonts w:ascii="Arial" w:eastAsiaTheme="minorHAnsi" w:hAnsi="Arial" w:cs="Arial"/>
        </w:rPr>
        <w:t>The Authority maintained a significant debt and investment portfolio. Whilst the cash flow procedures were considered against the refinancing risk procedures, longer term risk to the Authority related to managing the exposure to replacing financial instruments as they mature.</w:t>
      </w:r>
    </w:p>
    <w:p w14:paraId="2F52D520" w14:textId="77777777" w:rsidR="00C802FD" w:rsidRPr="0007572B" w:rsidRDefault="00C802FD" w:rsidP="006F1659">
      <w:pPr>
        <w:spacing w:line="360" w:lineRule="auto"/>
        <w:rPr>
          <w:rFonts w:ascii="Arial" w:eastAsiaTheme="minorHAnsi" w:hAnsi="Arial" w:cs="Arial"/>
        </w:rPr>
      </w:pPr>
    </w:p>
    <w:p w14:paraId="17C6E9FE" w14:textId="77777777" w:rsidR="00C802FD" w:rsidRPr="0007572B" w:rsidRDefault="00C802FD" w:rsidP="006F1659">
      <w:p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The approved treasury indicator limits for the maturity structure of debt and the limits placed on investments placed for greater than one year in duration are the key parameters used to address this risk. The Authority approved treasury and investment strategies address the main risks, these include:</w:t>
      </w:r>
    </w:p>
    <w:p w14:paraId="450B860C" w14:textId="77777777" w:rsidR="00C802FD" w:rsidRPr="0007572B" w:rsidRDefault="00C802FD" w:rsidP="006F1659">
      <w:pPr>
        <w:spacing w:after="160" w:line="360" w:lineRule="auto"/>
        <w:contextualSpacing/>
        <w:rPr>
          <w:rFonts w:ascii="Arial" w:eastAsiaTheme="minorHAnsi" w:hAnsi="Arial" w:cs="Arial"/>
          <w:lang w:eastAsia="en-GB"/>
        </w:rPr>
      </w:pPr>
    </w:p>
    <w:p w14:paraId="66224CDA" w14:textId="77777777" w:rsidR="00C802FD" w:rsidRPr="0007572B" w:rsidRDefault="00C802FD" w:rsidP="006F1659">
      <w:pPr>
        <w:numPr>
          <w:ilvl w:val="0"/>
          <w:numId w:val="12"/>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Monitoring the maturity profile of financial liabilities and amending the profile through either new borrowing or the rescheduling of existing debt;</w:t>
      </w:r>
    </w:p>
    <w:p w14:paraId="4CEB46DF" w14:textId="77777777" w:rsidR="00C802FD" w:rsidRPr="0007572B" w:rsidRDefault="00C802FD" w:rsidP="006F1659">
      <w:pPr>
        <w:numPr>
          <w:ilvl w:val="0"/>
          <w:numId w:val="12"/>
        </w:numPr>
        <w:spacing w:line="360" w:lineRule="auto"/>
        <w:contextualSpacing/>
        <w:rPr>
          <w:rFonts w:ascii="Arial" w:eastAsiaTheme="minorHAnsi" w:hAnsi="Arial" w:cs="Arial"/>
          <w:lang w:eastAsia="en-GB"/>
        </w:rPr>
      </w:pPr>
      <w:r w:rsidRPr="0007572B">
        <w:rPr>
          <w:rFonts w:ascii="Arial" w:eastAsiaTheme="minorHAnsi" w:hAnsi="Arial" w:cs="Arial"/>
          <w:lang w:eastAsia="en-GB"/>
        </w:rPr>
        <w:t>Monitoring the maturity profile of investments to ensure sufficient liquidity is available for the Authority’s day to day cash flow needs;</w:t>
      </w:r>
    </w:p>
    <w:p w14:paraId="790AC6A1" w14:textId="77777777" w:rsidR="00C802FD" w:rsidRPr="0007572B" w:rsidRDefault="00C802FD" w:rsidP="006F1659">
      <w:pPr>
        <w:pStyle w:val="ListParagraph"/>
        <w:numPr>
          <w:ilvl w:val="0"/>
          <w:numId w:val="12"/>
        </w:numPr>
        <w:spacing w:line="360" w:lineRule="auto"/>
        <w:rPr>
          <w:rFonts w:ascii="Arial" w:eastAsiaTheme="minorHAnsi" w:hAnsi="Arial" w:cs="Arial"/>
          <w:sz w:val="24"/>
          <w:szCs w:val="24"/>
        </w:rPr>
      </w:pPr>
      <w:r w:rsidRPr="0007572B">
        <w:rPr>
          <w:rFonts w:ascii="Arial" w:eastAsiaTheme="minorHAnsi" w:hAnsi="Arial" w:cs="Arial"/>
          <w:sz w:val="24"/>
          <w:szCs w:val="24"/>
        </w:rPr>
        <w:t>All trade creditors are due to be paid in less than one year.</w:t>
      </w:r>
    </w:p>
    <w:p w14:paraId="30891F53" w14:textId="77777777" w:rsidR="00C802FD" w:rsidRPr="0007572B" w:rsidRDefault="00C802FD" w:rsidP="006F1659">
      <w:pPr>
        <w:pStyle w:val="Heading4bold"/>
        <w:spacing w:line="360" w:lineRule="auto"/>
        <w:rPr>
          <w:rFonts w:eastAsiaTheme="minorHAnsi"/>
        </w:rPr>
      </w:pPr>
      <w:r w:rsidRPr="0007572B">
        <w:rPr>
          <w:rFonts w:eastAsiaTheme="minorHAnsi"/>
        </w:rPr>
        <w:lastRenderedPageBreak/>
        <w:t>Market Risk</w:t>
      </w:r>
    </w:p>
    <w:p w14:paraId="2AB0F5DF" w14:textId="77777777" w:rsidR="00C802FD" w:rsidRPr="0007572B" w:rsidRDefault="00C802FD" w:rsidP="006F1659">
      <w:pPr>
        <w:spacing w:after="160" w:line="360" w:lineRule="auto"/>
        <w:rPr>
          <w:rFonts w:ascii="Arial" w:eastAsiaTheme="minorHAnsi" w:hAnsi="Arial" w:cs="Arial"/>
        </w:rPr>
      </w:pPr>
      <w:r w:rsidRPr="0007572B">
        <w:rPr>
          <w:rFonts w:ascii="Arial" w:eastAsiaTheme="minorHAnsi" w:hAnsi="Arial" w:cs="Arial"/>
        </w:rPr>
        <w:t>The Authority is exposed to interest rate movements on its borrowings and investments. Movements in interest rates have a complex impact on the Authority, depending on how variable and fixed interest rates move across differing financial instrument periods. For instance, a rise in variable and fixed interest rates would have the following effects:</w:t>
      </w:r>
    </w:p>
    <w:p w14:paraId="61D54087" w14:textId="77777777" w:rsidR="00C802FD" w:rsidRPr="0007572B" w:rsidRDefault="00C802FD" w:rsidP="006F1659">
      <w:pPr>
        <w:numPr>
          <w:ilvl w:val="0"/>
          <w:numId w:val="16"/>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Borrowings at variable rates – The interest expense charged to the Deficit / (Surplus) on the Provision of Services will rise;</w:t>
      </w:r>
    </w:p>
    <w:p w14:paraId="4D19770C" w14:textId="77777777" w:rsidR="00C802FD" w:rsidRPr="0007572B" w:rsidRDefault="00C802FD" w:rsidP="006F1659">
      <w:pPr>
        <w:numPr>
          <w:ilvl w:val="0"/>
          <w:numId w:val="16"/>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Borrowings at fixed rates - The fair value of the borrowing liability will fall;</w:t>
      </w:r>
    </w:p>
    <w:p w14:paraId="64F8F8CD" w14:textId="77777777" w:rsidR="00C802FD" w:rsidRPr="0007572B" w:rsidRDefault="00C802FD" w:rsidP="006F1659">
      <w:pPr>
        <w:numPr>
          <w:ilvl w:val="0"/>
          <w:numId w:val="16"/>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Investments at variable rates - The interest income credited to the Deficit / (Surplus) on the Provision of Services will rise; and</w:t>
      </w:r>
    </w:p>
    <w:p w14:paraId="3E6DAA76" w14:textId="77777777" w:rsidR="00C802FD" w:rsidRDefault="00C802FD" w:rsidP="006F1659">
      <w:pPr>
        <w:numPr>
          <w:ilvl w:val="0"/>
          <w:numId w:val="16"/>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Investments at fixed rates - The fair value of the assets will fall.</w:t>
      </w:r>
    </w:p>
    <w:p w14:paraId="7091BFF5" w14:textId="77777777" w:rsidR="00B519DB" w:rsidRPr="0007572B" w:rsidRDefault="00B519DB" w:rsidP="006F1659">
      <w:pPr>
        <w:spacing w:after="160" w:line="360" w:lineRule="auto"/>
        <w:ind w:left="720"/>
        <w:contextualSpacing/>
        <w:rPr>
          <w:rFonts w:ascii="Arial" w:eastAsiaTheme="minorHAnsi" w:hAnsi="Arial" w:cs="Arial"/>
          <w:lang w:eastAsia="en-GB"/>
        </w:rPr>
      </w:pPr>
    </w:p>
    <w:p w14:paraId="4EE92978" w14:textId="77777777" w:rsidR="00C802FD" w:rsidRPr="0007572B" w:rsidRDefault="00C802FD" w:rsidP="006F1659">
      <w:pPr>
        <w:spacing w:after="160" w:line="360" w:lineRule="auto"/>
        <w:rPr>
          <w:rFonts w:ascii="Arial" w:eastAsiaTheme="minorHAnsi" w:hAnsi="Arial" w:cs="Arial"/>
        </w:rPr>
      </w:pPr>
      <w:r w:rsidRPr="0007572B">
        <w:rPr>
          <w:rFonts w:ascii="Arial" w:eastAsiaTheme="minorHAnsi" w:hAnsi="Arial" w:cs="Arial"/>
        </w:rPr>
        <w:t xml:space="preserve">Borrowings are not carried at fair value on the balance sheet, so nominal gains and losses on fixed rate borrowings would not impact on the Deficit / (Surplus) on the Provision of Services or Other Comprehensive Income and Expenditure. However, changes in interest payable and receivable on variable rate borrowings and investments will be posted to the Deficit on the Provision of Services and effect the General Fund Reserve. </w:t>
      </w:r>
    </w:p>
    <w:p w14:paraId="61E8AF91" w14:textId="77777777" w:rsidR="00C802FD" w:rsidRPr="0007572B" w:rsidRDefault="00C802FD" w:rsidP="006F1659">
      <w:pPr>
        <w:spacing w:after="160" w:line="360" w:lineRule="auto"/>
        <w:rPr>
          <w:rFonts w:ascii="Arial" w:eastAsiaTheme="minorHAnsi" w:hAnsi="Arial" w:cs="Arial"/>
        </w:rPr>
      </w:pPr>
      <w:r w:rsidRPr="0007572B">
        <w:rPr>
          <w:rFonts w:ascii="Arial" w:eastAsiaTheme="minorHAnsi" w:hAnsi="Arial" w:cs="Arial"/>
        </w:rPr>
        <w:t>The Authority has a number of strategies for managing interest rate risk. The Annual Treasury Management Strategy draws together Authority’s prudential indicators and its expected treasury operations, including an expectation of interest rate movements. From this Strategy, a prudential indicator is set which provides maximum limits for fixed and variable interest rate exposure. The central treasury team will monitor market interest rates and forecast interest rates within the year to adjust exposures appropriately. For instance, during periods of falling interest rates, and where economic circumstances make it favourable, fixed rate investments may be taken for longer periods to secure better long term returns.</w:t>
      </w:r>
    </w:p>
    <w:p w14:paraId="36A438C0" w14:textId="53FAED99" w:rsidR="00C802FD" w:rsidRPr="00DA17A8" w:rsidRDefault="00C802FD" w:rsidP="006F1659">
      <w:pPr>
        <w:spacing w:after="160" w:line="360" w:lineRule="auto"/>
        <w:rPr>
          <w:rFonts w:ascii="Arial" w:eastAsiaTheme="minorHAnsi" w:hAnsi="Arial" w:cs="Arial"/>
        </w:rPr>
      </w:pPr>
      <w:r w:rsidRPr="0007572B">
        <w:rPr>
          <w:rFonts w:ascii="Arial" w:eastAsiaTheme="minorHAnsi" w:hAnsi="Arial" w:cs="Arial"/>
        </w:rPr>
        <w:t xml:space="preserve">The Authority tries to maximise its income on temporary investment and minimise its </w:t>
      </w:r>
      <w:r w:rsidRPr="00DA17A8">
        <w:rPr>
          <w:rFonts w:ascii="Arial" w:eastAsiaTheme="minorHAnsi" w:hAnsi="Arial" w:cs="Arial"/>
        </w:rPr>
        <w:t>interest costs on temporary and long</w:t>
      </w:r>
      <w:r w:rsidR="00F3496D" w:rsidRPr="00DA17A8">
        <w:rPr>
          <w:rFonts w:ascii="Arial" w:eastAsiaTheme="minorHAnsi" w:hAnsi="Arial" w:cs="Arial"/>
        </w:rPr>
        <w:t xml:space="preserve"> </w:t>
      </w:r>
      <w:r w:rsidRPr="00DA17A8">
        <w:rPr>
          <w:rFonts w:ascii="Arial" w:eastAsiaTheme="minorHAnsi" w:hAnsi="Arial" w:cs="Arial"/>
        </w:rPr>
        <w:t>term borrowing.</w:t>
      </w:r>
    </w:p>
    <w:p w14:paraId="5521E6E1" w14:textId="5CF74DEB" w:rsidR="00C802FD" w:rsidRDefault="00C802FD" w:rsidP="006F1659">
      <w:pPr>
        <w:spacing w:line="360" w:lineRule="auto"/>
        <w:rPr>
          <w:rFonts w:ascii="Arial" w:eastAsiaTheme="minorHAnsi" w:hAnsi="Arial" w:cs="Arial"/>
        </w:rPr>
      </w:pPr>
      <w:r w:rsidRPr="00DA17A8">
        <w:rPr>
          <w:rFonts w:ascii="Arial" w:eastAsiaTheme="minorHAnsi" w:hAnsi="Arial" w:cs="Arial"/>
        </w:rPr>
        <w:t xml:space="preserve">The maximum interest rate increase that could be expected in the current climate is assessed at </w:t>
      </w:r>
      <w:r w:rsidR="00FF0805" w:rsidRPr="00DA17A8">
        <w:rPr>
          <w:rFonts w:ascii="Arial" w:eastAsiaTheme="minorHAnsi" w:hAnsi="Arial" w:cs="Arial"/>
        </w:rPr>
        <w:t>2</w:t>
      </w:r>
      <w:r w:rsidRPr="00DA17A8">
        <w:rPr>
          <w:rFonts w:ascii="Arial" w:eastAsiaTheme="minorHAnsi" w:hAnsi="Arial" w:cs="Arial"/>
        </w:rPr>
        <w:t xml:space="preserve">%. This would only apply to our net short term investments. The Authority also has a number of LOBO loans that can be called at periods. There is the risk that </w:t>
      </w:r>
      <w:r w:rsidRPr="00DA17A8">
        <w:rPr>
          <w:rFonts w:ascii="Arial" w:eastAsiaTheme="minorHAnsi" w:hAnsi="Arial" w:cs="Arial"/>
        </w:rPr>
        <w:lastRenderedPageBreak/>
        <w:t>these may have to be refinanced at a higher rate. The financial effect of these variable rate changes would be:</w:t>
      </w:r>
    </w:p>
    <w:p w14:paraId="11FE78D6" w14:textId="55C55DEA" w:rsidR="00E96C7E" w:rsidRDefault="00E96C7E" w:rsidP="006F1659">
      <w:pPr>
        <w:spacing w:line="360" w:lineRule="auto"/>
        <w:rPr>
          <w:rFonts w:ascii="Arial" w:eastAsiaTheme="minorHAnsi" w:hAnsi="Arial" w:cs="Arial"/>
        </w:rPr>
      </w:pPr>
    </w:p>
    <w:p w14:paraId="4FA2B048" w14:textId="5A07006A" w:rsidR="00BD7331" w:rsidRDefault="00BD7331" w:rsidP="006F1659">
      <w:pPr>
        <w:spacing w:line="360" w:lineRule="auto"/>
        <w:rPr>
          <w:rFonts w:ascii="Arial" w:hAnsi="Arial" w:cs="Arial"/>
          <w:b/>
          <w:sz w:val="22"/>
          <w:szCs w:val="22"/>
        </w:rPr>
      </w:pPr>
      <w:r w:rsidRPr="00BD7331">
        <w:rPr>
          <w:noProof/>
        </w:rPr>
        <w:drawing>
          <wp:inline distT="0" distB="0" distL="0" distR="0" wp14:anchorId="34924FAF" wp14:editId="5837877C">
            <wp:extent cx="5575300" cy="1130300"/>
            <wp:effectExtent l="0" t="0" r="6350" b="0"/>
            <wp:docPr id="595909016"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909016" name="Picture 67">
                      <a:extLst>
                        <a:ext uri="{C183D7F6-B498-43B3-948B-1728B52AA6E4}">
                          <adec:decorative xmlns:adec="http://schemas.microsoft.com/office/drawing/2017/decorative" val="1"/>
                        </a:ext>
                      </a:extLst>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575300" cy="1130300"/>
                    </a:xfrm>
                    <a:prstGeom prst="rect">
                      <a:avLst/>
                    </a:prstGeom>
                    <a:noFill/>
                    <a:ln>
                      <a:noFill/>
                    </a:ln>
                  </pic:spPr>
                </pic:pic>
              </a:graphicData>
            </a:graphic>
          </wp:inline>
        </w:drawing>
      </w:r>
    </w:p>
    <w:p w14:paraId="2FE8CCA8" w14:textId="77777777" w:rsidR="00E96C7E" w:rsidRPr="0007572B" w:rsidRDefault="00E96C7E" w:rsidP="006F1659">
      <w:pPr>
        <w:spacing w:line="360" w:lineRule="auto"/>
        <w:rPr>
          <w:rFonts w:ascii="Arial" w:hAnsi="Arial" w:cs="Arial"/>
          <w:b/>
          <w:sz w:val="22"/>
          <w:szCs w:val="22"/>
        </w:rPr>
        <w:sectPr w:rsidR="00E96C7E" w:rsidRPr="0007572B" w:rsidSect="004833A2">
          <w:pgSz w:w="11906" w:h="16838"/>
          <w:pgMar w:top="1444" w:right="1416" w:bottom="1276" w:left="1080" w:header="568" w:footer="567" w:gutter="0"/>
          <w:cols w:space="708"/>
          <w:docGrid w:linePitch="360"/>
        </w:sectPr>
      </w:pPr>
    </w:p>
    <w:p w14:paraId="29AA2A61" w14:textId="120A975B" w:rsidR="004047A3" w:rsidRPr="0007572B" w:rsidRDefault="00680267" w:rsidP="006F1659">
      <w:pPr>
        <w:pStyle w:val="Heading3greennumbered"/>
        <w:spacing w:line="360" w:lineRule="auto"/>
      </w:pPr>
      <w:bookmarkStart w:id="182" w:name="_Toc92894903"/>
      <w:bookmarkStart w:id="183" w:name="_Toc92895207"/>
      <w:bookmarkStart w:id="184" w:name="_Toc109922641"/>
      <w:r w:rsidRPr="0007572B">
        <w:lastRenderedPageBreak/>
        <w:t>3</w:t>
      </w:r>
      <w:r w:rsidR="00876B48" w:rsidRPr="0007572B">
        <w:t>1</w:t>
      </w:r>
      <w:r w:rsidR="004047A3" w:rsidRPr="0007572B">
        <w:t xml:space="preserve"> </w:t>
      </w:r>
      <w:r w:rsidR="00010401">
        <w:t>Related</w:t>
      </w:r>
      <w:r w:rsidR="004047A3" w:rsidRPr="0007572B">
        <w:t xml:space="preserve"> Party Transactions</w:t>
      </w:r>
      <w:bookmarkEnd w:id="182"/>
      <w:bookmarkEnd w:id="183"/>
      <w:bookmarkEnd w:id="184"/>
    </w:p>
    <w:p w14:paraId="23C46489" w14:textId="77777777" w:rsidR="00D4492C" w:rsidRDefault="00D4492C" w:rsidP="006F1659">
      <w:pPr>
        <w:spacing w:line="360" w:lineRule="auto"/>
        <w:rPr>
          <w:rFonts w:ascii="Arial" w:hAnsi="Arial" w:cs="Arial"/>
        </w:rPr>
      </w:pPr>
    </w:p>
    <w:p w14:paraId="4242A0BF" w14:textId="324B344B" w:rsidR="00F13495" w:rsidRPr="00F957F8" w:rsidRDefault="00FC4B04" w:rsidP="006F1659">
      <w:pPr>
        <w:spacing w:line="360" w:lineRule="auto"/>
        <w:rPr>
          <w:rFonts w:ascii="Arial" w:hAnsi="Arial" w:cs="Arial"/>
        </w:rPr>
      </w:pPr>
      <w:r w:rsidRPr="00F957F8">
        <w:rPr>
          <w:rFonts w:ascii="Arial" w:hAnsi="Arial" w:cs="Arial"/>
        </w:rPr>
        <w:t>The Authority is required to disclose material transactions with related parties</w:t>
      </w:r>
      <w:r w:rsidR="00296E9D" w:rsidRPr="00F957F8">
        <w:rPr>
          <w:rFonts w:ascii="Arial" w:hAnsi="Arial" w:cs="Arial"/>
        </w:rPr>
        <w:t>. These are</w:t>
      </w:r>
      <w:r w:rsidRPr="00F957F8">
        <w:rPr>
          <w:rFonts w:ascii="Arial" w:hAnsi="Arial" w:cs="Arial"/>
        </w:rPr>
        <w:t xml:space="preserve"> bodies or individuals that have the potential to control or influence the Authority or to be controlled or influenced by the Authority. Disclosure of these transactions allows readers to assess the extent to which the Authority might have been constrained in its ability to operate independently or might have secured the ability to limit another party's ability to bargain freely with the Authority. </w:t>
      </w:r>
      <w:r w:rsidR="00471CCA" w:rsidRPr="00F957F8">
        <w:rPr>
          <w:rFonts w:ascii="Arial" w:hAnsi="Arial" w:cs="Arial"/>
        </w:rPr>
        <w:t xml:space="preserve">In this context the organisations in which members (The Mayor and leaders of the GM </w:t>
      </w:r>
      <w:r w:rsidR="002952F9" w:rsidRPr="00F957F8">
        <w:rPr>
          <w:rFonts w:ascii="Arial" w:hAnsi="Arial" w:cs="Arial"/>
        </w:rPr>
        <w:t>Authorities</w:t>
      </w:r>
      <w:r w:rsidR="00471CCA" w:rsidRPr="00F957F8">
        <w:rPr>
          <w:rFonts w:ascii="Arial" w:hAnsi="Arial" w:cs="Arial"/>
        </w:rPr>
        <w:t>) and chief officers of the Authority have an influence or interest include;</w:t>
      </w:r>
    </w:p>
    <w:p w14:paraId="1CEF8CA2" w14:textId="77777777" w:rsidR="00900C7C" w:rsidRPr="00F957F8" w:rsidRDefault="00900C7C" w:rsidP="006F1659">
      <w:pPr>
        <w:pStyle w:val="ListParagraph"/>
        <w:numPr>
          <w:ilvl w:val="0"/>
          <w:numId w:val="17"/>
        </w:numPr>
        <w:spacing w:line="360" w:lineRule="auto"/>
        <w:rPr>
          <w:rFonts w:ascii="Arial" w:hAnsi="Arial" w:cs="Arial"/>
          <w:sz w:val="24"/>
          <w:szCs w:val="24"/>
        </w:rPr>
      </w:pPr>
      <w:r w:rsidRPr="00F957F8">
        <w:rPr>
          <w:rFonts w:ascii="Arial" w:hAnsi="Arial" w:cs="Arial"/>
          <w:sz w:val="24"/>
          <w:szCs w:val="24"/>
        </w:rPr>
        <w:t>Central Government</w:t>
      </w:r>
    </w:p>
    <w:p w14:paraId="2CF2E191" w14:textId="0A21F0D3" w:rsidR="00900C7C" w:rsidRPr="00F957F8" w:rsidRDefault="00CA750E" w:rsidP="006F1659">
      <w:pPr>
        <w:pStyle w:val="ListParagraph"/>
        <w:numPr>
          <w:ilvl w:val="0"/>
          <w:numId w:val="17"/>
        </w:numPr>
        <w:spacing w:line="360" w:lineRule="auto"/>
        <w:rPr>
          <w:rFonts w:ascii="Arial" w:hAnsi="Arial" w:cs="Arial"/>
          <w:sz w:val="24"/>
          <w:szCs w:val="24"/>
        </w:rPr>
      </w:pPr>
      <w:r w:rsidRPr="00F957F8">
        <w:rPr>
          <w:rFonts w:ascii="Arial" w:hAnsi="Arial" w:cs="Arial"/>
          <w:sz w:val="24"/>
          <w:szCs w:val="24"/>
        </w:rPr>
        <w:t>GM</w:t>
      </w:r>
      <w:r w:rsidR="00900C7C" w:rsidRPr="00F957F8">
        <w:rPr>
          <w:rFonts w:ascii="Arial" w:hAnsi="Arial" w:cs="Arial"/>
          <w:sz w:val="24"/>
          <w:szCs w:val="24"/>
        </w:rPr>
        <w:t xml:space="preserve"> Authorities</w:t>
      </w:r>
    </w:p>
    <w:p w14:paraId="7CC452C9" w14:textId="44F84EA4" w:rsidR="00A842BB" w:rsidRPr="00F957F8" w:rsidRDefault="00A842BB" w:rsidP="006F1659">
      <w:pPr>
        <w:pStyle w:val="ListParagraph"/>
        <w:numPr>
          <w:ilvl w:val="0"/>
          <w:numId w:val="17"/>
        </w:numPr>
        <w:spacing w:line="360" w:lineRule="auto"/>
        <w:rPr>
          <w:rFonts w:ascii="Arial" w:hAnsi="Arial" w:cs="Arial"/>
          <w:sz w:val="24"/>
          <w:szCs w:val="24"/>
        </w:rPr>
      </w:pPr>
      <w:r w:rsidRPr="00F957F8">
        <w:rPr>
          <w:rFonts w:ascii="Arial" w:hAnsi="Arial" w:cs="Arial"/>
          <w:sz w:val="24"/>
          <w:szCs w:val="24"/>
        </w:rPr>
        <w:t>Transport for Greater Manchester</w:t>
      </w:r>
    </w:p>
    <w:p w14:paraId="04EDCD03" w14:textId="5990169D" w:rsidR="00186C02" w:rsidRPr="00F957F8" w:rsidRDefault="00186C02" w:rsidP="006F1659">
      <w:pPr>
        <w:pStyle w:val="ListParagraph"/>
        <w:numPr>
          <w:ilvl w:val="0"/>
          <w:numId w:val="17"/>
        </w:numPr>
        <w:spacing w:line="360" w:lineRule="auto"/>
        <w:rPr>
          <w:rFonts w:ascii="Arial" w:hAnsi="Arial" w:cs="Arial"/>
          <w:sz w:val="24"/>
          <w:szCs w:val="24"/>
        </w:rPr>
      </w:pPr>
      <w:r w:rsidRPr="00F957F8">
        <w:rPr>
          <w:rFonts w:ascii="Arial" w:hAnsi="Arial" w:cs="Arial"/>
          <w:sz w:val="24"/>
          <w:szCs w:val="24"/>
        </w:rPr>
        <w:t>Greater Manchester Police</w:t>
      </w:r>
    </w:p>
    <w:p w14:paraId="07C072BC" w14:textId="6136CD73" w:rsidR="00152326" w:rsidRPr="00F957F8" w:rsidRDefault="00152326" w:rsidP="006F1659">
      <w:pPr>
        <w:pStyle w:val="ListParagraph"/>
        <w:numPr>
          <w:ilvl w:val="0"/>
          <w:numId w:val="17"/>
        </w:numPr>
        <w:spacing w:line="360" w:lineRule="auto"/>
        <w:rPr>
          <w:rFonts w:ascii="Arial" w:hAnsi="Arial" w:cs="Arial"/>
          <w:sz w:val="24"/>
          <w:szCs w:val="24"/>
        </w:rPr>
      </w:pPr>
      <w:r w:rsidRPr="00F957F8">
        <w:rPr>
          <w:rFonts w:ascii="Arial" w:hAnsi="Arial" w:cs="Arial"/>
          <w:sz w:val="24"/>
          <w:szCs w:val="24"/>
        </w:rPr>
        <w:t xml:space="preserve">North West Fire Control </w:t>
      </w:r>
    </w:p>
    <w:p w14:paraId="0E74A21A" w14:textId="65484C78" w:rsidR="00152326" w:rsidRPr="00F957F8" w:rsidRDefault="00152326" w:rsidP="006F1659">
      <w:pPr>
        <w:pStyle w:val="ListParagraph"/>
        <w:numPr>
          <w:ilvl w:val="0"/>
          <w:numId w:val="17"/>
        </w:numPr>
        <w:spacing w:line="360" w:lineRule="auto"/>
        <w:rPr>
          <w:rFonts w:ascii="Arial" w:hAnsi="Arial" w:cs="Arial"/>
          <w:sz w:val="24"/>
          <w:szCs w:val="24"/>
        </w:rPr>
      </w:pPr>
      <w:r w:rsidRPr="00F957F8">
        <w:rPr>
          <w:rFonts w:ascii="Arial" w:hAnsi="Arial" w:cs="Arial"/>
          <w:sz w:val="24"/>
          <w:szCs w:val="24"/>
        </w:rPr>
        <w:t>Manchester Investment and Development Agency Service Limited</w:t>
      </w:r>
    </w:p>
    <w:p w14:paraId="21AA970D" w14:textId="3F3AD12B" w:rsidR="000E5AD6" w:rsidRPr="00F957F8" w:rsidRDefault="000E5AD6" w:rsidP="006F1659">
      <w:pPr>
        <w:pStyle w:val="ListParagraph"/>
        <w:numPr>
          <w:ilvl w:val="0"/>
          <w:numId w:val="17"/>
        </w:numPr>
        <w:spacing w:line="360" w:lineRule="auto"/>
        <w:rPr>
          <w:rFonts w:ascii="Arial" w:hAnsi="Arial" w:cs="Arial"/>
          <w:color w:val="000000" w:themeColor="text1"/>
          <w:sz w:val="24"/>
          <w:szCs w:val="24"/>
        </w:rPr>
      </w:pPr>
      <w:r w:rsidRPr="00F957F8">
        <w:rPr>
          <w:rFonts w:ascii="Arial" w:hAnsi="Arial" w:cs="Arial"/>
          <w:color w:val="000000" w:themeColor="text1"/>
          <w:sz w:val="24"/>
          <w:szCs w:val="24"/>
        </w:rPr>
        <w:t xml:space="preserve">Halle Concert Society </w:t>
      </w:r>
    </w:p>
    <w:p w14:paraId="67F0C32E" w14:textId="356B87E6" w:rsidR="00EA737A" w:rsidRPr="00F957F8" w:rsidRDefault="00EA737A" w:rsidP="006F1659">
      <w:pPr>
        <w:pStyle w:val="ListParagraph"/>
        <w:numPr>
          <w:ilvl w:val="0"/>
          <w:numId w:val="17"/>
        </w:numPr>
        <w:spacing w:line="360" w:lineRule="auto"/>
        <w:rPr>
          <w:rFonts w:ascii="Arial" w:hAnsi="Arial" w:cs="Arial"/>
          <w:color w:val="000000" w:themeColor="text1"/>
          <w:sz w:val="24"/>
          <w:szCs w:val="24"/>
        </w:rPr>
      </w:pPr>
      <w:r w:rsidRPr="00F957F8">
        <w:rPr>
          <w:rFonts w:ascii="Arial" w:hAnsi="Arial" w:cs="Arial"/>
          <w:color w:val="000000" w:themeColor="text1"/>
          <w:sz w:val="24"/>
          <w:szCs w:val="24"/>
        </w:rPr>
        <w:t>Greater Manchester Fund of Funds Limited Partnership</w:t>
      </w:r>
    </w:p>
    <w:p w14:paraId="12FC3BEF" w14:textId="41BC5998" w:rsidR="00EA737A" w:rsidRPr="00F957F8" w:rsidRDefault="00EA737A" w:rsidP="006F1659">
      <w:pPr>
        <w:pStyle w:val="ListParagraph"/>
        <w:numPr>
          <w:ilvl w:val="0"/>
          <w:numId w:val="17"/>
        </w:numPr>
        <w:spacing w:line="360" w:lineRule="auto"/>
        <w:rPr>
          <w:rFonts w:ascii="Arial" w:hAnsi="Arial" w:cs="Arial"/>
          <w:color w:val="000000" w:themeColor="text1"/>
          <w:sz w:val="24"/>
          <w:szCs w:val="24"/>
        </w:rPr>
      </w:pPr>
      <w:r w:rsidRPr="00F957F8">
        <w:rPr>
          <w:rFonts w:ascii="Arial" w:hAnsi="Arial" w:cs="Arial"/>
          <w:color w:val="000000" w:themeColor="text1"/>
          <w:sz w:val="24"/>
          <w:szCs w:val="24"/>
        </w:rPr>
        <w:t>NW Evergreen Holdings Limited Partnership</w:t>
      </w:r>
    </w:p>
    <w:p w14:paraId="27E58AEA" w14:textId="0113346F" w:rsidR="00F957F8" w:rsidRPr="00F957F8" w:rsidRDefault="00F957F8" w:rsidP="006F1659">
      <w:pPr>
        <w:pStyle w:val="ListParagraph"/>
        <w:numPr>
          <w:ilvl w:val="0"/>
          <w:numId w:val="17"/>
        </w:numPr>
        <w:spacing w:line="360" w:lineRule="auto"/>
        <w:rPr>
          <w:rFonts w:ascii="Arial" w:hAnsi="Arial" w:cs="Arial"/>
          <w:color w:val="000000" w:themeColor="text1"/>
          <w:sz w:val="24"/>
          <w:szCs w:val="24"/>
        </w:rPr>
      </w:pPr>
      <w:r w:rsidRPr="00F957F8">
        <w:rPr>
          <w:rFonts w:ascii="Arial" w:hAnsi="Arial" w:cs="Arial"/>
          <w:color w:val="000000" w:themeColor="text1"/>
          <w:sz w:val="24"/>
          <w:szCs w:val="24"/>
        </w:rPr>
        <w:t>Hive Homes LLP</w:t>
      </w:r>
    </w:p>
    <w:p w14:paraId="230E4672" w14:textId="4136A8C1" w:rsidR="00F957F8" w:rsidRPr="00F957F8" w:rsidRDefault="00F957F8" w:rsidP="006F1659">
      <w:pPr>
        <w:pStyle w:val="ListParagraph"/>
        <w:numPr>
          <w:ilvl w:val="0"/>
          <w:numId w:val="17"/>
        </w:numPr>
        <w:spacing w:line="360" w:lineRule="auto"/>
        <w:rPr>
          <w:rFonts w:ascii="Arial" w:hAnsi="Arial" w:cs="Arial"/>
          <w:color w:val="000000" w:themeColor="text1"/>
          <w:sz w:val="24"/>
          <w:szCs w:val="24"/>
        </w:rPr>
      </w:pPr>
      <w:r w:rsidRPr="00F957F8">
        <w:rPr>
          <w:rFonts w:ascii="Arial" w:hAnsi="Arial" w:cs="Arial"/>
          <w:color w:val="000000" w:themeColor="text1"/>
          <w:sz w:val="24"/>
          <w:szCs w:val="24"/>
        </w:rPr>
        <w:t>National Homelessness Property 2</w:t>
      </w:r>
    </w:p>
    <w:p w14:paraId="132074B8" w14:textId="3592A631" w:rsidR="00F957F8" w:rsidRPr="00F957F8" w:rsidRDefault="00F957F8" w:rsidP="006F1659">
      <w:pPr>
        <w:pStyle w:val="ListParagraph"/>
        <w:numPr>
          <w:ilvl w:val="0"/>
          <w:numId w:val="17"/>
        </w:numPr>
        <w:spacing w:line="360" w:lineRule="auto"/>
        <w:rPr>
          <w:rFonts w:ascii="Arial" w:hAnsi="Arial" w:cs="Arial"/>
          <w:color w:val="000000" w:themeColor="text1"/>
          <w:sz w:val="24"/>
          <w:szCs w:val="24"/>
        </w:rPr>
      </w:pPr>
      <w:r w:rsidRPr="00F957F8">
        <w:rPr>
          <w:rFonts w:ascii="Arial" w:hAnsi="Arial" w:cs="Arial"/>
          <w:color w:val="000000" w:themeColor="text1"/>
          <w:sz w:val="24"/>
          <w:szCs w:val="24"/>
        </w:rPr>
        <w:t>Manchester Camerata</w:t>
      </w:r>
    </w:p>
    <w:p w14:paraId="1F70BF62" w14:textId="1351D7C2" w:rsidR="00F957F8" w:rsidRPr="00F957F8" w:rsidRDefault="00F957F8" w:rsidP="006F1659">
      <w:pPr>
        <w:pStyle w:val="ListParagraph"/>
        <w:numPr>
          <w:ilvl w:val="0"/>
          <w:numId w:val="17"/>
        </w:numPr>
        <w:spacing w:line="360" w:lineRule="auto"/>
        <w:rPr>
          <w:rFonts w:ascii="Arial" w:hAnsi="Arial" w:cs="Arial"/>
          <w:color w:val="000000" w:themeColor="text1"/>
          <w:sz w:val="24"/>
          <w:szCs w:val="24"/>
        </w:rPr>
      </w:pPr>
      <w:r w:rsidRPr="00F957F8">
        <w:rPr>
          <w:rFonts w:ascii="Arial" w:hAnsi="Arial" w:cs="Arial"/>
          <w:color w:val="000000" w:themeColor="text1"/>
          <w:sz w:val="24"/>
          <w:szCs w:val="24"/>
        </w:rPr>
        <w:t>Interchange Homes LLP</w:t>
      </w:r>
    </w:p>
    <w:p w14:paraId="302AD930" w14:textId="7CEADE26" w:rsidR="00F957F8" w:rsidRDefault="00F957F8" w:rsidP="006F1659">
      <w:pPr>
        <w:pStyle w:val="ListParagraph"/>
        <w:numPr>
          <w:ilvl w:val="0"/>
          <w:numId w:val="17"/>
        </w:numPr>
        <w:spacing w:line="360" w:lineRule="auto"/>
        <w:rPr>
          <w:rFonts w:ascii="Arial" w:hAnsi="Arial" w:cs="Arial"/>
          <w:color w:val="000000" w:themeColor="text1"/>
          <w:sz w:val="24"/>
          <w:szCs w:val="24"/>
        </w:rPr>
      </w:pPr>
      <w:r w:rsidRPr="00F957F8">
        <w:rPr>
          <w:rFonts w:ascii="Arial" w:hAnsi="Arial" w:cs="Arial"/>
          <w:color w:val="000000" w:themeColor="text1"/>
          <w:sz w:val="24"/>
          <w:szCs w:val="24"/>
        </w:rPr>
        <w:lastRenderedPageBreak/>
        <w:t>The Lowry Centre Trust</w:t>
      </w:r>
    </w:p>
    <w:p w14:paraId="2111A915" w14:textId="3C498E2E" w:rsidR="00F957F8" w:rsidRPr="00F957F8" w:rsidRDefault="00F957F8" w:rsidP="006F1659">
      <w:pPr>
        <w:pStyle w:val="ListParagraph"/>
        <w:numPr>
          <w:ilvl w:val="0"/>
          <w:numId w:val="17"/>
        </w:numPr>
        <w:spacing w:line="360" w:lineRule="auto"/>
        <w:rPr>
          <w:rFonts w:ascii="Arial" w:hAnsi="Arial" w:cs="Arial"/>
          <w:color w:val="000000" w:themeColor="text1"/>
          <w:sz w:val="24"/>
          <w:szCs w:val="24"/>
        </w:rPr>
      </w:pPr>
      <w:r w:rsidRPr="00F957F8">
        <w:rPr>
          <w:rFonts w:ascii="Arial" w:hAnsi="Arial" w:cs="Arial"/>
          <w:color w:val="000000" w:themeColor="text1"/>
          <w:sz w:val="24"/>
          <w:szCs w:val="24"/>
        </w:rPr>
        <w:t>Greater Manchester Evergreen 2 Limited Partnership</w:t>
      </w:r>
    </w:p>
    <w:p w14:paraId="12AE78AD" w14:textId="77777777" w:rsidR="000058B6" w:rsidRDefault="000058B6" w:rsidP="006F1659">
      <w:pPr>
        <w:spacing w:line="360" w:lineRule="auto"/>
        <w:rPr>
          <w:rFonts w:ascii="Arial" w:hAnsi="Arial" w:cs="Arial"/>
          <w:color w:val="000000" w:themeColor="text1"/>
        </w:rPr>
      </w:pPr>
    </w:p>
    <w:p w14:paraId="095E805D" w14:textId="77777777" w:rsidR="000058B6" w:rsidRPr="0007572B" w:rsidRDefault="000058B6" w:rsidP="006F1659">
      <w:pPr>
        <w:pStyle w:val="Heading4bold"/>
        <w:spacing w:line="360" w:lineRule="auto"/>
      </w:pPr>
      <w:r w:rsidRPr="0007572B">
        <w:t>Members and Chief Officers</w:t>
      </w:r>
    </w:p>
    <w:p w14:paraId="096F1733" w14:textId="77777777" w:rsidR="000058B6" w:rsidRPr="0007572B" w:rsidRDefault="000058B6" w:rsidP="006F1659">
      <w:pPr>
        <w:spacing w:line="360" w:lineRule="auto"/>
        <w:rPr>
          <w:rFonts w:ascii="Arial" w:hAnsi="Arial" w:cs="Arial"/>
        </w:rPr>
      </w:pPr>
      <w:r w:rsidRPr="0007572B">
        <w:rPr>
          <w:rFonts w:ascii="Arial" w:hAnsi="Arial" w:cs="Arial"/>
        </w:rPr>
        <w:t xml:space="preserve">Members of the Authority (the Mayor and leaders of the GM Authorities) have direct control over the Authority's financial and operating policies. </w:t>
      </w:r>
    </w:p>
    <w:p w14:paraId="05D9C7D6" w14:textId="77777777" w:rsidR="000058B6" w:rsidRPr="00FE66B0" w:rsidRDefault="000058B6" w:rsidP="006F1659">
      <w:pPr>
        <w:spacing w:line="360" w:lineRule="auto"/>
        <w:rPr>
          <w:rFonts w:ascii="Arial" w:hAnsi="Arial" w:cs="Arial"/>
        </w:rPr>
      </w:pPr>
      <w:r w:rsidRPr="0007572B">
        <w:rPr>
          <w:rFonts w:ascii="Arial" w:hAnsi="Arial" w:cs="Arial"/>
        </w:rPr>
        <w:t xml:space="preserve">No members allowances are payable; the remuneration of the Mayor and Deputy Mayor for Police and Crime are disclosed in </w:t>
      </w:r>
      <w:r w:rsidRPr="00FE66B0">
        <w:rPr>
          <w:rFonts w:ascii="Arial" w:hAnsi="Arial" w:cs="Arial"/>
        </w:rPr>
        <w:t>Senior Employees Remuneration note.</w:t>
      </w:r>
    </w:p>
    <w:p w14:paraId="0ED41B16" w14:textId="77777777" w:rsidR="000058B6" w:rsidRPr="00FE66B0" w:rsidRDefault="000058B6" w:rsidP="006F1659">
      <w:pPr>
        <w:spacing w:line="360" w:lineRule="auto"/>
        <w:rPr>
          <w:rFonts w:ascii="Arial" w:hAnsi="Arial" w:cs="Arial"/>
        </w:rPr>
      </w:pPr>
      <w:r w:rsidRPr="00FE66B0">
        <w:rPr>
          <w:rFonts w:ascii="Arial" w:hAnsi="Arial" w:cs="Arial"/>
        </w:rPr>
        <w:t>Details of member's interest, both pecuniary and non-financial are recorded in the register of member’s interest (available for public inspection).</w:t>
      </w:r>
    </w:p>
    <w:p w14:paraId="7A1FD343" w14:textId="0554EF8A" w:rsidR="000058B6" w:rsidRPr="00431F6F" w:rsidRDefault="000058B6" w:rsidP="006F1659">
      <w:pPr>
        <w:spacing w:line="360" w:lineRule="auto"/>
        <w:rPr>
          <w:rFonts w:ascii="Arial" w:hAnsi="Arial" w:cs="Arial"/>
          <w:bCs/>
        </w:rPr>
      </w:pPr>
      <w:r w:rsidRPr="00FE66B0">
        <w:rPr>
          <w:rFonts w:ascii="Arial" w:hAnsi="Arial" w:cs="Arial"/>
        </w:rPr>
        <w:t>During the year the Authority reported material transactions with Halle Concerts Society</w:t>
      </w:r>
      <w:r w:rsidR="00FE66B0" w:rsidRPr="00FE66B0">
        <w:rPr>
          <w:rFonts w:ascii="Arial" w:hAnsi="Arial" w:cs="Arial"/>
        </w:rPr>
        <w:t>,</w:t>
      </w:r>
      <w:r w:rsidRPr="00FE66B0">
        <w:rPr>
          <w:rFonts w:ascii="Arial" w:hAnsi="Arial" w:cs="Arial"/>
        </w:rPr>
        <w:t xml:space="preserve"> Manchester Camerata</w:t>
      </w:r>
      <w:r w:rsidR="00FE66B0" w:rsidRPr="00FE66B0">
        <w:rPr>
          <w:rFonts w:ascii="Arial" w:hAnsi="Arial" w:cs="Arial"/>
        </w:rPr>
        <w:t xml:space="preserve"> and the Lowry Centre Trust. All are</w:t>
      </w:r>
      <w:r w:rsidRPr="00FE66B0">
        <w:rPr>
          <w:rFonts w:ascii="Arial" w:hAnsi="Arial" w:cs="Arial"/>
        </w:rPr>
        <w:t xml:space="preserve"> related parties by virtue of common director</w:t>
      </w:r>
      <w:r w:rsidRPr="00FE66B0">
        <w:rPr>
          <w:rFonts w:ascii="Arial" w:hAnsi="Arial" w:cs="Arial"/>
          <w:b/>
        </w:rPr>
        <w:t xml:space="preserve">. </w:t>
      </w:r>
      <w:r w:rsidRPr="00FE66B0">
        <w:rPr>
          <w:rFonts w:ascii="Arial" w:hAnsi="Arial" w:cs="Arial"/>
          <w:bCs/>
        </w:rPr>
        <w:t>See below related parties’ disclosure for more detail.</w:t>
      </w:r>
      <w:r>
        <w:rPr>
          <w:rFonts w:ascii="Arial" w:hAnsi="Arial" w:cs="Arial"/>
          <w:bCs/>
        </w:rPr>
        <w:t xml:space="preserve"> </w:t>
      </w:r>
    </w:p>
    <w:p w14:paraId="35DD152B" w14:textId="77777777" w:rsidR="000058B6" w:rsidRPr="000058B6" w:rsidRDefault="000058B6" w:rsidP="006F1659">
      <w:pPr>
        <w:spacing w:line="360" w:lineRule="auto"/>
        <w:rPr>
          <w:rFonts w:ascii="Arial" w:hAnsi="Arial" w:cs="Arial"/>
          <w:color w:val="000000" w:themeColor="text1"/>
        </w:rPr>
      </w:pPr>
    </w:p>
    <w:p w14:paraId="3D92267F" w14:textId="3CCB8762" w:rsidR="00D5311B" w:rsidRPr="00431F6F" w:rsidRDefault="00900C7C" w:rsidP="006F1659">
      <w:pPr>
        <w:pStyle w:val="Heading4bold"/>
        <w:spacing w:line="360" w:lineRule="auto"/>
        <w:rPr>
          <w:color w:val="000000" w:themeColor="text1"/>
        </w:rPr>
      </w:pPr>
      <w:r w:rsidRPr="00431F6F">
        <w:rPr>
          <w:color w:val="000000" w:themeColor="text1"/>
        </w:rPr>
        <w:t>Central Government</w:t>
      </w:r>
    </w:p>
    <w:p w14:paraId="3B3BDD71" w14:textId="2BCE9705" w:rsidR="00F13495" w:rsidRPr="00431F6F" w:rsidRDefault="00F13495" w:rsidP="006F1659">
      <w:pPr>
        <w:spacing w:line="360" w:lineRule="auto"/>
        <w:rPr>
          <w:rFonts w:ascii="Arial" w:eastAsia="Calibri" w:hAnsi="Arial" w:cs="Arial"/>
          <w:color w:val="000000" w:themeColor="text1"/>
          <w:lang w:val="en-US"/>
        </w:rPr>
      </w:pPr>
      <w:r w:rsidRPr="00431F6F">
        <w:rPr>
          <w:rFonts w:ascii="Arial" w:eastAsia="Calibri" w:hAnsi="Arial" w:cs="Arial"/>
          <w:color w:val="000000" w:themeColor="text1"/>
          <w:lang w:val="en-US"/>
        </w:rPr>
        <w:t>Central Government has effective control over the general operations of the Authority. It is responsible for providing the framework within which the Authority operates and provides the majority of its funding in the form of grants and prescribes the terms of many of the transactions that the Authority has with other parties.</w:t>
      </w:r>
    </w:p>
    <w:p w14:paraId="5EAAF160" w14:textId="2BE6A441" w:rsidR="00043063" w:rsidRDefault="00043063" w:rsidP="006F1659">
      <w:pPr>
        <w:spacing w:line="360" w:lineRule="auto"/>
        <w:rPr>
          <w:rFonts w:ascii="Arial" w:hAnsi="Arial" w:cs="Arial"/>
          <w:sz w:val="22"/>
          <w:szCs w:val="22"/>
        </w:rPr>
      </w:pPr>
    </w:p>
    <w:p w14:paraId="67C5545D" w14:textId="63A6581B" w:rsidR="00BD7331" w:rsidRPr="0007572B" w:rsidRDefault="00BD7331" w:rsidP="006F1659">
      <w:pPr>
        <w:spacing w:line="360" w:lineRule="auto"/>
        <w:rPr>
          <w:rFonts w:ascii="Arial" w:hAnsi="Arial" w:cs="Arial"/>
          <w:sz w:val="22"/>
          <w:szCs w:val="22"/>
        </w:rPr>
      </w:pPr>
      <w:r w:rsidRPr="00BD7331">
        <w:rPr>
          <w:noProof/>
        </w:rPr>
        <w:lastRenderedPageBreak/>
        <w:drawing>
          <wp:inline distT="0" distB="0" distL="0" distR="0" wp14:anchorId="38394426" wp14:editId="2CDDE8C5">
            <wp:extent cx="4000500" cy="1123950"/>
            <wp:effectExtent l="0" t="0" r="0" b="0"/>
            <wp:docPr id="1592147525"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147525" name="Picture 69">
                      <a:extLst>
                        <a:ext uri="{C183D7F6-B498-43B3-948B-1728B52AA6E4}">
                          <adec:decorative xmlns:adec="http://schemas.microsoft.com/office/drawing/2017/decorative" val="1"/>
                        </a:ext>
                      </a:extLs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000500" cy="1123950"/>
                    </a:xfrm>
                    <a:prstGeom prst="rect">
                      <a:avLst/>
                    </a:prstGeom>
                    <a:noFill/>
                    <a:ln>
                      <a:noFill/>
                    </a:ln>
                  </pic:spPr>
                </pic:pic>
              </a:graphicData>
            </a:graphic>
          </wp:inline>
        </w:drawing>
      </w:r>
    </w:p>
    <w:p w14:paraId="069CAD0E" w14:textId="77777777" w:rsidR="000058B6" w:rsidRDefault="000058B6" w:rsidP="006F1659">
      <w:pPr>
        <w:spacing w:line="360" w:lineRule="auto"/>
        <w:rPr>
          <w:rFonts w:ascii="Arial" w:hAnsi="Arial" w:cs="Arial"/>
          <w:b/>
          <w:sz w:val="22"/>
          <w:szCs w:val="22"/>
        </w:rPr>
      </w:pPr>
    </w:p>
    <w:p w14:paraId="67959FAE" w14:textId="77777777" w:rsidR="00B51434" w:rsidRPr="0007572B" w:rsidRDefault="00B51434" w:rsidP="006F1659">
      <w:pPr>
        <w:spacing w:line="360" w:lineRule="auto"/>
        <w:rPr>
          <w:rFonts w:ascii="Arial" w:hAnsi="Arial" w:cs="Arial"/>
          <w:b/>
          <w:sz w:val="22"/>
          <w:szCs w:val="22"/>
        </w:rPr>
      </w:pPr>
    </w:p>
    <w:p w14:paraId="72BFDC5B" w14:textId="6179983B" w:rsidR="00B07629" w:rsidRPr="00010401" w:rsidRDefault="00CA750E" w:rsidP="006F1659">
      <w:pPr>
        <w:pStyle w:val="Heading4bold"/>
        <w:spacing w:line="360" w:lineRule="auto"/>
      </w:pPr>
      <w:r>
        <w:t>GM</w:t>
      </w:r>
      <w:r w:rsidR="00D5311B" w:rsidRPr="0007572B">
        <w:t xml:space="preserve"> </w:t>
      </w:r>
      <w:r w:rsidR="00D5311B" w:rsidRPr="0085625D">
        <w:t>Authorities</w:t>
      </w:r>
    </w:p>
    <w:p w14:paraId="5264153C" w14:textId="53C96EAF" w:rsidR="000546CA" w:rsidRDefault="00BD7331" w:rsidP="006F1659">
      <w:pPr>
        <w:spacing w:line="360" w:lineRule="auto"/>
        <w:rPr>
          <w:rFonts w:ascii="Arial" w:hAnsi="Arial" w:cs="Arial"/>
          <w:sz w:val="22"/>
          <w:szCs w:val="22"/>
        </w:rPr>
      </w:pPr>
      <w:r w:rsidRPr="00BD7331">
        <w:rPr>
          <w:noProof/>
        </w:rPr>
        <w:drawing>
          <wp:inline distT="0" distB="0" distL="0" distR="0" wp14:anchorId="6205FB8D" wp14:editId="1D8A901C">
            <wp:extent cx="8860790" cy="760730"/>
            <wp:effectExtent l="0" t="0" r="0" b="1270"/>
            <wp:docPr id="1456255190" name="Pictur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255190" name="Picture 71">
                      <a:extLst>
                        <a:ext uri="{C183D7F6-B498-43B3-948B-1728B52AA6E4}">
                          <adec:decorative xmlns:adec="http://schemas.microsoft.com/office/drawing/2017/decorative" val="1"/>
                        </a:ext>
                      </a:extLst>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860790" cy="760730"/>
                    </a:xfrm>
                    <a:prstGeom prst="rect">
                      <a:avLst/>
                    </a:prstGeom>
                    <a:noFill/>
                    <a:ln>
                      <a:noFill/>
                    </a:ln>
                  </pic:spPr>
                </pic:pic>
              </a:graphicData>
            </a:graphic>
          </wp:inline>
        </w:drawing>
      </w:r>
    </w:p>
    <w:p w14:paraId="604C5462" w14:textId="77777777" w:rsidR="00BD7331" w:rsidRPr="0007572B" w:rsidRDefault="00BD7331" w:rsidP="006F1659">
      <w:pPr>
        <w:spacing w:line="360" w:lineRule="auto"/>
        <w:rPr>
          <w:rFonts w:ascii="Arial" w:hAnsi="Arial" w:cs="Arial"/>
          <w:sz w:val="22"/>
          <w:szCs w:val="22"/>
        </w:rPr>
      </w:pPr>
    </w:p>
    <w:p w14:paraId="7BA800AC" w14:textId="0F2FFBF8" w:rsidR="00043063" w:rsidRPr="0007572B" w:rsidRDefault="00A842BB" w:rsidP="006F1659">
      <w:pPr>
        <w:pStyle w:val="Heading4bold"/>
        <w:spacing w:line="360" w:lineRule="auto"/>
      </w:pPr>
      <w:r w:rsidRPr="0007572B">
        <w:t>Transport for Greater Manchester</w:t>
      </w:r>
    </w:p>
    <w:p w14:paraId="5A7D492E" w14:textId="77777777" w:rsidR="00A842BB" w:rsidRPr="0007572B" w:rsidRDefault="00A842BB" w:rsidP="006F1659">
      <w:pPr>
        <w:spacing w:line="360" w:lineRule="auto"/>
        <w:rPr>
          <w:rFonts w:ascii="Arial" w:hAnsi="Arial" w:cs="Arial"/>
        </w:rPr>
      </w:pPr>
      <w:r w:rsidRPr="0007572B">
        <w:rPr>
          <w:rFonts w:ascii="Arial" w:hAnsi="Arial" w:cs="Arial"/>
        </w:rPr>
        <w:t>The decisions of the Authority are implemented by TfGM. The net expenditure of TfGM after taking into account all sources of income and expenditure is financed by way of a revenue grant from the Authority. The corporate objectives of TfGM are derived from the Authority's policy priorities, stakeholder consultation and its principal statutory obligations.</w:t>
      </w:r>
    </w:p>
    <w:p w14:paraId="136D55FC" w14:textId="77777777" w:rsidR="00A842BB" w:rsidRPr="0007572B" w:rsidRDefault="00A842BB" w:rsidP="006F1659">
      <w:pPr>
        <w:spacing w:line="360" w:lineRule="auto"/>
        <w:rPr>
          <w:rFonts w:ascii="Arial" w:hAnsi="Arial" w:cs="Arial"/>
        </w:rPr>
      </w:pPr>
    </w:p>
    <w:p w14:paraId="64886A14" w14:textId="77777777" w:rsidR="00A842BB" w:rsidRPr="0007572B" w:rsidRDefault="00A842BB" w:rsidP="006F1659">
      <w:pPr>
        <w:spacing w:line="360" w:lineRule="auto"/>
        <w:rPr>
          <w:rFonts w:ascii="Arial" w:hAnsi="Arial" w:cs="Arial"/>
        </w:rPr>
      </w:pPr>
      <w:r w:rsidRPr="0007572B">
        <w:rPr>
          <w:rFonts w:ascii="Arial" w:hAnsi="Arial" w:cs="Arial"/>
        </w:rPr>
        <w:t xml:space="preserve">TfGM also manage the maintenance, repair and schemes of the Authority traffic signals asset base on behalf of the Authority. These transactions appear as related party expenditure and income, along with the end of year </w:t>
      </w:r>
      <w:r w:rsidR="005914B2" w:rsidRPr="0007572B">
        <w:rPr>
          <w:rFonts w:ascii="Arial" w:hAnsi="Arial" w:cs="Arial"/>
        </w:rPr>
        <w:t>balances, which</w:t>
      </w:r>
      <w:r w:rsidRPr="0007572B">
        <w:rPr>
          <w:rFonts w:ascii="Arial" w:hAnsi="Arial" w:cs="Arial"/>
        </w:rPr>
        <w:t xml:space="preserve"> are reported as follows:</w:t>
      </w:r>
    </w:p>
    <w:p w14:paraId="038D611F" w14:textId="77777777" w:rsidR="000546CA" w:rsidRDefault="000546CA" w:rsidP="006F1659">
      <w:pPr>
        <w:spacing w:line="360" w:lineRule="auto"/>
        <w:rPr>
          <w:noProof/>
        </w:rPr>
      </w:pPr>
    </w:p>
    <w:p w14:paraId="1C1EEA2F" w14:textId="755B13E1" w:rsidR="00F957F8" w:rsidRDefault="00F957F8" w:rsidP="006F1659">
      <w:pPr>
        <w:spacing w:line="360" w:lineRule="auto"/>
        <w:rPr>
          <w:rFonts w:ascii="Arial" w:hAnsi="Arial" w:cs="Arial"/>
        </w:rPr>
      </w:pPr>
      <w:r w:rsidRPr="00F957F8">
        <w:rPr>
          <w:noProof/>
        </w:rPr>
        <w:lastRenderedPageBreak/>
        <w:drawing>
          <wp:inline distT="0" distB="0" distL="0" distR="0" wp14:anchorId="6AD19B37" wp14:editId="6555898B">
            <wp:extent cx="4000500" cy="984250"/>
            <wp:effectExtent l="0" t="0" r="0" b="6350"/>
            <wp:docPr id="542554560"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554560" name="Picture 72">
                      <a:extLst>
                        <a:ext uri="{C183D7F6-B498-43B3-948B-1728B52AA6E4}">
                          <adec:decorative xmlns:adec="http://schemas.microsoft.com/office/drawing/2017/decorative" val="1"/>
                        </a:ext>
                      </a:extLs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000500" cy="984250"/>
                    </a:xfrm>
                    <a:prstGeom prst="rect">
                      <a:avLst/>
                    </a:prstGeom>
                    <a:noFill/>
                    <a:ln>
                      <a:noFill/>
                    </a:ln>
                  </pic:spPr>
                </pic:pic>
              </a:graphicData>
            </a:graphic>
          </wp:inline>
        </w:drawing>
      </w:r>
    </w:p>
    <w:p w14:paraId="5424AFF4" w14:textId="77777777" w:rsidR="00F957F8" w:rsidRPr="0085625D" w:rsidRDefault="00F957F8" w:rsidP="006F1659">
      <w:pPr>
        <w:spacing w:line="360" w:lineRule="auto"/>
        <w:rPr>
          <w:rFonts w:ascii="Arial" w:hAnsi="Arial" w:cs="Arial"/>
        </w:rPr>
      </w:pPr>
    </w:p>
    <w:p w14:paraId="114DAD80" w14:textId="6C05CBFB" w:rsidR="00BB6C8F" w:rsidRPr="0007572B" w:rsidRDefault="00A842BB" w:rsidP="006F1659">
      <w:pPr>
        <w:pStyle w:val="Heading4bold"/>
        <w:spacing w:line="360" w:lineRule="auto"/>
      </w:pPr>
      <w:r w:rsidRPr="0007572B">
        <w:t>Greater Manchester</w:t>
      </w:r>
      <w:r w:rsidR="00186C02">
        <w:t xml:space="preserve"> Police</w:t>
      </w:r>
    </w:p>
    <w:p w14:paraId="6D49EB87" w14:textId="00E6C062" w:rsidR="00F957F8" w:rsidRDefault="00F957F8" w:rsidP="006F1659">
      <w:pPr>
        <w:spacing w:line="360" w:lineRule="auto"/>
        <w:rPr>
          <w:rFonts w:ascii="Arial" w:hAnsi="Arial" w:cs="Arial"/>
          <w:color w:val="000000"/>
          <w:lang w:val="en-US"/>
        </w:rPr>
      </w:pPr>
      <w:r w:rsidRPr="00F957F8">
        <w:rPr>
          <w:noProof/>
        </w:rPr>
        <w:drawing>
          <wp:inline distT="0" distB="0" distL="0" distR="0" wp14:anchorId="70D44510" wp14:editId="67C74A40">
            <wp:extent cx="4000500" cy="895350"/>
            <wp:effectExtent l="0" t="0" r="0" b="0"/>
            <wp:docPr id="1000141065" name="Pictur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1065" name="Picture 73">
                      <a:extLst>
                        <a:ext uri="{C183D7F6-B498-43B3-948B-1728B52AA6E4}">
                          <adec:decorative xmlns:adec="http://schemas.microsoft.com/office/drawing/2017/decorative" val="1"/>
                        </a:ext>
                      </a:extLs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000500" cy="895350"/>
                    </a:xfrm>
                    <a:prstGeom prst="rect">
                      <a:avLst/>
                    </a:prstGeom>
                    <a:noFill/>
                    <a:ln>
                      <a:noFill/>
                    </a:ln>
                  </pic:spPr>
                </pic:pic>
              </a:graphicData>
            </a:graphic>
          </wp:inline>
        </w:drawing>
      </w:r>
    </w:p>
    <w:p w14:paraId="17150705" w14:textId="77777777" w:rsidR="00F957F8" w:rsidRDefault="00F957F8" w:rsidP="006F1659">
      <w:pPr>
        <w:spacing w:line="360" w:lineRule="auto"/>
        <w:rPr>
          <w:rFonts w:ascii="Arial" w:hAnsi="Arial" w:cs="Arial"/>
          <w:color w:val="000000"/>
          <w:lang w:val="en-US"/>
        </w:rPr>
      </w:pPr>
    </w:p>
    <w:p w14:paraId="2E035617" w14:textId="47DD7D19" w:rsidR="00974AF2" w:rsidRDefault="004103E9" w:rsidP="006F1659">
      <w:pPr>
        <w:spacing w:line="360" w:lineRule="auto"/>
        <w:rPr>
          <w:rFonts w:ascii="Arial" w:eastAsia="Calibri" w:hAnsi="Arial" w:cs="Arial"/>
          <w:color w:val="000000"/>
          <w:lang w:val="en-US"/>
        </w:rPr>
      </w:pPr>
      <w:r w:rsidRPr="0007572B">
        <w:rPr>
          <w:rFonts w:ascii="Arial" w:hAnsi="Arial" w:cs="Arial"/>
          <w:color w:val="000000"/>
          <w:lang w:val="en-US"/>
        </w:rPr>
        <w:t>Under the legislative framework and local arrangements, the Authority under sole instruction from the Mayor, is responsible for the finances of the Mayoral Police Fund including assets, liabilities and reserves. The Authority has responsibility for entering into contracts and establishing the contractual framework under which the Chief Constable</w:t>
      </w:r>
      <w:r w:rsidR="00BD2F32" w:rsidRPr="0007572B">
        <w:rPr>
          <w:rFonts w:ascii="Arial" w:hAnsi="Arial" w:cs="Arial"/>
          <w:color w:val="000000"/>
          <w:lang w:val="en-US"/>
        </w:rPr>
        <w:t>’</w:t>
      </w:r>
      <w:r w:rsidRPr="0007572B">
        <w:rPr>
          <w:rFonts w:ascii="Arial" w:hAnsi="Arial" w:cs="Arial"/>
          <w:color w:val="000000"/>
          <w:lang w:val="en-US"/>
        </w:rPr>
        <w:t>s officers and staff operate.</w:t>
      </w:r>
      <w:r w:rsidRPr="0007572B">
        <w:rPr>
          <w:rFonts w:ascii="Arial" w:eastAsia="Calibri" w:hAnsi="Arial" w:cs="Arial"/>
          <w:color w:val="000000"/>
          <w:lang w:val="en-US"/>
        </w:rPr>
        <w:t xml:space="preserve"> The Authority receives all income and funding and makes all the payments for the policing activity from the Mayoral Police Fund.</w:t>
      </w:r>
    </w:p>
    <w:p w14:paraId="0DD39D72" w14:textId="77777777" w:rsidR="000546CA" w:rsidRDefault="000546CA" w:rsidP="006F1659">
      <w:pPr>
        <w:spacing w:line="360" w:lineRule="auto"/>
        <w:rPr>
          <w:rFonts w:ascii="Arial" w:eastAsia="Calibri" w:hAnsi="Arial" w:cs="Arial"/>
          <w:color w:val="000000"/>
          <w:lang w:val="en-US"/>
        </w:rPr>
      </w:pPr>
    </w:p>
    <w:p w14:paraId="5585E127" w14:textId="187C6D22" w:rsidR="00695D41" w:rsidRPr="00431F6F" w:rsidRDefault="00152326" w:rsidP="006F1659">
      <w:pPr>
        <w:pStyle w:val="Heading4bold"/>
        <w:spacing w:line="360" w:lineRule="auto"/>
        <w:rPr>
          <w:rFonts w:eastAsia="Calibri"/>
          <w:color w:val="000000" w:themeColor="text1"/>
          <w:lang w:val="en-US"/>
        </w:rPr>
      </w:pPr>
      <w:r w:rsidRPr="00431F6F">
        <w:rPr>
          <w:rFonts w:eastAsia="Calibri"/>
          <w:color w:val="000000" w:themeColor="text1"/>
          <w:lang w:val="en-US"/>
        </w:rPr>
        <w:t>North West Fire Control</w:t>
      </w:r>
      <w:r w:rsidR="00695D41" w:rsidRPr="00431F6F">
        <w:rPr>
          <w:rFonts w:eastAsia="Calibri"/>
          <w:color w:val="000000" w:themeColor="text1"/>
          <w:lang w:val="en-US"/>
        </w:rPr>
        <w:t xml:space="preserve"> Limited</w:t>
      </w:r>
    </w:p>
    <w:p w14:paraId="169AAD94" w14:textId="4D387FF6" w:rsidR="00695D41" w:rsidRPr="00431F6F" w:rsidRDefault="009578EC" w:rsidP="006F1659">
      <w:pPr>
        <w:spacing w:line="360" w:lineRule="auto"/>
        <w:rPr>
          <w:rFonts w:ascii="Arial" w:eastAsia="Calibri" w:hAnsi="Arial" w:cs="Arial"/>
          <w:color w:val="000000" w:themeColor="text1"/>
          <w:lang w:val="en-US"/>
        </w:rPr>
      </w:pPr>
      <w:bookmarkStart w:id="185" w:name="_Hlk121404892"/>
      <w:r w:rsidRPr="00431F6F">
        <w:rPr>
          <w:rFonts w:ascii="Arial" w:eastAsia="Calibri" w:hAnsi="Arial" w:cs="Arial"/>
          <w:color w:val="000000" w:themeColor="text1"/>
          <w:lang w:val="en-US"/>
        </w:rPr>
        <w:t>The Authority has the right to appoint two directors, who are councilors appointed to their respective FRAs. It has been determined that the company is governed by joint control as each authority has equal voting rights and</w:t>
      </w:r>
      <w:r w:rsidR="00695D41" w:rsidRPr="00431F6F">
        <w:rPr>
          <w:rFonts w:ascii="Arial" w:eastAsia="Calibri" w:hAnsi="Arial" w:cs="Arial"/>
          <w:color w:val="000000" w:themeColor="text1"/>
          <w:lang w:val="en-US"/>
        </w:rPr>
        <w:t xml:space="preserve"> unanimous consent exists for key decisions</w:t>
      </w:r>
      <w:r w:rsidRPr="00431F6F">
        <w:rPr>
          <w:rFonts w:ascii="Arial" w:eastAsia="Calibri" w:hAnsi="Arial" w:cs="Arial"/>
          <w:color w:val="000000" w:themeColor="text1"/>
          <w:lang w:val="en-US"/>
        </w:rPr>
        <w:t>.</w:t>
      </w:r>
    </w:p>
    <w:p w14:paraId="0B91D32B" w14:textId="745EC114" w:rsidR="004A4FE2" w:rsidRPr="00431F6F" w:rsidRDefault="004A4FE2" w:rsidP="006F1659">
      <w:pPr>
        <w:spacing w:line="360" w:lineRule="auto"/>
        <w:rPr>
          <w:rFonts w:ascii="Arial" w:eastAsia="Calibri" w:hAnsi="Arial" w:cs="Arial"/>
          <w:color w:val="000000" w:themeColor="text1"/>
          <w:lang w:val="en-US"/>
        </w:rPr>
      </w:pPr>
    </w:p>
    <w:p w14:paraId="2A073B62" w14:textId="727DF97D" w:rsidR="000546CA" w:rsidRDefault="004A4FE2" w:rsidP="006F1659">
      <w:pPr>
        <w:spacing w:line="360" w:lineRule="auto"/>
        <w:rPr>
          <w:rFonts w:ascii="Arial" w:eastAsia="Calibri" w:hAnsi="Arial" w:cs="Arial"/>
          <w:color w:val="000000" w:themeColor="text1"/>
          <w:lang w:val="en-US"/>
        </w:rPr>
      </w:pPr>
      <w:r w:rsidRPr="00431F6F">
        <w:rPr>
          <w:rFonts w:ascii="Arial" w:eastAsia="Calibri" w:hAnsi="Arial" w:cs="Arial"/>
          <w:color w:val="000000" w:themeColor="text1"/>
          <w:lang w:val="en-US"/>
        </w:rPr>
        <w:lastRenderedPageBreak/>
        <w:t xml:space="preserve">In 2014 The Greater Manchester Combined Authority, Cheshire Fire Authority, Cumbria County Council and Lancashire Combined Fire Authority transferred their Control Room functions into the regionalised service provided by NW </w:t>
      </w:r>
      <w:r w:rsidR="0085625D" w:rsidRPr="00431F6F">
        <w:rPr>
          <w:rFonts w:ascii="Arial" w:eastAsia="Calibri" w:hAnsi="Arial" w:cs="Arial"/>
          <w:color w:val="000000" w:themeColor="text1"/>
          <w:lang w:val="en-US"/>
        </w:rPr>
        <w:t>Fire control</w:t>
      </w:r>
      <w:r w:rsidRPr="00431F6F">
        <w:rPr>
          <w:rFonts w:ascii="Arial" w:eastAsia="Calibri" w:hAnsi="Arial" w:cs="Arial"/>
          <w:color w:val="000000" w:themeColor="text1"/>
          <w:lang w:val="en-US"/>
        </w:rPr>
        <w:t xml:space="preserve"> Limited. The cost of the service is charged out to the four FRAs on an agreed pro rata basis. </w:t>
      </w:r>
      <w:r w:rsidR="00A86C68" w:rsidRPr="00431F6F">
        <w:rPr>
          <w:rFonts w:ascii="Arial" w:eastAsia="Calibri" w:hAnsi="Arial" w:cs="Arial"/>
          <w:color w:val="000000" w:themeColor="text1"/>
          <w:lang w:val="en-US"/>
        </w:rPr>
        <w:t>R</w:t>
      </w:r>
      <w:r w:rsidRPr="00431F6F">
        <w:rPr>
          <w:rFonts w:ascii="Arial" w:eastAsia="Calibri" w:hAnsi="Arial" w:cs="Arial"/>
          <w:color w:val="000000" w:themeColor="text1"/>
          <w:lang w:val="en-US"/>
        </w:rPr>
        <w:t>elated party expenditure</w:t>
      </w:r>
      <w:r w:rsidR="00E968E1" w:rsidRPr="00431F6F">
        <w:rPr>
          <w:rFonts w:ascii="Arial" w:eastAsia="Calibri" w:hAnsi="Arial" w:cs="Arial"/>
          <w:color w:val="000000" w:themeColor="text1"/>
          <w:lang w:val="en-US"/>
        </w:rPr>
        <w:t>, income</w:t>
      </w:r>
      <w:r w:rsidRPr="00431F6F">
        <w:rPr>
          <w:rFonts w:ascii="Arial" w:eastAsia="Calibri" w:hAnsi="Arial" w:cs="Arial"/>
          <w:color w:val="000000" w:themeColor="text1"/>
          <w:lang w:val="en-US"/>
        </w:rPr>
        <w:t xml:space="preserve"> </w:t>
      </w:r>
      <w:r w:rsidR="00E968E1" w:rsidRPr="00431F6F">
        <w:rPr>
          <w:rFonts w:ascii="Arial" w:eastAsia="Calibri" w:hAnsi="Arial" w:cs="Arial"/>
          <w:color w:val="000000" w:themeColor="text1"/>
          <w:lang w:val="en-US"/>
        </w:rPr>
        <w:t xml:space="preserve">and </w:t>
      </w:r>
      <w:r w:rsidRPr="00431F6F">
        <w:rPr>
          <w:rFonts w:ascii="Arial" w:eastAsia="Calibri" w:hAnsi="Arial" w:cs="Arial"/>
          <w:color w:val="000000" w:themeColor="text1"/>
          <w:lang w:val="en-US"/>
        </w:rPr>
        <w:t>end of year balances</w:t>
      </w:r>
      <w:r w:rsidR="00A86C68" w:rsidRPr="00431F6F">
        <w:rPr>
          <w:rFonts w:ascii="Arial" w:eastAsia="Calibri" w:hAnsi="Arial" w:cs="Arial"/>
          <w:color w:val="000000" w:themeColor="text1"/>
          <w:lang w:val="en-US"/>
        </w:rPr>
        <w:t xml:space="preserve"> </w:t>
      </w:r>
      <w:r w:rsidRPr="00431F6F">
        <w:rPr>
          <w:rFonts w:ascii="Arial" w:eastAsia="Calibri" w:hAnsi="Arial" w:cs="Arial"/>
          <w:color w:val="000000" w:themeColor="text1"/>
          <w:lang w:val="en-US"/>
        </w:rPr>
        <w:t>are reported as follows:</w:t>
      </w:r>
    </w:p>
    <w:p w14:paraId="5450D511" w14:textId="77777777" w:rsidR="000546CA" w:rsidRDefault="000546CA" w:rsidP="006F1659">
      <w:pPr>
        <w:spacing w:line="360" w:lineRule="auto"/>
        <w:rPr>
          <w:rFonts w:ascii="Arial" w:eastAsia="Calibri" w:hAnsi="Arial" w:cs="Arial"/>
          <w:color w:val="000000" w:themeColor="text1"/>
          <w:lang w:val="en-US"/>
        </w:rPr>
      </w:pPr>
    </w:p>
    <w:p w14:paraId="54085245" w14:textId="06950D4C" w:rsidR="000546CA" w:rsidRPr="00431F6F" w:rsidRDefault="00F957F8" w:rsidP="006F1659">
      <w:pPr>
        <w:spacing w:line="360" w:lineRule="auto"/>
        <w:rPr>
          <w:rFonts w:ascii="Arial" w:eastAsia="Calibri" w:hAnsi="Arial" w:cs="Arial"/>
          <w:color w:val="000000" w:themeColor="text1"/>
          <w:lang w:val="en-US"/>
        </w:rPr>
      </w:pPr>
      <w:r w:rsidRPr="00F957F8">
        <w:rPr>
          <w:rFonts w:eastAsia="Calibri"/>
          <w:noProof/>
        </w:rPr>
        <w:drawing>
          <wp:inline distT="0" distB="0" distL="0" distR="0" wp14:anchorId="1CBFFF58" wp14:editId="1E56FA25">
            <wp:extent cx="4000500" cy="895350"/>
            <wp:effectExtent l="0" t="0" r="0" b="0"/>
            <wp:docPr id="279987991" name="Picture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87991" name="Picture 74">
                      <a:extLst>
                        <a:ext uri="{C183D7F6-B498-43B3-948B-1728B52AA6E4}">
                          <adec:decorative xmlns:adec="http://schemas.microsoft.com/office/drawing/2017/decorative" val="1"/>
                        </a:ext>
                      </a:extLs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000500" cy="895350"/>
                    </a:xfrm>
                    <a:prstGeom prst="rect">
                      <a:avLst/>
                    </a:prstGeom>
                    <a:noFill/>
                    <a:ln>
                      <a:noFill/>
                    </a:ln>
                  </pic:spPr>
                </pic:pic>
              </a:graphicData>
            </a:graphic>
          </wp:inline>
        </w:drawing>
      </w:r>
    </w:p>
    <w:p w14:paraId="0BB4E22C" w14:textId="77777777" w:rsidR="00E96C7E" w:rsidRPr="00943897" w:rsidRDefault="00E96C7E" w:rsidP="006F1659">
      <w:pPr>
        <w:spacing w:line="360" w:lineRule="auto"/>
        <w:rPr>
          <w:rFonts w:ascii="Arial" w:eastAsia="Calibri" w:hAnsi="Arial" w:cs="Arial"/>
          <w:b/>
          <w:bCs/>
          <w:u w:val="single"/>
          <w:lang w:val="en-US"/>
        </w:rPr>
      </w:pPr>
    </w:p>
    <w:bookmarkEnd w:id="185"/>
    <w:p w14:paraId="5F436A2E" w14:textId="74379E71" w:rsidR="004A4FE2" w:rsidRPr="00F957F8" w:rsidRDefault="00144400" w:rsidP="006F1659">
      <w:pPr>
        <w:pStyle w:val="Heading4bold"/>
        <w:spacing w:line="360" w:lineRule="auto"/>
        <w:rPr>
          <w:color w:val="000000" w:themeColor="text1"/>
        </w:rPr>
      </w:pPr>
      <w:r w:rsidRPr="00F957F8">
        <w:rPr>
          <w:color w:val="000000" w:themeColor="text1"/>
        </w:rPr>
        <w:t>Manchester Investment and Development Agency Service Limited</w:t>
      </w:r>
    </w:p>
    <w:p w14:paraId="1C70A764" w14:textId="08345CA5" w:rsidR="0055161B" w:rsidRPr="00F957F8" w:rsidRDefault="00A86C68" w:rsidP="006F1659">
      <w:pPr>
        <w:spacing w:line="360" w:lineRule="auto"/>
        <w:rPr>
          <w:rFonts w:ascii="Arial" w:eastAsia="Calibri" w:hAnsi="Arial" w:cs="Arial"/>
          <w:color w:val="000000" w:themeColor="text1"/>
          <w:lang w:val="en-US"/>
        </w:rPr>
      </w:pPr>
      <w:r w:rsidRPr="00F957F8">
        <w:rPr>
          <w:rFonts w:ascii="Arial" w:hAnsi="Arial" w:cs="Arial"/>
          <w:color w:val="000000" w:themeColor="text1"/>
        </w:rPr>
        <w:t>The Authority has direct control over the company’s financial and operating policies. The company is a related party by virtue of common directors.</w:t>
      </w:r>
      <w:r w:rsidR="0085625D" w:rsidRPr="00F957F8">
        <w:rPr>
          <w:rFonts w:ascii="Arial" w:hAnsi="Arial" w:cs="Arial"/>
          <w:color w:val="000000" w:themeColor="text1"/>
        </w:rPr>
        <w:t xml:space="preserve"> </w:t>
      </w:r>
      <w:r w:rsidRPr="00F957F8">
        <w:rPr>
          <w:rFonts w:ascii="Arial" w:eastAsia="Calibri" w:hAnsi="Arial" w:cs="Arial"/>
          <w:color w:val="000000" w:themeColor="text1"/>
          <w:lang w:val="en-US"/>
        </w:rPr>
        <w:t>Related party expenditure</w:t>
      </w:r>
      <w:r w:rsidR="00E968E1" w:rsidRPr="00F957F8">
        <w:rPr>
          <w:rFonts w:ascii="Arial" w:eastAsia="Calibri" w:hAnsi="Arial" w:cs="Arial"/>
          <w:color w:val="000000" w:themeColor="text1"/>
          <w:lang w:val="en-US"/>
        </w:rPr>
        <w:t xml:space="preserve">, income and </w:t>
      </w:r>
      <w:r w:rsidRPr="00F957F8">
        <w:rPr>
          <w:rFonts w:ascii="Arial" w:eastAsia="Calibri" w:hAnsi="Arial" w:cs="Arial"/>
          <w:color w:val="000000" w:themeColor="text1"/>
          <w:lang w:val="en-US"/>
        </w:rPr>
        <w:t>end of year balances are reported as follows:</w:t>
      </w:r>
    </w:p>
    <w:p w14:paraId="373961DD" w14:textId="77777777" w:rsidR="009A33FC" w:rsidRDefault="009A33FC" w:rsidP="006F1659">
      <w:pPr>
        <w:tabs>
          <w:tab w:val="left" w:pos="5051"/>
        </w:tabs>
        <w:spacing w:line="360" w:lineRule="auto"/>
        <w:rPr>
          <w:rFonts w:ascii="Arial" w:hAnsi="Arial" w:cs="Arial"/>
          <w:b/>
          <w:bCs/>
          <w:highlight w:val="yellow"/>
          <w:u w:val="single"/>
        </w:rPr>
      </w:pPr>
    </w:p>
    <w:p w14:paraId="20746722" w14:textId="028594AB" w:rsidR="00F957F8" w:rsidRDefault="00F957F8" w:rsidP="006F1659">
      <w:pPr>
        <w:tabs>
          <w:tab w:val="left" w:pos="5051"/>
        </w:tabs>
        <w:spacing w:line="360" w:lineRule="auto"/>
        <w:rPr>
          <w:rFonts w:ascii="Arial" w:hAnsi="Arial" w:cs="Arial"/>
          <w:b/>
          <w:bCs/>
          <w:highlight w:val="yellow"/>
          <w:u w:val="single"/>
        </w:rPr>
      </w:pPr>
      <w:r w:rsidRPr="00F957F8">
        <w:rPr>
          <w:noProof/>
        </w:rPr>
        <w:drawing>
          <wp:inline distT="0" distB="0" distL="0" distR="0" wp14:anchorId="16FC9C8A" wp14:editId="73960771">
            <wp:extent cx="4000500" cy="895350"/>
            <wp:effectExtent l="0" t="0" r="0" b="0"/>
            <wp:docPr id="91736220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362205" name="Picture 75">
                      <a:extLst>
                        <a:ext uri="{C183D7F6-B498-43B3-948B-1728B52AA6E4}">
                          <adec:decorative xmlns:adec="http://schemas.microsoft.com/office/drawing/2017/decorative" val="1"/>
                        </a:ext>
                      </a:extLst>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000500" cy="895350"/>
                    </a:xfrm>
                    <a:prstGeom prst="rect">
                      <a:avLst/>
                    </a:prstGeom>
                    <a:noFill/>
                    <a:ln>
                      <a:noFill/>
                    </a:ln>
                  </pic:spPr>
                </pic:pic>
              </a:graphicData>
            </a:graphic>
          </wp:inline>
        </w:drawing>
      </w:r>
    </w:p>
    <w:p w14:paraId="5DB5E0D4" w14:textId="77777777" w:rsidR="00F957F8" w:rsidRPr="008C186C" w:rsidRDefault="00F957F8" w:rsidP="006F1659">
      <w:pPr>
        <w:tabs>
          <w:tab w:val="left" w:pos="5051"/>
        </w:tabs>
        <w:spacing w:line="360" w:lineRule="auto"/>
        <w:rPr>
          <w:rFonts w:ascii="Arial" w:hAnsi="Arial" w:cs="Arial"/>
          <w:b/>
          <w:bCs/>
          <w:highlight w:val="yellow"/>
        </w:rPr>
      </w:pPr>
    </w:p>
    <w:p w14:paraId="3391B231" w14:textId="63EE59CA" w:rsidR="000E5AD6" w:rsidRPr="00F957F8" w:rsidRDefault="000E5AD6" w:rsidP="006F1659">
      <w:pPr>
        <w:pStyle w:val="Heading4bold"/>
        <w:spacing w:line="360" w:lineRule="auto"/>
        <w:rPr>
          <w:color w:val="000000" w:themeColor="text1"/>
        </w:rPr>
      </w:pPr>
      <w:bookmarkStart w:id="186" w:name="_Hlk138863532"/>
      <w:r w:rsidRPr="00F957F8">
        <w:rPr>
          <w:color w:val="000000" w:themeColor="text1"/>
        </w:rPr>
        <w:lastRenderedPageBreak/>
        <w:t>Halle Concert Society</w:t>
      </w:r>
    </w:p>
    <w:bookmarkEnd w:id="186"/>
    <w:p w14:paraId="5CF417F4" w14:textId="4BB1621B" w:rsidR="006D7982" w:rsidRDefault="000E5AD6" w:rsidP="006F1659">
      <w:pPr>
        <w:spacing w:line="360" w:lineRule="auto"/>
        <w:rPr>
          <w:rFonts w:ascii="Arial" w:eastAsia="Calibri" w:hAnsi="Arial" w:cs="Arial"/>
          <w:color w:val="000000" w:themeColor="text1"/>
          <w:lang w:val="en-US"/>
        </w:rPr>
      </w:pPr>
      <w:r w:rsidRPr="00F957F8">
        <w:rPr>
          <w:rFonts w:ascii="Arial" w:hAnsi="Arial" w:cs="Arial"/>
          <w:color w:val="000000" w:themeColor="text1"/>
        </w:rPr>
        <w:t>The company is a related party by virtue of common directors</w:t>
      </w:r>
      <w:r w:rsidR="00833679" w:rsidRPr="00F957F8">
        <w:rPr>
          <w:rFonts w:ascii="Arial" w:hAnsi="Arial" w:cs="Arial"/>
          <w:color w:val="000000" w:themeColor="text1"/>
        </w:rPr>
        <w:t xml:space="preserve"> (Nominated by the GMCA)</w:t>
      </w:r>
      <w:r w:rsidRPr="00F957F8">
        <w:rPr>
          <w:rFonts w:ascii="Arial" w:hAnsi="Arial" w:cs="Arial"/>
          <w:color w:val="000000" w:themeColor="text1"/>
        </w:rPr>
        <w:t xml:space="preserve">. </w:t>
      </w:r>
      <w:r w:rsidRPr="00F957F8">
        <w:rPr>
          <w:rFonts w:ascii="Arial" w:eastAsia="Calibri" w:hAnsi="Arial" w:cs="Arial"/>
          <w:color w:val="000000" w:themeColor="text1"/>
          <w:lang w:val="en-US"/>
        </w:rPr>
        <w:t>Related party expenditure, income and end of year balances are reported as follows:</w:t>
      </w:r>
    </w:p>
    <w:p w14:paraId="75BE3FC4" w14:textId="77777777" w:rsidR="00F957F8" w:rsidRPr="00F957F8" w:rsidRDefault="00F957F8" w:rsidP="006F1659">
      <w:pPr>
        <w:spacing w:line="360" w:lineRule="auto"/>
        <w:rPr>
          <w:rFonts w:ascii="Arial" w:eastAsia="Calibri" w:hAnsi="Arial" w:cs="Arial"/>
          <w:color w:val="000000" w:themeColor="text1"/>
          <w:lang w:val="en-US"/>
        </w:rPr>
      </w:pPr>
    </w:p>
    <w:p w14:paraId="0A81707D" w14:textId="22D7AECF" w:rsidR="000058B6" w:rsidRPr="008C186C" w:rsidRDefault="00F957F8" w:rsidP="006F1659">
      <w:pPr>
        <w:tabs>
          <w:tab w:val="left" w:pos="5051"/>
        </w:tabs>
        <w:spacing w:line="360" w:lineRule="auto"/>
        <w:rPr>
          <w:rFonts w:ascii="Arial" w:hAnsi="Arial" w:cs="Arial"/>
          <w:b/>
          <w:bCs/>
          <w:highlight w:val="yellow"/>
        </w:rPr>
      </w:pPr>
      <w:r w:rsidRPr="00F957F8">
        <w:rPr>
          <w:noProof/>
        </w:rPr>
        <w:drawing>
          <wp:inline distT="0" distB="0" distL="0" distR="0" wp14:anchorId="31115632" wp14:editId="09C71F9B">
            <wp:extent cx="4000500" cy="895350"/>
            <wp:effectExtent l="0" t="0" r="0" b="0"/>
            <wp:docPr id="1641026989" name="Picture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026989" name="Picture 76">
                      <a:extLst>
                        <a:ext uri="{C183D7F6-B498-43B3-948B-1728B52AA6E4}">
                          <adec:decorative xmlns:adec="http://schemas.microsoft.com/office/drawing/2017/decorative" val="1"/>
                        </a:ext>
                      </a:extLst>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000500" cy="895350"/>
                    </a:xfrm>
                    <a:prstGeom prst="rect">
                      <a:avLst/>
                    </a:prstGeom>
                    <a:noFill/>
                    <a:ln>
                      <a:noFill/>
                    </a:ln>
                  </pic:spPr>
                </pic:pic>
              </a:graphicData>
            </a:graphic>
          </wp:inline>
        </w:drawing>
      </w:r>
    </w:p>
    <w:p w14:paraId="2902F897" w14:textId="77777777" w:rsidR="00B7710C" w:rsidRPr="008C186C" w:rsidRDefault="00B7710C" w:rsidP="006F1659">
      <w:pPr>
        <w:tabs>
          <w:tab w:val="left" w:pos="5051"/>
        </w:tabs>
        <w:spacing w:line="360" w:lineRule="auto"/>
        <w:rPr>
          <w:rFonts w:ascii="Arial" w:hAnsi="Arial" w:cs="Arial"/>
          <w:b/>
          <w:bCs/>
          <w:highlight w:val="yellow"/>
        </w:rPr>
      </w:pPr>
    </w:p>
    <w:p w14:paraId="022E1731" w14:textId="205C78CA" w:rsidR="006539C3" w:rsidRPr="00A80226" w:rsidRDefault="00EA737A" w:rsidP="00A80226">
      <w:pPr>
        <w:pStyle w:val="Heading4bold"/>
        <w:spacing w:line="360" w:lineRule="auto"/>
        <w:rPr>
          <w:rFonts w:eastAsia="Calibri"/>
          <w:lang w:val="en-US"/>
        </w:rPr>
      </w:pPr>
      <w:r w:rsidRPr="00F957F8">
        <w:rPr>
          <w:rFonts w:eastAsia="Calibri"/>
          <w:lang w:val="en-US"/>
        </w:rPr>
        <w:t xml:space="preserve">Greater Manchester Fund of Funds Limited Partnership </w:t>
      </w:r>
      <w:r w:rsidR="006533F8" w:rsidRPr="00F957F8">
        <w:rPr>
          <w:rFonts w:eastAsia="Calibri"/>
          <w:lang w:val="en-US"/>
        </w:rPr>
        <w:t xml:space="preserve"> </w:t>
      </w:r>
    </w:p>
    <w:p w14:paraId="08015159" w14:textId="153549DD" w:rsidR="006D7982" w:rsidRPr="008C186C" w:rsidRDefault="00F957F8" w:rsidP="006F1659">
      <w:pPr>
        <w:spacing w:line="360" w:lineRule="auto"/>
        <w:rPr>
          <w:rFonts w:ascii="Arial" w:eastAsia="Calibri" w:hAnsi="Arial" w:cs="Arial"/>
          <w:color w:val="000000"/>
          <w:highlight w:val="yellow"/>
          <w:lang w:val="en-US"/>
        </w:rPr>
      </w:pPr>
      <w:r w:rsidRPr="00F957F8">
        <w:rPr>
          <w:rFonts w:eastAsia="Calibri"/>
          <w:noProof/>
        </w:rPr>
        <w:drawing>
          <wp:inline distT="0" distB="0" distL="0" distR="0" wp14:anchorId="5279FC8D" wp14:editId="63F63189">
            <wp:extent cx="4000500" cy="1022350"/>
            <wp:effectExtent l="0" t="0" r="0" b="6350"/>
            <wp:docPr id="1533471242" name="Picture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471242" name="Picture 77">
                      <a:extLst>
                        <a:ext uri="{C183D7F6-B498-43B3-948B-1728B52AA6E4}">
                          <adec:decorative xmlns:adec="http://schemas.microsoft.com/office/drawing/2017/decorative" val="1"/>
                        </a:ext>
                      </a:extLst>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000500" cy="1022350"/>
                    </a:xfrm>
                    <a:prstGeom prst="rect">
                      <a:avLst/>
                    </a:prstGeom>
                    <a:noFill/>
                    <a:ln>
                      <a:noFill/>
                    </a:ln>
                  </pic:spPr>
                </pic:pic>
              </a:graphicData>
            </a:graphic>
          </wp:inline>
        </w:drawing>
      </w:r>
    </w:p>
    <w:p w14:paraId="3560D67A" w14:textId="77777777" w:rsidR="009A33FC" w:rsidRPr="008C186C" w:rsidRDefault="009A33FC" w:rsidP="006F1659">
      <w:pPr>
        <w:spacing w:line="360" w:lineRule="auto"/>
        <w:rPr>
          <w:rFonts w:ascii="Arial" w:eastAsia="Calibri" w:hAnsi="Arial" w:cs="Arial"/>
          <w:color w:val="000000"/>
          <w:highlight w:val="yellow"/>
          <w:lang w:val="en-US"/>
        </w:rPr>
      </w:pPr>
    </w:p>
    <w:p w14:paraId="05F3970B" w14:textId="176F0403" w:rsidR="00EA737A" w:rsidRPr="00F957F8" w:rsidRDefault="00EA737A" w:rsidP="006F1659">
      <w:pPr>
        <w:pStyle w:val="Heading4bold"/>
        <w:spacing w:line="360" w:lineRule="auto"/>
        <w:rPr>
          <w:rFonts w:eastAsia="Calibri"/>
          <w:lang w:val="en-US"/>
        </w:rPr>
      </w:pPr>
      <w:r w:rsidRPr="00F957F8">
        <w:rPr>
          <w:rFonts w:eastAsia="Calibri"/>
          <w:lang w:val="en-US"/>
        </w:rPr>
        <w:t>NW Evergreen Holdings Limited Partnership</w:t>
      </w:r>
    </w:p>
    <w:p w14:paraId="4507D56D" w14:textId="1900CD54" w:rsidR="009A33FC" w:rsidRPr="00F957F8" w:rsidRDefault="00F957F8" w:rsidP="006F1659">
      <w:pPr>
        <w:spacing w:line="360" w:lineRule="auto"/>
        <w:rPr>
          <w:rFonts w:ascii="Arial" w:eastAsia="Calibri" w:hAnsi="Arial" w:cs="Arial"/>
          <w:color w:val="000000"/>
          <w:lang w:val="en-US"/>
        </w:rPr>
      </w:pPr>
      <w:r w:rsidRPr="00F957F8">
        <w:rPr>
          <w:rFonts w:eastAsia="Calibri"/>
          <w:noProof/>
        </w:rPr>
        <w:drawing>
          <wp:inline distT="0" distB="0" distL="0" distR="0" wp14:anchorId="5033A292" wp14:editId="37143FB2">
            <wp:extent cx="4000500" cy="1028700"/>
            <wp:effectExtent l="0" t="0" r="0" b="0"/>
            <wp:docPr id="1306584976" name="Pictur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584976" name="Picture 78">
                      <a:extLst>
                        <a:ext uri="{C183D7F6-B498-43B3-948B-1728B52AA6E4}">
                          <adec:decorative xmlns:adec="http://schemas.microsoft.com/office/drawing/2017/decorative" val="1"/>
                        </a:ext>
                      </a:extLst>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000500" cy="1028700"/>
                    </a:xfrm>
                    <a:prstGeom prst="rect">
                      <a:avLst/>
                    </a:prstGeom>
                    <a:noFill/>
                    <a:ln>
                      <a:noFill/>
                    </a:ln>
                  </pic:spPr>
                </pic:pic>
              </a:graphicData>
            </a:graphic>
          </wp:inline>
        </w:drawing>
      </w:r>
    </w:p>
    <w:p w14:paraId="74B99B29" w14:textId="77777777" w:rsidR="00F957F8" w:rsidRPr="00F957F8" w:rsidRDefault="00F957F8" w:rsidP="006F1659">
      <w:pPr>
        <w:spacing w:line="360" w:lineRule="auto"/>
        <w:rPr>
          <w:rFonts w:ascii="Arial" w:eastAsia="Calibri" w:hAnsi="Arial" w:cs="Arial"/>
          <w:color w:val="000000"/>
          <w:lang w:val="en-US"/>
        </w:rPr>
      </w:pPr>
    </w:p>
    <w:p w14:paraId="1800939C" w14:textId="075C981D" w:rsidR="00F957F8" w:rsidRPr="00F957F8" w:rsidRDefault="00F957F8" w:rsidP="00F957F8">
      <w:pPr>
        <w:pStyle w:val="Heading4bold"/>
        <w:rPr>
          <w:rFonts w:eastAsia="Calibri"/>
          <w:lang w:val="en-US"/>
        </w:rPr>
      </w:pPr>
      <w:r w:rsidRPr="00F957F8">
        <w:rPr>
          <w:rFonts w:eastAsia="Calibri"/>
          <w:lang w:val="en-US"/>
        </w:rPr>
        <w:t>Hive Homes LLP</w:t>
      </w:r>
    </w:p>
    <w:p w14:paraId="18010505" w14:textId="710963BB" w:rsidR="00A80226" w:rsidRDefault="00A80226" w:rsidP="006F1659">
      <w:pPr>
        <w:spacing w:line="360" w:lineRule="auto"/>
        <w:rPr>
          <w:rFonts w:ascii="Arial" w:eastAsia="Calibri" w:hAnsi="Arial" w:cs="Arial"/>
          <w:color w:val="000000"/>
          <w:lang w:val="en-US"/>
        </w:rPr>
      </w:pPr>
      <w:r w:rsidRPr="00A80226">
        <w:rPr>
          <w:rFonts w:eastAsia="Calibri"/>
          <w:noProof/>
        </w:rPr>
        <w:drawing>
          <wp:inline distT="0" distB="0" distL="0" distR="0" wp14:anchorId="57C57DEB" wp14:editId="27FCBD78">
            <wp:extent cx="4000500" cy="895350"/>
            <wp:effectExtent l="0" t="0" r="0" b="0"/>
            <wp:docPr id="1221869865" name="Pictur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869865" name="Picture 82">
                      <a:extLst>
                        <a:ext uri="{C183D7F6-B498-43B3-948B-1728B52AA6E4}">
                          <adec:decorative xmlns:adec="http://schemas.microsoft.com/office/drawing/2017/decorative" val="1"/>
                        </a:ext>
                      </a:extLst>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000500" cy="895350"/>
                    </a:xfrm>
                    <a:prstGeom prst="rect">
                      <a:avLst/>
                    </a:prstGeom>
                    <a:noFill/>
                    <a:ln>
                      <a:noFill/>
                    </a:ln>
                  </pic:spPr>
                </pic:pic>
              </a:graphicData>
            </a:graphic>
          </wp:inline>
        </w:drawing>
      </w:r>
    </w:p>
    <w:p w14:paraId="423766AB" w14:textId="77777777" w:rsidR="00A80226" w:rsidRPr="00F957F8" w:rsidRDefault="00A80226" w:rsidP="006F1659">
      <w:pPr>
        <w:spacing w:line="360" w:lineRule="auto"/>
        <w:rPr>
          <w:rFonts w:ascii="Arial" w:eastAsia="Calibri" w:hAnsi="Arial" w:cs="Arial"/>
          <w:color w:val="000000"/>
          <w:lang w:val="en-US"/>
        </w:rPr>
      </w:pPr>
    </w:p>
    <w:p w14:paraId="6A6C9D64" w14:textId="7EB11790" w:rsidR="00F957F8" w:rsidRPr="00F957F8" w:rsidRDefault="00F957F8" w:rsidP="00F957F8">
      <w:pPr>
        <w:pStyle w:val="Heading4bold"/>
        <w:rPr>
          <w:rFonts w:eastAsia="Calibri"/>
          <w:lang w:val="en-US"/>
        </w:rPr>
      </w:pPr>
      <w:r w:rsidRPr="00F957F8">
        <w:rPr>
          <w:rFonts w:eastAsia="Calibri"/>
          <w:lang w:val="en-US"/>
        </w:rPr>
        <w:t>National Homelessness Property 2</w:t>
      </w:r>
    </w:p>
    <w:p w14:paraId="7BB65D2A" w14:textId="137CE3E4" w:rsidR="00F957F8" w:rsidRPr="00F957F8" w:rsidRDefault="00A80226" w:rsidP="006F1659">
      <w:pPr>
        <w:spacing w:line="360" w:lineRule="auto"/>
        <w:rPr>
          <w:rFonts w:ascii="Arial" w:eastAsia="Calibri" w:hAnsi="Arial" w:cs="Arial"/>
          <w:color w:val="000000"/>
          <w:lang w:val="en-US"/>
        </w:rPr>
      </w:pPr>
      <w:r w:rsidRPr="00A80226">
        <w:rPr>
          <w:rFonts w:eastAsia="Calibri"/>
          <w:noProof/>
        </w:rPr>
        <w:drawing>
          <wp:inline distT="0" distB="0" distL="0" distR="0" wp14:anchorId="5268C8BB" wp14:editId="34186C3A">
            <wp:extent cx="4000500" cy="895350"/>
            <wp:effectExtent l="0" t="0" r="0" b="0"/>
            <wp:docPr id="622928587" name="Pictur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928587" name="Picture 83">
                      <a:extLst>
                        <a:ext uri="{C183D7F6-B498-43B3-948B-1728B52AA6E4}">
                          <adec:decorative xmlns:adec="http://schemas.microsoft.com/office/drawing/2017/decorative" val="1"/>
                        </a:ext>
                      </a:extLs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000500" cy="895350"/>
                    </a:xfrm>
                    <a:prstGeom prst="rect">
                      <a:avLst/>
                    </a:prstGeom>
                    <a:noFill/>
                    <a:ln>
                      <a:noFill/>
                    </a:ln>
                  </pic:spPr>
                </pic:pic>
              </a:graphicData>
            </a:graphic>
          </wp:inline>
        </w:drawing>
      </w:r>
    </w:p>
    <w:p w14:paraId="792FC6CD" w14:textId="77777777" w:rsidR="00F957F8" w:rsidRPr="00F957F8" w:rsidRDefault="00F957F8" w:rsidP="006F1659">
      <w:pPr>
        <w:spacing w:line="360" w:lineRule="auto"/>
        <w:rPr>
          <w:rFonts w:ascii="Arial" w:eastAsia="Calibri" w:hAnsi="Arial" w:cs="Arial"/>
          <w:color w:val="000000"/>
          <w:lang w:val="en-US"/>
        </w:rPr>
      </w:pPr>
    </w:p>
    <w:p w14:paraId="1DEF0240" w14:textId="33852350" w:rsidR="00F957F8" w:rsidRDefault="00F957F8" w:rsidP="00F957F8">
      <w:pPr>
        <w:pStyle w:val="Heading4bold"/>
        <w:rPr>
          <w:rFonts w:eastAsia="Calibri"/>
          <w:lang w:val="en-US"/>
        </w:rPr>
      </w:pPr>
      <w:r>
        <w:rPr>
          <w:rFonts w:eastAsia="Calibri"/>
          <w:lang w:val="en-US"/>
        </w:rPr>
        <w:t>Manchester Camerata</w:t>
      </w:r>
    </w:p>
    <w:p w14:paraId="62787448" w14:textId="320197A2" w:rsidR="00F957F8" w:rsidRDefault="00A80226" w:rsidP="00F957F8">
      <w:pPr>
        <w:spacing w:line="360" w:lineRule="auto"/>
        <w:rPr>
          <w:rFonts w:eastAsia="Calibri"/>
          <w:lang w:val="en-US"/>
        </w:rPr>
      </w:pPr>
      <w:r w:rsidRPr="00A80226">
        <w:rPr>
          <w:rFonts w:eastAsia="Calibri"/>
          <w:noProof/>
        </w:rPr>
        <w:drawing>
          <wp:inline distT="0" distB="0" distL="0" distR="0" wp14:anchorId="62032777" wp14:editId="1EDC66F5">
            <wp:extent cx="4000500" cy="895350"/>
            <wp:effectExtent l="0" t="0" r="0" b="0"/>
            <wp:docPr id="780599109" name="Pictur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599109" name="Picture 84">
                      <a:extLst>
                        <a:ext uri="{C183D7F6-B498-43B3-948B-1728B52AA6E4}">
                          <adec:decorative xmlns:adec="http://schemas.microsoft.com/office/drawing/2017/decorative" val="1"/>
                        </a:ext>
                      </a:extLst>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000500" cy="895350"/>
                    </a:xfrm>
                    <a:prstGeom prst="rect">
                      <a:avLst/>
                    </a:prstGeom>
                    <a:noFill/>
                    <a:ln>
                      <a:noFill/>
                    </a:ln>
                  </pic:spPr>
                </pic:pic>
              </a:graphicData>
            </a:graphic>
          </wp:inline>
        </w:drawing>
      </w:r>
    </w:p>
    <w:p w14:paraId="15BB4E84" w14:textId="77777777" w:rsidR="00A80226" w:rsidRDefault="00A80226" w:rsidP="00F957F8">
      <w:pPr>
        <w:spacing w:line="360" w:lineRule="auto"/>
        <w:rPr>
          <w:rFonts w:eastAsia="Calibri"/>
          <w:lang w:val="en-US"/>
        </w:rPr>
      </w:pPr>
    </w:p>
    <w:p w14:paraId="2CB94387" w14:textId="4F0DD392" w:rsidR="00F957F8" w:rsidRDefault="00F957F8" w:rsidP="00F957F8">
      <w:pPr>
        <w:pStyle w:val="Heading4bold"/>
        <w:rPr>
          <w:rFonts w:eastAsia="Calibri"/>
          <w:lang w:val="en-US"/>
        </w:rPr>
      </w:pPr>
      <w:r>
        <w:rPr>
          <w:rFonts w:eastAsia="Calibri"/>
          <w:lang w:val="en-US"/>
        </w:rPr>
        <w:lastRenderedPageBreak/>
        <w:t>Interchange Homes LLP</w:t>
      </w:r>
    </w:p>
    <w:p w14:paraId="510CD1CA" w14:textId="45C55CC8" w:rsidR="00F957F8" w:rsidRDefault="00F27149" w:rsidP="00F957F8">
      <w:pPr>
        <w:spacing w:line="360" w:lineRule="auto"/>
        <w:rPr>
          <w:rFonts w:eastAsia="Calibri"/>
          <w:lang w:val="en-US"/>
        </w:rPr>
      </w:pPr>
      <w:r w:rsidRPr="00F27149">
        <w:rPr>
          <w:rFonts w:eastAsia="Calibri"/>
          <w:noProof/>
        </w:rPr>
        <w:drawing>
          <wp:inline distT="0" distB="0" distL="0" distR="0" wp14:anchorId="1E0E4943" wp14:editId="76D74934">
            <wp:extent cx="3999230" cy="897255"/>
            <wp:effectExtent l="0" t="0" r="1270" b="0"/>
            <wp:docPr id="1812103509"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103509" name="Picture 11">
                      <a:extLst>
                        <a:ext uri="{C183D7F6-B498-43B3-948B-1728B52AA6E4}">
                          <adec:decorative xmlns:adec="http://schemas.microsoft.com/office/drawing/2017/decorative" val="1"/>
                        </a:ext>
                      </a:extLst>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999230" cy="897255"/>
                    </a:xfrm>
                    <a:prstGeom prst="rect">
                      <a:avLst/>
                    </a:prstGeom>
                    <a:noFill/>
                    <a:ln>
                      <a:noFill/>
                    </a:ln>
                  </pic:spPr>
                </pic:pic>
              </a:graphicData>
            </a:graphic>
          </wp:inline>
        </w:drawing>
      </w:r>
    </w:p>
    <w:p w14:paraId="604EC826" w14:textId="77777777" w:rsidR="00F27149" w:rsidRDefault="00F27149" w:rsidP="00F957F8">
      <w:pPr>
        <w:spacing w:line="360" w:lineRule="auto"/>
        <w:rPr>
          <w:rFonts w:eastAsia="Calibri"/>
          <w:lang w:val="en-US"/>
        </w:rPr>
      </w:pPr>
    </w:p>
    <w:p w14:paraId="6B405B26" w14:textId="5A630E03" w:rsidR="00F957F8" w:rsidRDefault="00A80226" w:rsidP="00A80226">
      <w:pPr>
        <w:pStyle w:val="Heading4bold"/>
        <w:rPr>
          <w:rFonts w:eastAsia="Calibri"/>
          <w:lang w:val="en-US"/>
        </w:rPr>
      </w:pPr>
      <w:r>
        <w:rPr>
          <w:rFonts w:eastAsia="Calibri"/>
          <w:lang w:val="en-US"/>
        </w:rPr>
        <w:t>The Lowry Centre Trust</w:t>
      </w:r>
    </w:p>
    <w:p w14:paraId="000B608A" w14:textId="32649552" w:rsidR="00A80226" w:rsidRDefault="00A80226" w:rsidP="00F957F8">
      <w:pPr>
        <w:spacing w:line="360" w:lineRule="auto"/>
        <w:rPr>
          <w:rFonts w:eastAsia="Calibri"/>
          <w:lang w:val="en-US"/>
        </w:rPr>
      </w:pPr>
      <w:r w:rsidRPr="00A80226">
        <w:rPr>
          <w:rFonts w:eastAsia="Calibri"/>
          <w:noProof/>
        </w:rPr>
        <w:drawing>
          <wp:inline distT="0" distB="0" distL="0" distR="0" wp14:anchorId="3B50516A" wp14:editId="08668FF0">
            <wp:extent cx="4000500" cy="895350"/>
            <wp:effectExtent l="0" t="0" r="0" b="0"/>
            <wp:docPr id="447942716" name="Pictur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942716" name="Picture 86">
                      <a:extLst>
                        <a:ext uri="{C183D7F6-B498-43B3-948B-1728B52AA6E4}">
                          <adec:decorative xmlns:adec="http://schemas.microsoft.com/office/drawing/2017/decorative" val="1"/>
                        </a:ext>
                      </a:extLst>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000500" cy="895350"/>
                    </a:xfrm>
                    <a:prstGeom prst="rect">
                      <a:avLst/>
                    </a:prstGeom>
                    <a:noFill/>
                    <a:ln>
                      <a:noFill/>
                    </a:ln>
                  </pic:spPr>
                </pic:pic>
              </a:graphicData>
            </a:graphic>
          </wp:inline>
        </w:drawing>
      </w:r>
    </w:p>
    <w:p w14:paraId="78822B53" w14:textId="77777777" w:rsidR="00A80226" w:rsidRPr="00F957F8" w:rsidRDefault="00A80226" w:rsidP="00F957F8">
      <w:pPr>
        <w:spacing w:line="360" w:lineRule="auto"/>
        <w:rPr>
          <w:rFonts w:eastAsia="Calibri"/>
          <w:lang w:val="en-US"/>
        </w:rPr>
      </w:pPr>
    </w:p>
    <w:p w14:paraId="2CAEE8AD" w14:textId="6D3826A9" w:rsidR="0035629E" w:rsidRPr="00F957F8" w:rsidRDefault="0035629E" w:rsidP="006F1659">
      <w:pPr>
        <w:pStyle w:val="Heading4bold"/>
        <w:spacing w:line="360" w:lineRule="auto"/>
        <w:rPr>
          <w:rFonts w:eastAsia="Calibri"/>
          <w:lang w:val="en-US"/>
        </w:rPr>
      </w:pPr>
      <w:r w:rsidRPr="00F957F8">
        <w:rPr>
          <w:rFonts w:eastAsia="Calibri"/>
          <w:lang w:val="en-US"/>
        </w:rPr>
        <w:t>Greater Manchester Evergreen 2 Limited Partnership</w:t>
      </w:r>
    </w:p>
    <w:p w14:paraId="1E3017B5" w14:textId="60AB6EE2" w:rsidR="0035629E" w:rsidRPr="0035629E" w:rsidRDefault="0035629E" w:rsidP="006F1659">
      <w:pPr>
        <w:spacing w:line="360" w:lineRule="auto"/>
        <w:rPr>
          <w:rFonts w:ascii="Arial" w:eastAsia="Calibri" w:hAnsi="Arial" w:cs="Arial"/>
          <w:color w:val="000000"/>
          <w:lang w:val="en-US"/>
        </w:rPr>
      </w:pPr>
      <w:r w:rsidRPr="00F957F8">
        <w:rPr>
          <w:rFonts w:ascii="Arial" w:eastAsia="Calibri" w:hAnsi="Arial" w:cs="Arial"/>
          <w:color w:val="000000"/>
          <w:lang w:val="en-US"/>
        </w:rPr>
        <w:t>There were no transactions between the Authority and Greater Manchester Evergreen 2 Limited Partnership during the 2</w:t>
      </w:r>
      <w:r w:rsidR="00F158E2" w:rsidRPr="00F957F8">
        <w:rPr>
          <w:rFonts w:ascii="Arial" w:eastAsia="Calibri" w:hAnsi="Arial" w:cs="Arial"/>
          <w:color w:val="000000"/>
          <w:lang w:val="en-US"/>
        </w:rPr>
        <w:t>2</w:t>
      </w:r>
      <w:r w:rsidRPr="00F957F8">
        <w:rPr>
          <w:rFonts w:ascii="Arial" w:eastAsia="Calibri" w:hAnsi="Arial" w:cs="Arial"/>
          <w:color w:val="000000"/>
          <w:lang w:val="en-US"/>
        </w:rPr>
        <w:t>/2</w:t>
      </w:r>
      <w:r w:rsidR="00F158E2" w:rsidRPr="00F957F8">
        <w:rPr>
          <w:rFonts w:ascii="Arial" w:eastAsia="Calibri" w:hAnsi="Arial" w:cs="Arial"/>
          <w:color w:val="000000"/>
          <w:lang w:val="en-US"/>
        </w:rPr>
        <w:t>3</w:t>
      </w:r>
      <w:r w:rsidRPr="00F957F8">
        <w:rPr>
          <w:rFonts w:ascii="Arial" w:eastAsia="Calibri" w:hAnsi="Arial" w:cs="Arial"/>
          <w:color w:val="000000"/>
          <w:lang w:val="en-US"/>
        </w:rPr>
        <w:t xml:space="preserve"> financial year.</w:t>
      </w:r>
    </w:p>
    <w:p w14:paraId="1BE037CA" w14:textId="77777777" w:rsidR="00F106F2" w:rsidRPr="00431F6F" w:rsidRDefault="00F106F2" w:rsidP="006F1659">
      <w:pPr>
        <w:spacing w:line="360" w:lineRule="auto"/>
        <w:rPr>
          <w:rFonts w:ascii="Arial" w:eastAsia="Calibri" w:hAnsi="Arial" w:cs="Arial"/>
          <w:color w:val="000000"/>
          <w:lang w:val="en-US"/>
        </w:rPr>
        <w:sectPr w:rsidR="00F106F2" w:rsidRPr="00431F6F" w:rsidSect="004833A2">
          <w:pgSz w:w="16838" w:h="11906" w:orient="landscape"/>
          <w:pgMar w:top="1080" w:right="1444" w:bottom="1416" w:left="1440" w:header="568" w:footer="567" w:gutter="0"/>
          <w:cols w:space="708"/>
          <w:docGrid w:linePitch="360"/>
        </w:sectPr>
      </w:pPr>
    </w:p>
    <w:p w14:paraId="4ED89540" w14:textId="20FE6649" w:rsidR="004047A3" w:rsidRPr="0007572B" w:rsidRDefault="00680267" w:rsidP="006F1659">
      <w:pPr>
        <w:pStyle w:val="Heading3greennumbered"/>
        <w:spacing w:line="360" w:lineRule="auto"/>
      </w:pPr>
      <w:bookmarkStart w:id="187" w:name="_Toc92894904"/>
      <w:bookmarkStart w:id="188" w:name="_Toc92895208"/>
      <w:bookmarkStart w:id="189" w:name="_Toc109922642"/>
      <w:r w:rsidRPr="0007572B">
        <w:lastRenderedPageBreak/>
        <w:t>3</w:t>
      </w:r>
      <w:r w:rsidR="00876B48" w:rsidRPr="0007572B">
        <w:t>2</w:t>
      </w:r>
      <w:r w:rsidR="004047A3" w:rsidRPr="0007572B">
        <w:t>a Cash Flow Statement - Adjustments to Net Cash Flows from Operating Activities</w:t>
      </w:r>
      <w:bookmarkEnd w:id="187"/>
      <w:bookmarkEnd w:id="188"/>
      <w:bookmarkEnd w:id="189"/>
    </w:p>
    <w:p w14:paraId="59571F73" w14:textId="5A6F8E16" w:rsidR="00D4492C" w:rsidRDefault="00D4492C" w:rsidP="006F1659">
      <w:pPr>
        <w:spacing w:line="360" w:lineRule="auto"/>
        <w:rPr>
          <w:rFonts w:ascii="Arial" w:hAnsi="Arial" w:cs="Arial"/>
          <w:sz w:val="22"/>
          <w:szCs w:val="22"/>
        </w:rPr>
      </w:pPr>
    </w:p>
    <w:p w14:paraId="08BB4DE8" w14:textId="1E57AC84" w:rsidR="00AF17A2" w:rsidRDefault="008C71CF" w:rsidP="006F1659">
      <w:pPr>
        <w:spacing w:line="360" w:lineRule="auto"/>
        <w:rPr>
          <w:rFonts w:ascii="Arial" w:hAnsi="Arial" w:cs="Arial"/>
          <w:sz w:val="22"/>
          <w:szCs w:val="22"/>
        </w:rPr>
      </w:pPr>
      <w:r w:rsidRPr="008C71CF">
        <w:rPr>
          <w:noProof/>
        </w:rPr>
        <w:drawing>
          <wp:inline distT="0" distB="0" distL="0" distR="0" wp14:anchorId="751ED859" wp14:editId="61AC8FE0">
            <wp:extent cx="5111750" cy="3289300"/>
            <wp:effectExtent l="0" t="0" r="0" b="6350"/>
            <wp:docPr id="1890680605" name="Pictur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80605" name="Picture 87">
                      <a:extLst>
                        <a:ext uri="{C183D7F6-B498-43B3-948B-1728B52AA6E4}">
                          <adec:decorative xmlns:adec="http://schemas.microsoft.com/office/drawing/2017/decorative" val="1"/>
                        </a:ext>
                      </a:extLs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111750" cy="3289300"/>
                    </a:xfrm>
                    <a:prstGeom prst="rect">
                      <a:avLst/>
                    </a:prstGeom>
                    <a:noFill/>
                    <a:ln>
                      <a:noFill/>
                    </a:ln>
                  </pic:spPr>
                </pic:pic>
              </a:graphicData>
            </a:graphic>
          </wp:inline>
        </w:drawing>
      </w:r>
    </w:p>
    <w:p w14:paraId="72B4744A" w14:textId="77777777" w:rsidR="00A14595" w:rsidRDefault="00A14595" w:rsidP="006F1659">
      <w:pPr>
        <w:spacing w:line="360" w:lineRule="auto"/>
        <w:rPr>
          <w:rFonts w:ascii="Arial" w:hAnsi="Arial" w:cs="Arial"/>
          <w:sz w:val="22"/>
          <w:szCs w:val="22"/>
        </w:rPr>
      </w:pPr>
    </w:p>
    <w:p w14:paraId="35FF625F" w14:textId="77777777" w:rsidR="008C71CF" w:rsidRPr="0007572B" w:rsidRDefault="008C71CF" w:rsidP="006F1659">
      <w:pPr>
        <w:spacing w:line="360" w:lineRule="auto"/>
        <w:rPr>
          <w:rFonts w:ascii="Arial" w:hAnsi="Arial" w:cs="Arial"/>
          <w:sz w:val="22"/>
          <w:szCs w:val="22"/>
        </w:rPr>
      </w:pPr>
    </w:p>
    <w:p w14:paraId="5EA1DF0B" w14:textId="4949E062" w:rsidR="004047A3" w:rsidRPr="0007572B" w:rsidRDefault="00680267" w:rsidP="006F1659">
      <w:pPr>
        <w:pStyle w:val="Heading3greennumbered"/>
        <w:spacing w:line="360" w:lineRule="auto"/>
      </w:pPr>
      <w:bookmarkStart w:id="190" w:name="_Toc92894905"/>
      <w:bookmarkStart w:id="191" w:name="_Toc92895209"/>
      <w:bookmarkStart w:id="192" w:name="_Toc109922643"/>
      <w:r w:rsidRPr="0007572B">
        <w:t>3</w:t>
      </w:r>
      <w:r w:rsidR="00876B48" w:rsidRPr="0007572B">
        <w:t>2</w:t>
      </w:r>
      <w:r w:rsidR="004047A3" w:rsidRPr="0007572B">
        <w:t>b Cash Flow Statement - Investing Activities</w:t>
      </w:r>
      <w:bookmarkEnd w:id="190"/>
      <w:bookmarkEnd w:id="191"/>
      <w:bookmarkEnd w:id="192"/>
    </w:p>
    <w:p w14:paraId="2CA1F6C9" w14:textId="7AED0654" w:rsidR="006F40D6" w:rsidRDefault="006F40D6" w:rsidP="006F1659">
      <w:pPr>
        <w:spacing w:line="360" w:lineRule="auto"/>
        <w:jc w:val="both"/>
        <w:rPr>
          <w:rFonts w:ascii="Arial" w:hAnsi="Arial" w:cs="Arial"/>
          <w:b/>
          <w:sz w:val="22"/>
          <w:szCs w:val="22"/>
        </w:rPr>
      </w:pPr>
    </w:p>
    <w:p w14:paraId="1D94F79F" w14:textId="77777777" w:rsidR="002B553A" w:rsidRDefault="008C71CF" w:rsidP="008301C7">
      <w:pPr>
        <w:spacing w:line="360" w:lineRule="auto"/>
      </w:pPr>
      <w:r w:rsidRPr="008C71CF">
        <w:rPr>
          <w:noProof/>
        </w:rPr>
        <w:drawing>
          <wp:inline distT="0" distB="0" distL="0" distR="0" wp14:anchorId="1EF8251A" wp14:editId="0855A098">
            <wp:extent cx="5111750" cy="1054100"/>
            <wp:effectExtent l="0" t="0" r="0" b="0"/>
            <wp:docPr id="970303597" name="Pictur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303597" name="Picture 88">
                      <a:extLst>
                        <a:ext uri="{C183D7F6-B498-43B3-948B-1728B52AA6E4}">
                          <adec:decorative xmlns:adec="http://schemas.microsoft.com/office/drawing/2017/decorative" val="1"/>
                        </a:ext>
                      </a:extLst>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111750" cy="1054100"/>
                    </a:xfrm>
                    <a:prstGeom prst="rect">
                      <a:avLst/>
                    </a:prstGeom>
                    <a:noFill/>
                    <a:ln>
                      <a:noFill/>
                    </a:ln>
                  </pic:spPr>
                </pic:pic>
              </a:graphicData>
            </a:graphic>
          </wp:inline>
        </w:drawing>
      </w:r>
    </w:p>
    <w:p w14:paraId="1DDCE382" w14:textId="364F8846" w:rsidR="00D4492C" w:rsidRPr="00A14595" w:rsidRDefault="002B553A" w:rsidP="00A14595">
      <w:pPr>
        <w:spacing w:line="360" w:lineRule="auto"/>
      </w:pPr>
      <w:r>
        <w:br w:type="textWrapping" w:clear="all"/>
      </w:r>
    </w:p>
    <w:p w14:paraId="792FE6AE" w14:textId="77777777" w:rsidR="00AF17A2" w:rsidRPr="0007572B" w:rsidRDefault="00AF17A2" w:rsidP="006F1659">
      <w:pPr>
        <w:spacing w:line="360" w:lineRule="auto"/>
        <w:jc w:val="both"/>
        <w:rPr>
          <w:rFonts w:ascii="Arial" w:hAnsi="Arial" w:cs="Arial"/>
          <w:b/>
          <w:sz w:val="22"/>
          <w:szCs w:val="22"/>
        </w:rPr>
      </w:pPr>
    </w:p>
    <w:p w14:paraId="2F01D7C6" w14:textId="67C71DE1" w:rsidR="00C75BFA" w:rsidRPr="0007572B" w:rsidRDefault="00680267" w:rsidP="006F1659">
      <w:pPr>
        <w:pStyle w:val="Heading3greennumbered"/>
        <w:spacing w:line="360" w:lineRule="auto"/>
      </w:pPr>
      <w:bookmarkStart w:id="193" w:name="_Toc92894906"/>
      <w:bookmarkStart w:id="194" w:name="_Toc92895210"/>
      <w:bookmarkStart w:id="195" w:name="_Toc109922644"/>
      <w:r w:rsidRPr="0007572B">
        <w:t>3</w:t>
      </w:r>
      <w:r w:rsidR="00876B48" w:rsidRPr="0007572B">
        <w:t>2</w:t>
      </w:r>
      <w:r w:rsidR="00A0024E" w:rsidRPr="0007572B">
        <w:t>c</w:t>
      </w:r>
      <w:r w:rsidR="004047A3" w:rsidRPr="0007572B">
        <w:t xml:space="preserve"> Cash Flow Statement - Financing Activities</w:t>
      </w:r>
      <w:bookmarkEnd w:id="193"/>
      <w:bookmarkEnd w:id="194"/>
      <w:bookmarkEnd w:id="195"/>
    </w:p>
    <w:p w14:paraId="008A1E44" w14:textId="77777777" w:rsidR="00D4492C" w:rsidRDefault="00D4492C" w:rsidP="006F1659">
      <w:pPr>
        <w:spacing w:line="360" w:lineRule="auto"/>
        <w:jc w:val="both"/>
        <w:rPr>
          <w:rFonts w:ascii="Arial" w:hAnsi="Arial" w:cs="Arial"/>
          <w:b/>
          <w:sz w:val="22"/>
          <w:szCs w:val="22"/>
        </w:rPr>
      </w:pPr>
    </w:p>
    <w:p w14:paraId="768F2858" w14:textId="60F53F08" w:rsidR="003C272F" w:rsidRDefault="006D5D31" w:rsidP="00DD2F61">
      <w:pPr>
        <w:spacing w:line="360" w:lineRule="auto"/>
        <w:jc w:val="both"/>
        <w:rPr>
          <w:rFonts w:ascii="Arial" w:eastAsia="Palatino Linotype" w:hAnsi="Arial" w:cs="Arial"/>
          <w:b/>
          <w:bCs/>
          <w:szCs w:val="28"/>
          <w:lang w:val="en-US"/>
        </w:rPr>
      </w:pPr>
      <w:r w:rsidRPr="006D5D31">
        <w:rPr>
          <w:noProof/>
        </w:rPr>
        <w:drawing>
          <wp:inline distT="0" distB="0" distL="0" distR="0" wp14:anchorId="37FCCD4D" wp14:editId="25FD7A9D">
            <wp:extent cx="5110480" cy="908685"/>
            <wp:effectExtent l="0" t="0" r="0" b="5715"/>
            <wp:docPr id="92223909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39091" name="Picture 5">
                      <a:extLst>
                        <a:ext uri="{C183D7F6-B498-43B3-948B-1728B52AA6E4}">
                          <adec:decorative xmlns:adec="http://schemas.microsoft.com/office/drawing/2017/decorative" val="1"/>
                        </a:ext>
                      </a:extLs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110480" cy="908685"/>
                    </a:xfrm>
                    <a:prstGeom prst="rect">
                      <a:avLst/>
                    </a:prstGeom>
                    <a:noFill/>
                    <a:ln>
                      <a:noFill/>
                    </a:ln>
                  </pic:spPr>
                </pic:pic>
              </a:graphicData>
            </a:graphic>
          </wp:inline>
        </w:drawing>
      </w:r>
      <w:bookmarkStart w:id="196" w:name="_Toc92894907"/>
      <w:bookmarkStart w:id="197" w:name="_Toc92895211"/>
      <w:bookmarkStart w:id="198" w:name="_Toc109922645"/>
      <w:r w:rsidR="003C272F">
        <w:br w:type="page"/>
      </w:r>
    </w:p>
    <w:p w14:paraId="742709DB" w14:textId="400E102B" w:rsidR="00294E50" w:rsidRPr="0007572B" w:rsidRDefault="00294E50" w:rsidP="006F1659">
      <w:pPr>
        <w:pStyle w:val="Heading3greennumbered"/>
        <w:spacing w:line="360" w:lineRule="auto"/>
      </w:pPr>
      <w:r w:rsidRPr="00D4492C">
        <w:lastRenderedPageBreak/>
        <w:t>3</w:t>
      </w:r>
      <w:r w:rsidR="00876B48" w:rsidRPr="00D4492C">
        <w:t>2</w:t>
      </w:r>
      <w:r w:rsidRPr="00D4492C">
        <w:t>d Cash Flow Statement – Reconciliation of Liabilities Arising from Financing</w:t>
      </w:r>
      <w:r w:rsidRPr="0007572B">
        <w:t xml:space="preserve"> Activities</w:t>
      </w:r>
      <w:bookmarkEnd w:id="196"/>
      <w:bookmarkEnd w:id="197"/>
      <w:bookmarkEnd w:id="198"/>
    </w:p>
    <w:p w14:paraId="6B15FCFB" w14:textId="77777777" w:rsidR="00D4492C" w:rsidRDefault="00D4492C" w:rsidP="006F1659">
      <w:pPr>
        <w:spacing w:line="360" w:lineRule="auto"/>
        <w:rPr>
          <w:rFonts w:ascii="Arial" w:hAnsi="Arial" w:cs="Arial"/>
          <w:b/>
          <w:sz w:val="22"/>
          <w:szCs w:val="22"/>
        </w:rPr>
      </w:pPr>
    </w:p>
    <w:p w14:paraId="22D356CD" w14:textId="6A9577FD" w:rsidR="00AF17A2" w:rsidRDefault="008C71CF" w:rsidP="006F1659">
      <w:pPr>
        <w:spacing w:line="360" w:lineRule="auto"/>
        <w:rPr>
          <w:rFonts w:ascii="Arial" w:hAnsi="Arial" w:cs="Arial"/>
          <w:b/>
          <w:sz w:val="22"/>
          <w:szCs w:val="22"/>
          <w:highlight w:val="yellow"/>
        </w:rPr>
      </w:pPr>
      <w:r w:rsidRPr="008C71CF">
        <w:rPr>
          <w:noProof/>
        </w:rPr>
        <w:drawing>
          <wp:inline distT="0" distB="0" distL="0" distR="0" wp14:anchorId="7F9E364C" wp14:editId="5828A3AE">
            <wp:extent cx="5975350" cy="981710"/>
            <wp:effectExtent l="0" t="0" r="6350" b="8890"/>
            <wp:docPr id="1430842485" name="Pictur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842485" name="Picture 90">
                      <a:extLst>
                        <a:ext uri="{C183D7F6-B498-43B3-948B-1728B52AA6E4}">
                          <adec:decorative xmlns:adec="http://schemas.microsoft.com/office/drawing/2017/decorative" val="1"/>
                        </a:ext>
                      </a:extLst>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975350" cy="981710"/>
                    </a:xfrm>
                    <a:prstGeom prst="rect">
                      <a:avLst/>
                    </a:prstGeom>
                    <a:noFill/>
                    <a:ln>
                      <a:noFill/>
                    </a:ln>
                  </pic:spPr>
                </pic:pic>
              </a:graphicData>
            </a:graphic>
          </wp:inline>
        </w:drawing>
      </w:r>
    </w:p>
    <w:p w14:paraId="54718056" w14:textId="77777777" w:rsidR="008C71CF" w:rsidRPr="008301C7" w:rsidRDefault="008C71CF" w:rsidP="006F1659">
      <w:pPr>
        <w:spacing w:line="360" w:lineRule="auto"/>
        <w:rPr>
          <w:rFonts w:ascii="Arial" w:hAnsi="Arial" w:cs="Arial"/>
          <w:b/>
          <w:sz w:val="22"/>
          <w:szCs w:val="22"/>
          <w:highlight w:val="yellow"/>
        </w:rPr>
      </w:pPr>
    </w:p>
    <w:p w14:paraId="56C0A1BE" w14:textId="5E98CCF9" w:rsidR="00943897" w:rsidRDefault="008C71CF" w:rsidP="006F1659">
      <w:pPr>
        <w:spacing w:line="360" w:lineRule="auto"/>
        <w:rPr>
          <w:rFonts w:ascii="Arial" w:hAnsi="Arial" w:cs="Arial"/>
          <w:sz w:val="22"/>
          <w:szCs w:val="22"/>
        </w:rPr>
      </w:pPr>
      <w:r w:rsidRPr="008C71CF">
        <w:rPr>
          <w:noProof/>
        </w:rPr>
        <w:drawing>
          <wp:inline distT="0" distB="0" distL="0" distR="0" wp14:anchorId="4544B9BB" wp14:editId="57FEAC9A">
            <wp:extent cx="5975350" cy="1024255"/>
            <wp:effectExtent l="0" t="0" r="6350" b="4445"/>
            <wp:docPr id="1549266445" name="Pictur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66445" name="Picture 91">
                      <a:extLst>
                        <a:ext uri="{C183D7F6-B498-43B3-948B-1728B52AA6E4}">
                          <adec:decorative xmlns:adec="http://schemas.microsoft.com/office/drawing/2017/decorative" val="1"/>
                        </a:ext>
                      </a:extLst>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975350" cy="1024255"/>
                    </a:xfrm>
                    <a:prstGeom prst="rect">
                      <a:avLst/>
                    </a:prstGeom>
                    <a:noFill/>
                    <a:ln>
                      <a:noFill/>
                    </a:ln>
                  </pic:spPr>
                </pic:pic>
              </a:graphicData>
            </a:graphic>
          </wp:inline>
        </w:drawing>
      </w:r>
    </w:p>
    <w:p w14:paraId="509E93F4" w14:textId="77777777" w:rsidR="008B356D" w:rsidRPr="0007572B" w:rsidRDefault="008B356D" w:rsidP="006F1659">
      <w:pPr>
        <w:spacing w:line="360" w:lineRule="auto"/>
        <w:rPr>
          <w:rFonts w:ascii="Arial" w:hAnsi="Arial" w:cs="Arial"/>
          <w:sz w:val="22"/>
          <w:szCs w:val="22"/>
        </w:rPr>
      </w:pPr>
    </w:p>
    <w:p w14:paraId="211131F4" w14:textId="3567B1FA" w:rsidR="004047A3" w:rsidRPr="0007572B" w:rsidRDefault="00680267" w:rsidP="006F1659">
      <w:pPr>
        <w:pStyle w:val="Heading3greennumbered"/>
        <w:spacing w:line="360" w:lineRule="auto"/>
      </w:pPr>
      <w:bookmarkStart w:id="199" w:name="_Toc92894908"/>
      <w:bookmarkStart w:id="200" w:name="_Toc92895212"/>
      <w:bookmarkStart w:id="201" w:name="_Toc109922646"/>
      <w:bookmarkStart w:id="202" w:name="_Hlk138337169"/>
      <w:r w:rsidRPr="0007572B">
        <w:t>3</w:t>
      </w:r>
      <w:r w:rsidR="00876B48" w:rsidRPr="0007572B">
        <w:t>3</w:t>
      </w:r>
      <w:r w:rsidR="004047A3" w:rsidRPr="0007572B">
        <w:t xml:space="preserve"> Defined Benefit Pension Schemes</w:t>
      </w:r>
      <w:bookmarkEnd w:id="199"/>
      <w:bookmarkEnd w:id="200"/>
      <w:bookmarkEnd w:id="201"/>
    </w:p>
    <w:p w14:paraId="4F7276DF" w14:textId="77777777" w:rsidR="00D4492C" w:rsidRDefault="00D4492C" w:rsidP="006F1659">
      <w:pPr>
        <w:spacing w:line="360" w:lineRule="auto"/>
        <w:rPr>
          <w:rFonts w:ascii="Arial" w:hAnsi="Arial" w:cs="Arial"/>
        </w:rPr>
      </w:pPr>
    </w:p>
    <w:p w14:paraId="0781269C" w14:textId="459710F6" w:rsidR="00B04A22" w:rsidRPr="006E7062" w:rsidRDefault="00B04A22" w:rsidP="006F1659">
      <w:pPr>
        <w:spacing w:line="360" w:lineRule="auto"/>
        <w:rPr>
          <w:rFonts w:ascii="Arial" w:hAnsi="Arial" w:cs="Arial"/>
        </w:rPr>
      </w:pPr>
      <w:r w:rsidRPr="006E7062">
        <w:rPr>
          <w:rFonts w:ascii="Arial" w:hAnsi="Arial" w:cs="Arial"/>
        </w:rPr>
        <w:t>As part of the terms and conditions of employment of its officers and other employees, the Authority makes contributions towards the cost of post-employment benefits. Although these benefits will not actually be payable until employees retire, the Authority has a commitment to make the payments that need to be disclosed at the time that employees earn their future entitlement.</w:t>
      </w:r>
    </w:p>
    <w:p w14:paraId="00B2EEF7" w14:textId="77777777" w:rsidR="00B04A22" w:rsidRPr="006E7062" w:rsidRDefault="00B04A22" w:rsidP="006F1659">
      <w:pPr>
        <w:spacing w:line="360" w:lineRule="auto"/>
        <w:rPr>
          <w:rFonts w:ascii="Arial" w:hAnsi="Arial" w:cs="Arial"/>
        </w:rPr>
      </w:pPr>
    </w:p>
    <w:p w14:paraId="6B86275C" w14:textId="77777777" w:rsidR="00B04A22" w:rsidRPr="006E7062" w:rsidRDefault="00B04A22" w:rsidP="006F1659">
      <w:pPr>
        <w:spacing w:line="360" w:lineRule="auto"/>
        <w:rPr>
          <w:rFonts w:ascii="Arial" w:hAnsi="Arial" w:cs="Arial"/>
        </w:rPr>
      </w:pPr>
      <w:r w:rsidRPr="006E7062">
        <w:rPr>
          <w:rFonts w:ascii="Arial" w:hAnsi="Arial" w:cs="Arial"/>
        </w:rPr>
        <w:t xml:space="preserve">Employees of the Authority are divided </w:t>
      </w:r>
      <w:r w:rsidR="000F48B9" w:rsidRPr="006E7062">
        <w:rPr>
          <w:rFonts w:ascii="Arial" w:hAnsi="Arial" w:cs="Arial"/>
        </w:rPr>
        <w:t>betwee</w:t>
      </w:r>
      <w:r w:rsidR="00E46631" w:rsidRPr="006E7062">
        <w:rPr>
          <w:rFonts w:ascii="Arial" w:hAnsi="Arial" w:cs="Arial"/>
        </w:rPr>
        <w:t xml:space="preserve">n two separate </w:t>
      </w:r>
      <w:r w:rsidR="00EF6096" w:rsidRPr="006E7062">
        <w:rPr>
          <w:rFonts w:ascii="Arial" w:hAnsi="Arial" w:cs="Arial"/>
        </w:rPr>
        <w:t xml:space="preserve">defined benefit </w:t>
      </w:r>
      <w:r w:rsidR="00E46631" w:rsidRPr="006E7062">
        <w:rPr>
          <w:rFonts w:ascii="Arial" w:hAnsi="Arial" w:cs="Arial"/>
        </w:rPr>
        <w:t>pension schemes:</w:t>
      </w:r>
    </w:p>
    <w:p w14:paraId="14A0E604" w14:textId="77777777" w:rsidR="00E46631" w:rsidRPr="006E7062" w:rsidRDefault="00E46631" w:rsidP="006F1659">
      <w:pPr>
        <w:spacing w:line="360" w:lineRule="auto"/>
        <w:rPr>
          <w:rFonts w:ascii="Arial" w:hAnsi="Arial" w:cs="Arial"/>
        </w:rPr>
      </w:pPr>
    </w:p>
    <w:p w14:paraId="7BA4F48D" w14:textId="1153E466" w:rsidR="00E46631" w:rsidRPr="006E7062" w:rsidRDefault="00E46631" w:rsidP="006F1659">
      <w:pPr>
        <w:spacing w:line="360" w:lineRule="auto"/>
        <w:rPr>
          <w:rFonts w:ascii="Arial" w:hAnsi="Arial" w:cs="Arial"/>
        </w:rPr>
      </w:pPr>
      <w:r w:rsidRPr="006E7062">
        <w:rPr>
          <w:rFonts w:ascii="Arial" w:hAnsi="Arial" w:cs="Arial"/>
          <w:b/>
        </w:rPr>
        <w:t>The Fire</w:t>
      </w:r>
      <w:r w:rsidR="001838A2" w:rsidRPr="006E7062">
        <w:rPr>
          <w:rFonts w:ascii="Arial" w:hAnsi="Arial" w:cs="Arial"/>
          <w:b/>
        </w:rPr>
        <w:t>fighters’</w:t>
      </w:r>
      <w:r w:rsidRPr="006E7062">
        <w:rPr>
          <w:rFonts w:ascii="Arial" w:hAnsi="Arial" w:cs="Arial"/>
          <w:b/>
        </w:rPr>
        <w:t xml:space="preserve"> Pension Scheme</w:t>
      </w:r>
      <w:r w:rsidRPr="006E7062">
        <w:rPr>
          <w:rFonts w:ascii="Arial" w:hAnsi="Arial" w:cs="Arial"/>
        </w:rPr>
        <w:t xml:space="preserve"> for its uniformed firefighters - this is an unfunded scheme, meaning that there are no investment assets built up to meet the pensions liabilities, and cash has to be generated to meet actual pensions payments as they eventually fall due.</w:t>
      </w:r>
    </w:p>
    <w:p w14:paraId="0246C1E8" w14:textId="77777777" w:rsidR="006E2332" w:rsidRPr="006E7062" w:rsidRDefault="006E2332" w:rsidP="006F1659">
      <w:pPr>
        <w:spacing w:line="360" w:lineRule="auto"/>
        <w:rPr>
          <w:rFonts w:ascii="Arial" w:hAnsi="Arial" w:cs="Arial"/>
        </w:rPr>
      </w:pPr>
    </w:p>
    <w:p w14:paraId="6F899E58" w14:textId="62604D1A" w:rsidR="00E46631" w:rsidRPr="006E7062" w:rsidRDefault="00E46631" w:rsidP="006F1659">
      <w:pPr>
        <w:spacing w:line="360" w:lineRule="auto"/>
        <w:rPr>
          <w:rFonts w:ascii="Arial" w:hAnsi="Arial" w:cs="Arial"/>
        </w:rPr>
      </w:pPr>
      <w:r w:rsidRPr="006E7062">
        <w:rPr>
          <w:rFonts w:ascii="Arial" w:hAnsi="Arial" w:cs="Arial"/>
          <w:b/>
        </w:rPr>
        <w:t>The Local Government Pension Scheme</w:t>
      </w:r>
      <w:r w:rsidRPr="006E7062">
        <w:rPr>
          <w:rFonts w:ascii="Arial" w:hAnsi="Arial" w:cs="Arial"/>
        </w:rPr>
        <w:t xml:space="preserve"> for its other employees - this is a funded scheme, meaning that the Authority and employees pay its contributions into a fund, calculated at a level intended to balance the pensions liabilities with investment assets. The cost of retirement benefits is recognised in the Net Cost of Services when they are </w:t>
      </w:r>
      <w:r w:rsidRPr="006E7062">
        <w:rPr>
          <w:rFonts w:ascii="Arial" w:hAnsi="Arial" w:cs="Arial"/>
        </w:rPr>
        <w:lastRenderedPageBreak/>
        <w:t xml:space="preserve">earned by employees, rather than when the benefits are eventually paid as pensions. However, the charge we are required to make against </w:t>
      </w:r>
      <w:r w:rsidR="00685F1C" w:rsidRPr="006E7062">
        <w:rPr>
          <w:rFonts w:ascii="Arial" w:hAnsi="Arial" w:cs="Arial"/>
        </w:rPr>
        <w:t xml:space="preserve">grant and </w:t>
      </w:r>
      <w:r w:rsidRPr="006E7062">
        <w:rPr>
          <w:rFonts w:ascii="Arial" w:hAnsi="Arial" w:cs="Arial"/>
        </w:rPr>
        <w:t xml:space="preserve">precept income is based on the cash payable in the year, so the real cost of retirement benefits is reversed out of the </w:t>
      </w:r>
      <w:r w:rsidR="006366E3" w:rsidRPr="006E7062">
        <w:rPr>
          <w:rFonts w:ascii="Arial" w:hAnsi="Arial" w:cs="Arial"/>
        </w:rPr>
        <w:t xml:space="preserve">Comprehensive </w:t>
      </w:r>
      <w:r w:rsidRPr="006E7062">
        <w:rPr>
          <w:rFonts w:ascii="Arial" w:hAnsi="Arial" w:cs="Arial"/>
        </w:rPr>
        <w:t xml:space="preserve">Income and Expenditure Account in the </w:t>
      </w:r>
      <w:r w:rsidR="006366E3" w:rsidRPr="006E7062">
        <w:rPr>
          <w:rFonts w:ascii="Arial" w:hAnsi="Arial" w:cs="Arial"/>
        </w:rPr>
        <w:t>Movement in Reserves Statement</w:t>
      </w:r>
      <w:r w:rsidRPr="006E7062">
        <w:rPr>
          <w:rFonts w:ascii="Arial" w:hAnsi="Arial" w:cs="Arial"/>
        </w:rPr>
        <w:t>.</w:t>
      </w:r>
    </w:p>
    <w:p w14:paraId="0D8C979A" w14:textId="77777777" w:rsidR="00E46631" w:rsidRPr="006E7062" w:rsidRDefault="00E46631" w:rsidP="006F1659">
      <w:pPr>
        <w:spacing w:line="360" w:lineRule="auto"/>
        <w:rPr>
          <w:rFonts w:ascii="Arial" w:hAnsi="Arial" w:cs="Arial"/>
        </w:rPr>
      </w:pPr>
    </w:p>
    <w:p w14:paraId="5939EB0B" w14:textId="36DB05FC" w:rsidR="001F2C3F" w:rsidRPr="006E7062" w:rsidRDefault="006E2332" w:rsidP="006F1659">
      <w:pPr>
        <w:spacing w:line="360" w:lineRule="auto"/>
        <w:rPr>
          <w:rFonts w:ascii="Arial" w:hAnsi="Arial" w:cs="Arial"/>
        </w:rPr>
      </w:pPr>
      <w:r w:rsidRPr="006E7062">
        <w:rPr>
          <w:rFonts w:ascii="Arial" w:hAnsi="Arial" w:cs="Arial"/>
        </w:rPr>
        <w:t>The Authority also has responsibility for the Police Pension Scheme for police officers although this scheme is administered by the Chief Constable (Greater Manchester Pol</w:t>
      </w:r>
      <w:r w:rsidR="009771BC" w:rsidRPr="006E7062">
        <w:rPr>
          <w:rFonts w:ascii="Arial" w:hAnsi="Arial" w:cs="Arial"/>
        </w:rPr>
        <w:t>ice) on behalf of the Authority</w:t>
      </w:r>
      <w:r w:rsidR="001F2C3F" w:rsidRPr="006E7062">
        <w:rPr>
          <w:rFonts w:ascii="Arial" w:hAnsi="Arial" w:cs="Arial"/>
        </w:rPr>
        <w:t xml:space="preserve">. </w:t>
      </w:r>
      <w:r w:rsidR="006A27AB" w:rsidRPr="006E7062">
        <w:rPr>
          <w:rFonts w:ascii="Arial" w:hAnsi="Arial" w:cs="Arial"/>
        </w:rPr>
        <w:t>The entries related to this scheme are disclosed in the group accounts.</w:t>
      </w:r>
      <w:r w:rsidR="001F2C3F" w:rsidRPr="006E7062">
        <w:rPr>
          <w:rFonts w:ascii="Arial" w:hAnsi="Arial" w:cs="Arial"/>
        </w:rPr>
        <w:t xml:space="preserve"> </w:t>
      </w:r>
    </w:p>
    <w:p w14:paraId="20BAF1D5" w14:textId="77777777" w:rsidR="001F2C3F" w:rsidRPr="00914651" w:rsidRDefault="001F2C3F" w:rsidP="006F1659">
      <w:pPr>
        <w:spacing w:line="360" w:lineRule="auto"/>
        <w:rPr>
          <w:rFonts w:ascii="Arial" w:hAnsi="Arial" w:cs="Arial"/>
          <w:highlight w:val="yellow"/>
        </w:rPr>
      </w:pPr>
    </w:p>
    <w:p w14:paraId="30E3E4A3" w14:textId="4682BDFB" w:rsidR="00994706" w:rsidRPr="006E7062" w:rsidRDefault="00994706" w:rsidP="006F1659">
      <w:pPr>
        <w:spacing w:line="360" w:lineRule="auto"/>
        <w:rPr>
          <w:rFonts w:ascii="Arial" w:hAnsi="Arial" w:cs="Arial"/>
        </w:rPr>
      </w:pPr>
      <w:r w:rsidRPr="006E7062">
        <w:rPr>
          <w:rFonts w:ascii="Arial" w:hAnsi="Arial" w:cs="Arial"/>
        </w:rPr>
        <w:t xml:space="preserve">In accordance with proper </w:t>
      </w:r>
      <w:r w:rsidR="009771BC" w:rsidRPr="006E7062">
        <w:rPr>
          <w:rFonts w:ascii="Arial" w:hAnsi="Arial" w:cs="Arial"/>
        </w:rPr>
        <w:t>practices,</w:t>
      </w:r>
      <w:r w:rsidRPr="006E7062">
        <w:rPr>
          <w:rFonts w:ascii="Arial" w:hAnsi="Arial" w:cs="Arial"/>
        </w:rPr>
        <w:t xml:space="preserve"> the Authority has fully complied with the International Financial Reporting Standard IAS19 (Employee Benefits). Both Pension schemes are classified as ‘defined benefit’ schemes</w:t>
      </w:r>
      <w:r w:rsidR="00160771" w:rsidRPr="006E7062">
        <w:rPr>
          <w:rFonts w:ascii="Arial" w:hAnsi="Arial" w:cs="Arial"/>
        </w:rPr>
        <w:t xml:space="preserve"> under IAS19 and the accounting principles and their effect on the Financial Statements are explained below.</w:t>
      </w:r>
    </w:p>
    <w:p w14:paraId="3DCD609D" w14:textId="77777777" w:rsidR="00171DAF" w:rsidRDefault="00171DAF" w:rsidP="006F1659">
      <w:pPr>
        <w:spacing w:line="360" w:lineRule="auto"/>
        <w:rPr>
          <w:rFonts w:ascii="Arial" w:hAnsi="Arial" w:cs="Arial"/>
        </w:rPr>
      </w:pPr>
      <w:r w:rsidRPr="006E7062">
        <w:rPr>
          <w:rFonts w:ascii="Arial" w:hAnsi="Arial" w:cs="Arial"/>
        </w:rPr>
        <w:t>Employer contribution rates for the current and next year for both schemes are provided below:</w:t>
      </w:r>
    </w:p>
    <w:p w14:paraId="421448B0" w14:textId="77777777" w:rsidR="00054583" w:rsidRDefault="00054583" w:rsidP="006F1659">
      <w:pPr>
        <w:spacing w:line="360" w:lineRule="auto"/>
        <w:rPr>
          <w:rFonts w:ascii="Arial" w:hAnsi="Arial" w:cs="Arial"/>
        </w:rPr>
      </w:pPr>
    </w:p>
    <w:p w14:paraId="5C067735" w14:textId="07CADA2E" w:rsidR="00054583" w:rsidRPr="006E7062" w:rsidRDefault="00054583" w:rsidP="006F1659">
      <w:pPr>
        <w:spacing w:line="360" w:lineRule="auto"/>
        <w:rPr>
          <w:rFonts w:ascii="Arial" w:hAnsi="Arial" w:cs="Arial"/>
        </w:rPr>
      </w:pPr>
      <w:r w:rsidRPr="00054583">
        <w:rPr>
          <w:noProof/>
        </w:rPr>
        <w:drawing>
          <wp:inline distT="0" distB="0" distL="0" distR="0" wp14:anchorId="4D73E60B" wp14:editId="6030716D">
            <wp:extent cx="5975350" cy="764540"/>
            <wp:effectExtent l="0" t="0" r="6350" b="0"/>
            <wp:docPr id="1638455677" name="Picture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455677" name="Picture 111">
                      <a:extLst>
                        <a:ext uri="{C183D7F6-B498-43B3-948B-1728B52AA6E4}">
                          <adec:decorative xmlns:adec="http://schemas.microsoft.com/office/drawing/2017/decorative" val="1"/>
                        </a:ext>
                      </a:extLs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975350" cy="764540"/>
                    </a:xfrm>
                    <a:prstGeom prst="rect">
                      <a:avLst/>
                    </a:prstGeom>
                    <a:noFill/>
                    <a:ln>
                      <a:noFill/>
                    </a:ln>
                  </pic:spPr>
                </pic:pic>
              </a:graphicData>
            </a:graphic>
          </wp:inline>
        </w:drawing>
      </w:r>
    </w:p>
    <w:p w14:paraId="207D6B5A" w14:textId="7CDB768F" w:rsidR="00B070AC" w:rsidRPr="00914651" w:rsidRDefault="00B070AC" w:rsidP="006F1659">
      <w:pPr>
        <w:spacing w:line="360" w:lineRule="auto"/>
        <w:rPr>
          <w:rFonts w:ascii="Arial" w:hAnsi="Arial" w:cs="Arial"/>
          <w:highlight w:val="yellow"/>
        </w:rPr>
      </w:pPr>
    </w:p>
    <w:p w14:paraId="7FEDDBC2" w14:textId="77777777" w:rsidR="004047A3" w:rsidRPr="006E7062" w:rsidRDefault="00D00AF4" w:rsidP="006F1659">
      <w:pPr>
        <w:pStyle w:val="Heading4bold"/>
        <w:spacing w:line="360" w:lineRule="auto"/>
      </w:pPr>
      <w:r w:rsidRPr="006E7062">
        <w:t>The Local Government Pension Scheme</w:t>
      </w:r>
    </w:p>
    <w:p w14:paraId="63148E1F" w14:textId="5E52234D" w:rsidR="00864F2C" w:rsidRPr="006E7062" w:rsidRDefault="00864F2C" w:rsidP="006F1659">
      <w:pPr>
        <w:spacing w:line="360" w:lineRule="auto"/>
        <w:rPr>
          <w:rFonts w:ascii="Arial" w:hAnsi="Arial" w:cs="Arial"/>
        </w:rPr>
      </w:pPr>
      <w:r w:rsidRPr="006E7062">
        <w:rPr>
          <w:rFonts w:ascii="Arial" w:hAnsi="Arial" w:cs="Arial"/>
        </w:rPr>
        <w:t>The Authority pays an employer's contribution into the G</w:t>
      </w:r>
      <w:r w:rsidR="00CA750E" w:rsidRPr="006E7062">
        <w:rPr>
          <w:rFonts w:ascii="Arial" w:hAnsi="Arial" w:cs="Arial"/>
        </w:rPr>
        <w:t>MPF</w:t>
      </w:r>
      <w:r w:rsidRPr="006E7062">
        <w:rPr>
          <w:rFonts w:ascii="Arial" w:hAnsi="Arial" w:cs="Arial"/>
        </w:rPr>
        <w:t>, which is a fully funded defined benefits scheme administered by Tameside Metropolitan Borough Council from whom an Annual Report is available.</w:t>
      </w:r>
    </w:p>
    <w:p w14:paraId="269D23CA" w14:textId="77777777" w:rsidR="00864F2C" w:rsidRPr="006E7062" w:rsidRDefault="00864F2C" w:rsidP="006F1659">
      <w:pPr>
        <w:spacing w:line="360" w:lineRule="auto"/>
        <w:rPr>
          <w:rFonts w:ascii="Arial" w:hAnsi="Arial" w:cs="Arial"/>
        </w:rPr>
      </w:pPr>
    </w:p>
    <w:p w14:paraId="7572BEC4" w14:textId="10211C77" w:rsidR="00864F2C" w:rsidRPr="006E7062" w:rsidRDefault="00864F2C" w:rsidP="006F1659">
      <w:pPr>
        <w:spacing w:line="360" w:lineRule="auto"/>
        <w:rPr>
          <w:rFonts w:ascii="Arial" w:hAnsi="Arial" w:cs="Arial"/>
        </w:rPr>
      </w:pPr>
      <w:r w:rsidRPr="006E7062">
        <w:rPr>
          <w:rFonts w:ascii="Arial" w:hAnsi="Arial" w:cs="Arial"/>
        </w:rPr>
        <w:t xml:space="preserve">The liabilities of the </w:t>
      </w:r>
      <w:r w:rsidR="00CA750E" w:rsidRPr="006E7062">
        <w:rPr>
          <w:rFonts w:ascii="Arial" w:hAnsi="Arial" w:cs="Arial"/>
        </w:rPr>
        <w:t>GMPF</w:t>
      </w:r>
      <w:r w:rsidRPr="006E7062">
        <w:rPr>
          <w:rFonts w:ascii="Arial" w:hAnsi="Arial" w:cs="Arial"/>
        </w:rPr>
        <w:t xml:space="preserve"> attributable to the Authority are included in the Balance Sheet on an actuarial basis using the projected unit </w:t>
      </w:r>
      <w:r w:rsidR="006A27AB" w:rsidRPr="006E7062">
        <w:rPr>
          <w:rFonts w:ascii="Arial" w:hAnsi="Arial" w:cs="Arial"/>
        </w:rPr>
        <w:t xml:space="preserve">credit </w:t>
      </w:r>
      <w:r w:rsidRPr="006E7062">
        <w:rPr>
          <w:rFonts w:ascii="Arial" w:hAnsi="Arial" w:cs="Arial"/>
        </w:rPr>
        <w:t>method, i.e. an assessment of the future payments that will be made in relation to retirement benefits earned to date by employees, based on assumptions about mortality rates, employee turnover rates and projections of projected earnings for current employees.</w:t>
      </w:r>
    </w:p>
    <w:p w14:paraId="4E0D62DB" w14:textId="77777777" w:rsidR="00864F2C" w:rsidRPr="006E7062" w:rsidRDefault="00864F2C" w:rsidP="006F1659">
      <w:pPr>
        <w:spacing w:line="360" w:lineRule="auto"/>
        <w:rPr>
          <w:rFonts w:ascii="Arial" w:hAnsi="Arial" w:cs="Arial"/>
        </w:rPr>
      </w:pPr>
    </w:p>
    <w:p w14:paraId="72965CEC" w14:textId="77777777" w:rsidR="00864F2C" w:rsidRPr="006E7062" w:rsidRDefault="00864F2C" w:rsidP="006F1659">
      <w:pPr>
        <w:spacing w:line="360" w:lineRule="auto"/>
        <w:rPr>
          <w:rFonts w:ascii="Arial" w:hAnsi="Arial" w:cs="Arial"/>
        </w:rPr>
      </w:pPr>
      <w:r w:rsidRPr="006E7062">
        <w:rPr>
          <w:rFonts w:ascii="Arial" w:hAnsi="Arial" w:cs="Arial"/>
        </w:rPr>
        <w:lastRenderedPageBreak/>
        <w:t>Liabilities are discounted to their value at current prices, (based on the indicative rate of return on high quality corporate bonds).</w:t>
      </w:r>
    </w:p>
    <w:p w14:paraId="0D77C31F" w14:textId="77777777" w:rsidR="00864F2C" w:rsidRPr="006E7062" w:rsidRDefault="00864F2C" w:rsidP="006F1659">
      <w:pPr>
        <w:spacing w:line="360" w:lineRule="auto"/>
        <w:rPr>
          <w:rFonts w:ascii="Arial" w:hAnsi="Arial" w:cs="Arial"/>
        </w:rPr>
      </w:pPr>
    </w:p>
    <w:p w14:paraId="468539A1" w14:textId="614DC364" w:rsidR="00864F2C" w:rsidRPr="006E7062" w:rsidRDefault="00864F2C" w:rsidP="006F1659">
      <w:pPr>
        <w:spacing w:line="360" w:lineRule="auto"/>
        <w:rPr>
          <w:rFonts w:ascii="Arial" w:hAnsi="Arial" w:cs="Arial"/>
        </w:rPr>
      </w:pPr>
      <w:r w:rsidRPr="006E7062">
        <w:rPr>
          <w:rFonts w:ascii="Arial" w:hAnsi="Arial" w:cs="Arial"/>
        </w:rPr>
        <w:t xml:space="preserve">The assets of the </w:t>
      </w:r>
      <w:r w:rsidR="00CA750E" w:rsidRPr="006E7062">
        <w:rPr>
          <w:rFonts w:ascii="Arial" w:hAnsi="Arial" w:cs="Arial"/>
        </w:rPr>
        <w:t>GMPF</w:t>
      </w:r>
      <w:r w:rsidRPr="006E7062">
        <w:rPr>
          <w:rFonts w:ascii="Arial" w:hAnsi="Arial" w:cs="Arial"/>
        </w:rPr>
        <w:t xml:space="preserve"> attributable to the Authority are included in the Balance Sheet at their fair value, as follows:</w:t>
      </w:r>
    </w:p>
    <w:p w14:paraId="0000A644" w14:textId="77777777" w:rsidR="00D5311B" w:rsidRPr="006E7062" w:rsidRDefault="00D5311B" w:rsidP="006F1659">
      <w:pPr>
        <w:spacing w:line="360" w:lineRule="auto"/>
        <w:rPr>
          <w:rFonts w:ascii="Arial" w:hAnsi="Arial" w:cs="Arial"/>
        </w:rPr>
      </w:pPr>
    </w:p>
    <w:p w14:paraId="33F72AD6" w14:textId="77777777" w:rsidR="00864F2C" w:rsidRPr="006E7062" w:rsidRDefault="00864F2C" w:rsidP="006F1659">
      <w:pPr>
        <w:pStyle w:val="ListParagraph"/>
        <w:numPr>
          <w:ilvl w:val="1"/>
          <w:numId w:val="14"/>
        </w:numPr>
        <w:spacing w:line="360" w:lineRule="auto"/>
        <w:rPr>
          <w:rFonts w:ascii="Arial" w:hAnsi="Arial" w:cs="Arial"/>
          <w:sz w:val="24"/>
          <w:szCs w:val="24"/>
        </w:rPr>
      </w:pPr>
      <w:r w:rsidRPr="006E7062">
        <w:rPr>
          <w:rFonts w:ascii="Arial" w:hAnsi="Arial" w:cs="Arial"/>
          <w:sz w:val="24"/>
          <w:szCs w:val="24"/>
        </w:rPr>
        <w:t>Quoted securities – current bid price</w:t>
      </w:r>
    </w:p>
    <w:p w14:paraId="2C332D0F" w14:textId="77777777" w:rsidR="00864F2C" w:rsidRPr="006E7062" w:rsidRDefault="00864F2C" w:rsidP="006F1659">
      <w:pPr>
        <w:pStyle w:val="ListParagraph"/>
        <w:numPr>
          <w:ilvl w:val="1"/>
          <w:numId w:val="14"/>
        </w:numPr>
        <w:spacing w:line="360" w:lineRule="auto"/>
        <w:rPr>
          <w:rFonts w:ascii="Arial" w:hAnsi="Arial" w:cs="Arial"/>
          <w:sz w:val="24"/>
          <w:szCs w:val="24"/>
        </w:rPr>
      </w:pPr>
      <w:r w:rsidRPr="006E7062">
        <w:rPr>
          <w:rFonts w:ascii="Arial" w:hAnsi="Arial" w:cs="Arial"/>
          <w:sz w:val="24"/>
          <w:szCs w:val="24"/>
        </w:rPr>
        <w:t>Unquoted securities – professional estimate</w:t>
      </w:r>
    </w:p>
    <w:p w14:paraId="42546D7E" w14:textId="77777777" w:rsidR="00864F2C" w:rsidRPr="006E7062" w:rsidRDefault="00864F2C" w:rsidP="006F1659">
      <w:pPr>
        <w:pStyle w:val="ListParagraph"/>
        <w:numPr>
          <w:ilvl w:val="1"/>
          <w:numId w:val="14"/>
        </w:numPr>
        <w:spacing w:line="360" w:lineRule="auto"/>
        <w:rPr>
          <w:rFonts w:ascii="Arial" w:hAnsi="Arial" w:cs="Arial"/>
          <w:sz w:val="24"/>
          <w:szCs w:val="24"/>
        </w:rPr>
      </w:pPr>
      <w:r w:rsidRPr="006E7062">
        <w:rPr>
          <w:rFonts w:ascii="Arial" w:hAnsi="Arial" w:cs="Arial"/>
          <w:sz w:val="24"/>
          <w:szCs w:val="24"/>
        </w:rPr>
        <w:t>Unitised securities – current bid price</w:t>
      </w:r>
    </w:p>
    <w:p w14:paraId="3BF95AD5" w14:textId="77777777" w:rsidR="00864F2C" w:rsidRPr="006E7062" w:rsidRDefault="00864F2C" w:rsidP="006F1659">
      <w:pPr>
        <w:pStyle w:val="ListParagraph"/>
        <w:numPr>
          <w:ilvl w:val="1"/>
          <w:numId w:val="14"/>
        </w:numPr>
        <w:spacing w:line="360" w:lineRule="auto"/>
        <w:rPr>
          <w:rFonts w:ascii="Arial" w:hAnsi="Arial" w:cs="Arial"/>
          <w:sz w:val="24"/>
          <w:szCs w:val="24"/>
        </w:rPr>
      </w:pPr>
      <w:r w:rsidRPr="006E7062">
        <w:rPr>
          <w:rFonts w:ascii="Arial" w:hAnsi="Arial" w:cs="Arial"/>
          <w:sz w:val="24"/>
          <w:szCs w:val="24"/>
        </w:rPr>
        <w:t>Property – market value.</w:t>
      </w:r>
    </w:p>
    <w:p w14:paraId="681E71F9" w14:textId="77777777" w:rsidR="00864F2C" w:rsidRPr="006E7062" w:rsidRDefault="00864F2C" w:rsidP="006F1659">
      <w:pPr>
        <w:spacing w:line="360" w:lineRule="auto"/>
        <w:rPr>
          <w:rFonts w:ascii="Arial" w:hAnsi="Arial" w:cs="Arial"/>
        </w:rPr>
      </w:pPr>
      <w:r w:rsidRPr="006E7062">
        <w:rPr>
          <w:rFonts w:ascii="Arial" w:hAnsi="Arial" w:cs="Arial"/>
        </w:rPr>
        <w:t>The change in the net pension’s liability is analysed into seven components:</w:t>
      </w:r>
    </w:p>
    <w:p w14:paraId="73073A11" w14:textId="77777777" w:rsidR="006E2332" w:rsidRPr="006E7062" w:rsidRDefault="006E2332" w:rsidP="006F1659">
      <w:pPr>
        <w:spacing w:line="360" w:lineRule="auto"/>
        <w:rPr>
          <w:rFonts w:ascii="Arial" w:hAnsi="Arial" w:cs="Arial"/>
        </w:rPr>
      </w:pPr>
    </w:p>
    <w:p w14:paraId="774B8B7E" w14:textId="77777777" w:rsidR="00864F2C" w:rsidRPr="006E7062" w:rsidRDefault="00864F2C" w:rsidP="006F1659">
      <w:pPr>
        <w:pStyle w:val="ListParagraph"/>
        <w:numPr>
          <w:ilvl w:val="0"/>
          <w:numId w:val="13"/>
        </w:numPr>
        <w:spacing w:line="360" w:lineRule="auto"/>
        <w:rPr>
          <w:rFonts w:ascii="Arial" w:hAnsi="Arial" w:cs="Arial"/>
          <w:sz w:val="24"/>
          <w:szCs w:val="24"/>
        </w:rPr>
      </w:pPr>
      <w:r w:rsidRPr="006E7062">
        <w:rPr>
          <w:rFonts w:ascii="Arial" w:hAnsi="Arial" w:cs="Arial"/>
          <w:b/>
          <w:sz w:val="24"/>
          <w:szCs w:val="24"/>
        </w:rPr>
        <w:t>Current service cost</w:t>
      </w:r>
      <w:r w:rsidRPr="006E7062">
        <w:rPr>
          <w:rFonts w:ascii="Arial" w:hAnsi="Arial" w:cs="Arial"/>
          <w:sz w:val="24"/>
          <w:szCs w:val="24"/>
        </w:rPr>
        <w:t xml:space="preserve"> – the increase in liabilities as a result of years of service earned this year. This is allocated in the Comprehensive Income and Expenditure Statement to the revenue accounts of services for which the employees worked.</w:t>
      </w:r>
    </w:p>
    <w:p w14:paraId="28336194" w14:textId="4A04E708" w:rsidR="00864F2C" w:rsidRPr="006E7062" w:rsidRDefault="00864F2C" w:rsidP="006F1659">
      <w:pPr>
        <w:pStyle w:val="ListParagraph"/>
        <w:numPr>
          <w:ilvl w:val="0"/>
          <w:numId w:val="13"/>
        </w:numPr>
        <w:spacing w:line="360" w:lineRule="auto"/>
        <w:rPr>
          <w:rFonts w:ascii="Arial" w:hAnsi="Arial" w:cs="Arial"/>
          <w:sz w:val="24"/>
          <w:szCs w:val="24"/>
        </w:rPr>
      </w:pPr>
      <w:r w:rsidRPr="006E7062">
        <w:rPr>
          <w:rFonts w:ascii="Arial" w:hAnsi="Arial" w:cs="Arial"/>
          <w:b/>
          <w:sz w:val="24"/>
          <w:szCs w:val="24"/>
        </w:rPr>
        <w:t>Past service cost</w:t>
      </w:r>
      <w:r w:rsidRPr="006E7062">
        <w:rPr>
          <w:rFonts w:ascii="Arial" w:hAnsi="Arial" w:cs="Arial"/>
          <w:sz w:val="24"/>
          <w:szCs w:val="24"/>
        </w:rPr>
        <w:t xml:space="preserve"> – the increase in liabilities arising from current year decisions whose effect relates to years of service earned in earlier years. This is debited to the surplus or deficit on the provision of services in the Comprehensive I</w:t>
      </w:r>
      <w:r w:rsidR="00744363" w:rsidRPr="006E7062">
        <w:rPr>
          <w:rFonts w:ascii="Arial" w:hAnsi="Arial" w:cs="Arial"/>
          <w:sz w:val="24"/>
          <w:szCs w:val="24"/>
        </w:rPr>
        <w:t>ncome and Expenditure Statement</w:t>
      </w:r>
      <w:r w:rsidRPr="006E7062">
        <w:rPr>
          <w:rFonts w:ascii="Arial" w:hAnsi="Arial" w:cs="Arial"/>
          <w:sz w:val="24"/>
          <w:szCs w:val="24"/>
        </w:rPr>
        <w:t>.</w:t>
      </w:r>
    </w:p>
    <w:p w14:paraId="56332788" w14:textId="77777777" w:rsidR="00864F2C" w:rsidRPr="006E7062" w:rsidRDefault="00864F2C" w:rsidP="006F1659">
      <w:pPr>
        <w:pStyle w:val="ListParagraph"/>
        <w:numPr>
          <w:ilvl w:val="0"/>
          <w:numId w:val="13"/>
        </w:numPr>
        <w:spacing w:line="360" w:lineRule="auto"/>
        <w:rPr>
          <w:rFonts w:ascii="Arial" w:hAnsi="Arial" w:cs="Arial"/>
          <w:sz w:val="24"/>
          <w:szCs w:val="24"/>
        </w:rPr>
      </w:pPr>
      <w:r w:rsidRPr="006E7062">
        <w:rPr>
          <w:rFonts w:ascii="Arial" w:hAnsi="Arial" w:cs="Arial"/>
          <w:b/>
          <w:sz w:val="24"/>
          <w:szCs w:val="24"/>
        </w:rPr>
        <w:t>Interest cost</w:t>
      </w:r>
      <w:r w:rsidRPr="006E7062">
        <w:rPr>
          <w:rFonts w:ascii="Arial" w:hAnsi="Arial" w:cs="Arial"/>
          <w:sz w:val="24"/>
          <w:szCs w:val="24"/>
        </w:rPr>
        <w:t xml:space="preserve"> – the expected increase in the present value of liabilities during the year as they move one year closer to being paid. This is debited to Financing and Investment Income and Expenditure Line in the Comprehensive Income and Expenditure Statement.</w:t>
      </w:r>
    </w:p>
    <w:p w14:paraId="0380722A" w14:textId="77777777" w:rsidR="00864F2C" w:rsidRPr="006E7062" w:rsidRDefault="0065752F" w:rsidP="006F1659">
      <w:pPr>
        <w:pStyle w:val="ListParagraph"/>
        <w:numPr>
          <w:ilvl w:val="0"/>
          <w:numId w:val="13"/>
        </w:numPr>
        <w:spacing w:line="360" w:lineRule="auto"/>
        <w:rPr>
          <w:rFonts w:ascii="Arial" w:hAnsi="Arial" w:cs="Arial"/>
          <w:sz w:val="24"/>
          <w:szCs w:val="24"/>
        </w:rPr>
      </w:pPr>
      <w:r w:rsidRPr="006E7062">
        <w:rPr>
          <w:rFonts w:ascii="Arial" w:hAnsi="Arial" w:cs="Arial"/>
          <w:b/>
          <w:sz w:val="24"/>
          <w:szCs w:val="24"/>
        </w:rPr>
        <w:t>G</w:t>
      </w:r>
      <w:r w:rsidR="00864F2C" w:rsidRPr="006E7062">
        <w:rPr>
          <w:rFonts w:ascii="Arial" w:hAnsi="Arial" w:cs="Arial"/>
          <w:b/>
          <w:sz w:val="24"/>
          <w:szCs w:val="24"/>
        </w:rPr>
        <w:t>ains/losses on settlements and curtailments</w:t>
      </w:r>
      <w:r w:rsidR="00864F2C" w:rsidRPr="006E7062">
        <w:rPr>
          <w:rFonts w:ascii="Arial" w:hAnsi="Arial" w:cs="Arial"/>
          <w:sz w:val="24"/>
          <w:szCs w:val="24"/>
        </w:rPr>
        <w:t xml:space="preserve"> – the result of actions to relieve the Authority of liabilities or events that reduce the expected future service or accrual of benefits of employees. This is debited or credited to the surplus or deficit on the provision of services in the Comprehensive Income and Expenditure Statement.</w:t>
      </w:r>
    </w:p>
    <w:p w14:paraId="71A85BFE" w14:textId="4D18E495" w:rsidR="00864F2C" w:rsidRPr="006E7062" w:rsidRDefault="00B33006" w:rsidP="006F1659">
      <w:pPr>
        <w:pStyle w:val="ListParagraph"/>
        <w:numPr>
          <w:ilvl w:val="0"/>
          <w:numId w:val="13"/>
        </w:numPr>
        <w:spacing w:line="360" w:lineRule="auto"/>
        <w:rPr>
          <w:rFonts w:ascii="Arial" w:hAnsi="Arial" w:cs="Arial"/>
          <w:sz w:val="24"/>
          <w:szCs w:val="24"/>
        </w:rPr>
      </w:pPr>
      <w:r w:rsidRPr="006E7062">
        <w:rPr>
          <w:rFonts w:ascii="Arial" w:hAnsi="Arial" w:cs="Arial"/>
          <w:b/>
          <w:sz w:val="24"/>
          <w:szCs w:val="24"/>
        </w:rPr>
        <w:t>Interest on scheme assets</w:t>
      </w:r>
      <w:r w:rsidR="00864F2C" w:rsidRPr="006E7062">
        <w:rPr>
          <w:rFonts w:ascii="Arial" w:hAnsi="Arial" w:cs="Arial"/>
          <w:sz w:val="24"/>
          <w:szCs w:val="24"/>
        </w:rPr>
        <w:t xml:space="preserve"> – the annual investment return on the fund assets attributable to the Authority, based on an average of the expected long</w:t>
      </w:r>
      <w:r w:rsidR="00F3496D">
        <w:rPr>
          <w:rFonts w:ascii="Arial" w:hAnsi="Arial" w:cs="Arial"/>
          <w:sz w:val="24"/>
          <w:szCs w:val="24"/>
        </w:rPr>
        <w:t xml:space="preserve"> </w:t>
      </w:r>
      <w:r w:rsidR="00864F2C" w:rsidRPr="006E7062">
        <w:rPr>
          <w:rFonts w:ascii="Arial" w:hAnsi="Arial" w:cs="Arial"/>
          <w:sz w:val="24"/>
          <w:szCs w:val="24"/>
        </w:rPr>
        <w:t>term return. This is credited to Financing and Investment Line in the Comprehensive Income and Expenditure Statement.</w:t>
      </w:r>
    </w:p>
    <w:p w14:paraId="62DE1BF4" w14:textId="4153074F" w:rsidR="0065752F" w:rsidRPr="006E7062" w:rsidRDefault="0065752F" w:rsidP="006F1659">
      <w:pPr>
        <w:pStyle w:val="ListParagraph"/>
        <w:numPr>
          <w:ilvl w:val="0"/>
          <w:numId w:val="13"/>
        </w:numPr>
        <w:spacing w:line="360" w:lineRule="auto"/>
        <w:rPr>
          <w:rFonts w:ascii="Arial" w:hAnsi="Arial" w:cs="Arial"/>
          <w:sz w:val="24"/>
          <w:szCs w:val="24"/>
        </w:rPr>
      </w:pPr>
      <w:r w:rsidRPr="006E7062">
        <w:rPr>
          <w:rFonts w:ascii="Arial" w:hAnsi="Arial" w:cs="Arial"/>
          <w:b/>
          <w:sz w:val="24"/>
          <w:szCs w:val="24"/>
        </w:rPr>
        <w:lastRenderedPageBreak/>
        <w:t>A</w:t>
      </w:r>
      <w:r w:rsidR="00864F2C" w:rsidRPr="006E7062">
        <w:rPr>
          <w:rFonts w:ascii="Arial" w:hAnsi="Arial" w:cs="Arial"/>
          <w:b/>
          <w:sz w:val="24"/>
          <w:szCs w:val="24"/>
        </w:rPr>
        <w:t>ctuarial gains and losses</w:t>
      </w:r>
      <w:r w:rsidR="00864F2C" w:rsidRPr="006E7062">
        <w:rPr>
          <w:rFonts w:ascii="Arial" w:hAnsi="Arial" w:cs="Arial"/>
          <w:sz w:val="24"/>
          <w:szCs w:val="24"/>
        </w:rPr>
        <w:t xml:space="preserve"> – changes in the net pensions liability that arise because events have not coincided with assumptions made at the last actuarial valuation or because the actuaries have updated their assumptions – debited to the Pensions Reserve. </w:t>
      </w:r>
    </w:p>
    <w:p w14:paraId="7DE34311" w14:textId="77777777" w:rsidR="00864F2C" w:rsidRDefault="0065752F" w:rsidP="006F1659">
      <w:pPr>
        <w:pStyle w:val="ListParagraph"/>
        <w:numPr>
          <w:ilvl w:val="0"/>
          <w:numId w:val="13"/>
        </w:numPr>
        <w:spacing w:line="360" w:lineRule="auto"/>
        <w:rPr>
          <w:rFonts w:ascii="Arial" w:hAnsi="Arial" w:cs="Arial"/>
          <w:sz w:val="24"/>
          <w:szCs w:val="24"/>
        </w:rPr>
      </w:pPr>
      <w:r w:rsidRPr="006E7062">
        <w:rPr>
          <w:rFonts w:ascii="Arial" w:hAnsi="Arial" w:cs="Arial"/>
          <w:b/>
          <w:sz w:val="24"/>
          <w:szCs w:val="24"/>
        </w:rPr>
        <w:t>C</w:t>
      </w:r>
      <w:r w:rsidR="00864F2C" w:rsidRPr="006E7062">
        <w:rPr>
          <w:rFonts w:ascii="Arial" w:hAnsi="Arial" w:cs="Arial"/>
          <w:b/>
          <w:sz w:val="24"/>
          <w:szCs w:val="24"/>
        </w:rPr>
        <w:t>ontributions paid to the pension fund</w:t>
      </w:r>
      <w:r w:rsidR="00864F2C" w:rsidRPr="006E7062">
        <w:rPr>
          <w:rFonts w:ascii="Arial" w:hAnsi="Arial" w:cs="Arial"/>
          <w:sz w:val="24"/>
          <w:szCs w:val="24"/>
        </w:rPr>
        <w:t xml:space="preserve"> – cash paid as employer’s contributions to the fund.</w:t>
      </w:r>
    </w:p>
    <w:p w14:paraId="28F1C1E4" w14:textId="3256725C" w:rsidR="00FE66B0" w:rsidRDefault="00FE66B0" w:rsidP="006F1659">
      <w:pPr>
        <w:pStyle w:val="ListParagraph"/>
        <w:numPr>
          <w:ilvl w:val="0"/>
          <w:numId w:val="13"/>
        </w:numPr>
        <w:spacing w:line="360" w:lineRule="auto"/>
        <w:rPr>
          <w:rFonts w:ascii="Arial" w:hAnsi="Arial" w:cs="Arial"/>
          <w:sz w:val="24"/>
          <w:szCs w:val="24"/>
        </w:rPr>
      </w:pPr>
      <w:r>
        <w:rPr>
          <w:rFonts w:ascii="Arial" w:hAnsi="Arial" w:cs="Arial"/>
          <w:b/>
          <w:sz w:val="24"/>
          <w:szCs w:val="24"/>
        </w:rPr>
        <w:t xml:space="preserve">Asset ceiling </w:t>
      </w:r>
      <w:r>
        <w:rPr>
          <w:rFonts w:ascii="Arial" w:hAnsi="Arial" w:cs="Arial"/>
          <w:sz w:val="24"/>
          <w:szCs w:val="24"/>
        </w:rPr>
        <w:t>– the asset ceiling is the present value of any economic benefits available in the form of refunds from the plan or reductions in future contributions to the plan.</w:t>
      </w:r>
    </w:p>
    <w:p w14:paraId="4C4F2D67" w14:textId="77777777" w:rsidR="00FE66B0" w:rsidRDefault="00FE66B0" w:rsidP="00FE66B0">
      <w:pPr>
        <w:spacing w:line="360" w:lineRule="auto"/>
        <w:rPr>
          <w:rFonts w:ascii="Arial" w:hAnsi="Arial" w:cs="Arial"/>
        </w:rPr>
      </w:pPr>
      <w:r w:rsidRPr="00FE66B0">
        <w:rPr>
          <w:rFonts w:ascii="Arial" w:hAnsi="Arial" w:cs="Arial"/>
        </w:rPr>
        <w:t>Following the pensions by Hymans, the fair value of our pension plan assets outweighed the present value of plan obligation at 31 March 2024. IAS 19 Employee Benefits requires that, where a pension plan asset exists, it is measured at the lower of:</w:t>
      </w:r>
    </w:p>
    <w:p w14:paraId="798EC8EF" w14:textId="3ACC57C0" w:rsidR="00FE66B0" w:rsidRPr="00FE66B0" w:rsidRDefault="00FE66B0" w:rsidP="00FE66B0">
      <w:pPr>
        <w:pStyle w:val="ListParagraph"/>
        <w:numPr>
          <w:ilvl w:val="0"/>
          <w:numId w:val="88"/>
        </w:numPr>
        <w:spacing w:before="240" w:line="360" w:lineRule="auto"/>
        <w:rPr>
          <w:rFonts w:ascii="Arial" w:hAnsi="Arial" w:cs="Arial"/>
          <w:sz w:val="24"/>
          <w:szCs w:val="24"/>
        </w:rPr>
      </w:pPr>
      <w:r w:rsidRPr="00FE66B0">
        <w:rPr>
          <w:rFonts w:ascii="Arial" w:hAnsi="Arial" w:cs="Arial"/>
          <w:sz w:val="24"/>
          <w:szCs w:val="24"/>
        </w:rPr>
        <w:t>The surplus identified in the plan, or</w:t>
      </w:r>
    </w:p>
    <w:p w14:paraId="75BF7AF9" w14:textId="5219BE18" w:rsidR="00FE66B0" w:rsidRPr="00FE66B0" w:rsidRDefault="00FE66B0" w:rsidP="00FE66B0">
      <w:pPr>
        <w:pStyle w:val="ListParagraph"/>
        <w:numPr>
          <w:ilvl w:val="0"/>
          <w:numId w:val="87"/>
        </w:numPr>
        <w:spacing w:line="360" w:lineRule="auto"/>
        <w:rPr>
          <w:rFonts w:ascii="Arial" w:hAnsi="Arial" w:cs="Arial"/>
          <w:sz w:val="24"/>
          <w:szCs w:val="24"/>
        </w:rPr>
      </w:pPr>
      <w:r w:rsidRPr="00FE66B0">
        <w:rPr>
          <w:rFonts w:ascii="Arial" w:hAnsi="Arial" w:cs="Arial"/>
          <w:sz w:val="24"/>
          <w:szCs w:val="24"/>
        </w:rPr>
        <w:t>The asset ceiling.</w:t>
      </w:r>
    </w:p>
    <w:p w14:paraId="4DDD8FED" w14:textId="77777777" w:rsidR="00FE66B0" w:rsidRPr="00FE66B0" w:rsidRDefault="00FE66B0" w:rsidP="00FE66B0">
      <w:pPr>
        <w:spacing w:line="360" w:lineRule="auto"/>
        <w:rPr>
          <w:rFonts w:ascii="Arial" w:hAnsi="Arial" w:cs="Arial"/>
        </w:rPr>
      </w:pPr>
      <w:r w:rsidRPr="00FE66B0">
        <w:rPr>
          <w:rFonts w:ascii="Arial" w:hAnsi="Arial" w:cs="Arial"/>
        </w:rPr>
        <w:t>Hymans Robertson LLP as our actuary have carried out the asset ceiling calculation for the 2022/23 accounts on the following basis:</w:t>
      </w:r>
    </w:p>
    <w:p w14:paraId="47E75F79" w14:textId="77777777" w:rsidR="00FE66B0" w:rsidRPr="00FE66B0" w:rsidRDefault="00FE66B0" w:rsidP="00FE66B0">
      <w:pPr>
        <w:spacing w:line="360" w:lineRule="auto"/>
        <w:rPr>
          <w:rFonts w:ascii="Arial" w:hAnsi="Arial" w:cs="Arial"/>
        </w:rPr>
      </w:pPr>
    </w:p>
    <w:p w14:paraId="12467FC6" w14:textId="77777777" w:rsidR="00FE66B0" w:rsidRPr="00FE66B0" w:rsidRDefault="00FE66B0" w:rsidP="00FE66B0">
      <w:pPr>
        <w:spacing w:line="360" w:lineRule="auto"/>
        <w:rPr>
          <w:rFonts w:ascii="Arial" w:hAnsi="Arial" w:cs="Arial"/>
        </w:rPr>
      </w:pPr>
      <w:r w:rsidRPr="00FE66B0">
        <w:rPr>
          <w:rFonts w:ascii="Arial" w:hAnsi="Arial" w:cs="Arial"/>
        </w:rPr>
        <w:t>Net present value of (employer) future service costs over the future working lifetime ‘less’</w:t>
      </w:r>
    </w:p>
    <w:p w14:paraId="35A0881A" w14:textId="77777777" w:rsidR="00FE66B0" w:rsidRPr="00FE66B0" w:rsidRDefault="00FE66B0" w:rsidP="00FE66B0">
      <w:pPr>
        <w:spacing w:line="360" w:lineRule="auto"/>
        <w:rPr>
          <w:rFonts w:ascii="Arial" w:hAnsi="Arial" w:cs="Arial"/>
        </w:rPr>
      </w:pPr>
      <w:r w:rsidRPr="00FE66B0">
        <w:rPr>
          <w:rFonts w:ascii="Arial" w:hAnsi="Arial" w:cs="Arial"/>
        </w:rPr>
        <w:t>Net present value of (employer) future contributions over the future working lifetime</w:t>
      </w:r>
    </w:p>
    <w:p w14:paraId="6A92179F" w14:textId="77777777" w:rsidR="00FE66B0" w:rsidRPr="00FE66B0" w:rsidRDefault="00FE66B0" w:rsidP="00FE66B0">
      <w:pPr>
        <w:spacing w:line="360" w:lineRule="auto"/>
        <w:rPr>
          <w:rFonts w:ascii="Arial" w:hAnsi="Arial" w:cs="Arial"/>
        </w:rPr>
      </w:pPr>
    </w:p>
    <w:p w14:paraId="3EB20E11" w14:textId="01A12839" w:rsidR="00FE66B0" w:rsidRDefault="00FE66B0" w:rsidP="00FE66B0">
      <w:pPr>
        <w:spacing w:line="360" w:lineRule="auto"/>
        <w:rPr>
          <w:rFonts w:ascii="Arial" w:hAnsi="Arial" w:cs="Arial"/>
        </w:rPr>
      </w:pPr>
      <w:r w:rsidRPr="00FE66B0">
        <w:rPr>
          <w:rFonts w:ascii="Arial" w:hAnsi="Arial" w:cs="Arial"/>
        </w:rPr>
        <w:t>The impact of the above has resulted in an £102m adjustment to the accounts by applying the asset ceiling, resulting in a move from a surplus net asset to a net pension liability of £6.2m.</w:t>
      </w:r>
    </w:p>
    <w:p w14:paraId="59CCAD09" w14:textId="77777777" w:rsidR="00FE66B0" w:rsidRDefault="00FE66B0" w:rsidP="006F1659">
      <w:pPr>
        <w:spacing w:line="360" w:lineRule="auto"/>
        <w:rPr>
          <w:rFonts w:ascii="Arial" w:hAnsi="Arial" w:cs="Arial"/>
        </w:rPr>
      </w:pPr>
    </w:p>
    <w:p w14:paraId="1290E4CE" w14:textId="4FD281DC" w:rsidR="00864F2C" w:rsidRPr="006E7062" w:rsidRDefault="00864F2C" w:rsidP="006F1659">
      <w:pPr>
        <w:spacing w:line="360" w:lineRule="auto"/>
        <w:rPr>
          <w:rFonts w:ascii="Arial" w:hAnsi="Arial" w:cs="Arial"/>
        </w:rPr>
      </w:pPr>
      <w:r w:rsidRPr="006E7062">
        <w:rPr>
          <w:rFonts w:ascii="Arial" w:hAnsi="Arial" w:cs="Arial"/>
        </w:rPr>
        <w:t xml:space="preserve">In relation to retirement benefits, statutory provisions require the General Fund Balance to be charged with the amount payable by the </w:t>
      </w:r>
      <w:r w:rsidR="00C64AE4" w:rsidRPr="006E7062">
        <w:rPr>
          <w:rFonts w:ascii="Arial" w:hAnsi="Arial" w:cs="Arial"/>
        </w:rPr>
        <w:t>Authority</w:t>
      </w:r>
      <w:r w:rsidRPr="006E7062">
        <w:rPr>
          <w:rFonts w:ascii="Arial" w:hAnsi="Arial" w:cs="Arial"/>
        </w:rPr>
        <w:t xml:space="preserve"> to the pension fund or directly to pensioners in the year, not the amount calculated according to the relevant accounting standards. In the Movement in Reserves Statement, this means that there are appropriations to and from the Pensions Reserve to remove the notional debits and credits for retirement benefits and replace them with debits for the cash paid to the pension fund and pensioners and any such amounts payable but unpaid at the year-end.</w:t>
      </w:r>
      <w:r w:rsidR="00C64AE4" w:rsidRPr="006E7062">
        <w:rPr>
          <w:rFonts w:ascii="Arial" w:hAnsi="Arial" w:cs="Arial"/>
        </w:rPr>
        <w:t xml:space="preserve"> </w:t>
      </w:r>
      <w:r w:rsidRPr="006E7062">
        <w:rPr>
          <w:rFonts w:ascii="Arial" w:hAnsi="Arial" w:cs="Arial"/>
        </w:rPr>
        <w:lastRenderedPageBreak/>
        <w:t>The negative balance that arises on the Pensions Reserve thereby measures the beneficial impact to the General Fund of being required to account for retirement benefits on the basis of cash flows rather than as benefits are earned by employees.</w:t>
      </w:r>
    </w:p>
    <w:p w14:paraId="5BA66F9A" w14:textId="77777777" w:rsidR="0065752F" w:rsidRPr="00914651" w:rsidRDefault="0065752F" w:rsidP="006F1659">
      <w:pPr>
        <w:spacing w:line="360" w:lineRule="auto"/>
        <w:rPr>
          <w:rFonts w:ascii="Arial" w:hAnsi="Arial" w:cs="Arial"/>
          <w:highlight w:val="yellow"/>
        </w:rPr>
      </w:pPr>
    </w:p>
    <w:p w14:paraId="07DF951B" w14:textId="372F9A1E" w:rsidR="00B91632" w:rsidRDefault="00864F2C" w:rsidP="006F1659">
      <w:pPr>
        <w:spacing w:line="360" w:lineRule="auto"/>
        <w:rPr>
          <w:rFonts w:ascii="Arial" w:hAnsi="Arial" w:cs="Arial"/>
        </w:rPr>
      </w:pPr>
      <w:r w:rsidRPr="006E7062">
        <w:rPr>
          <w:rFonts w:ascii="Arial" w:hAnsi="Arial" w:cs="Arial"/>
        </w:rPr>
        <w:t>Under IAS19 any obligation arising from other long</w:t>
      </w:r>
      <w:r w:rsidR="00F3496D">
        <w:rPr>
          <w:rFonts w:ascii="Arial" w:hAnsi="Arial" w:cs="Arial"/>
        </w:rPr>
        <w:t xml:space="preserve"> </w:t>
      </w:r>
      <w:r w:rsidRPr="006E7062">
        <w:rPr>
          <w:rFonts w:ascii="Arial" w:hAnsi="Arial" w:cs="Arial"/>
        </w:rPr>
        <w:t>term employee benefits that depend on length of service need to be recognised when service is rendered, which for the Authority now includes Injury Awards.</w:t>
      </w:r>
    </w:p>
    <w:p w14:paraId="22062DFF" w14:textId="77777777" w:rsidR="00FE66B0" w:rsidRPr="006E7062" w:rsidRDefault="00FE66B0" w:rsidP="006F1659">
      <w:pPr>
        <w:spacing w:line="360" w:lineRule="auto"/>
        <w:rPr>
          <w:rFonts w:ascii="Arial" w:hAnsi="Arial" w:cs="Arial"/>
        </w:rPr>
      </w:pPr>
    </w:p>
    <w:p w14:paraId="2F17170C" w14:textId="4B9A84CD" w:rsidR="009771BC" w:rsidRPr="00FE66B0" w:rsidRDefault="009771BC" w:rsidP="006F1659">
      <w:pPr>
        <w:pStyle w:val="Heading4bold"/>
        <w:spacing w:line="360" w:lineRule="auto"/>
      </w:pPr>
      <w:r w:rsidRPr="00FE66B0">
        <w:t>The McCloud / Sarge</w:t>
      </w:r>
      <w:r w:rsidR="001F2C3F" w:rsidRPr="00FE66B0">
        <w:t>a</w:t>
      </w:r>
      <w:r w:rsidRPr="00FE66B0">
        <w:t>nt Judgement</w:t>
      </w:r>
    </w:p>
    <w:p w14:paraId="08B6F819" w14:textId="3EE49E3C" w:rsidR="009332EA" w:rsidRPr="00FE66B0" w:rsidRDefault="009332EA" w:rsidP="006F1659">
      <w:pPr>
        <w:pStyle w:val="Heading5"/>
        <w:spacing w:line="360" w:lineRule="auto"/>
        <w:rPr>
          <w:lang w:eastAsia="en-GB"/>
        </w:rPr>
      </w:pPr>
      <w:r w:rsidRPr="00FE66B0">
        <w:rPr>
          <w:lang w:eastAsia="en-GB"/>
        </w:rPr>
        <w:t xml:space="preserve">Firefighters </w:t>
      </w:r>
      <w:r w:rsidR="006E7062" w:rsidRPr="00FE66B0">
        <w:rPr>
          <w:lang w:eastAsia="en-GB"/>
        </w:rPr>
        <w:t>S</w:t>
      </w:r>
      <w:r w:rsidRPr="00FE66B0">
        <w:rPr>
          <w:lang w:eastAsia="en-GB"/>
        </w:rPr>
        <w:t>cheme</w:t>
      </w:r>
    </w:p>
    <w:p w14:paraId="116530D2" w14:textId="77777777" w:rsidR="006E7062" w:rsidRPr="00FE66B0" w:rsidRDefault="006E7062" w:rsidP="006F1659">
      <w:pPr>
        <w:spacing w:before="120" w:line="360" w:lineRule="auto"/>
        <w:rPr>
          <w:rFonts w:ascii="Arial" w:hAnsi="Arial" w:cs="Arial"/>
          <w:color w:val="000000"/>
          <w:szCs w:val="18"/>
          <w:lang w:eastAsia="en-GB"/>
        </w:rPr>
      </w:pPr>
      <w:r w:rsidRPr="00FE66B0">
        <w:rPr>
          <w:rFonts w:ascii="Arial" w:hAnsi="Arial" w:cs="Arial"/>
          <w:color w:val="000000"/>
          <w:szCs w:val="18"/>
          <w:lang w:eastAsia="en-GB"/>
        </w:rPr>
        <w:t>Claims of age discrimination were brought in relation to the terms of transitional protection by groups of firefighters and members of the Judiciary in the McCloud / Sargeant legal case (referred to as “McCloud”) and the Court of Appeal handed down its judgement of this claim on 20 December 2018, ruling that the transitional protection arrangements were discriminatory on the basis of age. As a result, the cost control element of the 2016 valuation was paused whilst the Government addressed the need to remedy this discrimination across all public service pension schemes. The cost cap mechanism for the 2016 valuation has since been un-paused and the calculations complete, with the outcome being no changes to benefits or contributions.</w:t>
      </w:r>
    </w:p>
    <w:p w14:paraId="720EA86D" w14:textId="77777777" w:rsidR="006E7062" w:rsidRPr="00FE66B0" w:rsidRDefault="006E7062" w:rsidP="006F1659">
      <w:pPr>
        <w:spacing w:line="360" w:lineRule="auto"/>
        <w:rPr>
          <w:rFonts w:ascii="Arial" w:hAnsi="Arial" w:cs="Arial"/>
          <w:color w:val="000000"/>
          <w:szCs w:val="18"/>
          <w:lang w:eastAsia="en-GB"/>
        </w:rPr>
      </w:pPr>
    </w:p>
    <w:p w14:paraId="37604A05" w14:textId="68E4ED16" w:rsidR="006E7062" w:rsidRPr="00FE66B0" w:rsidRDefault="006E7062" w:rsidP="006F1659">
      <w:pPr>
        <w:spacing w:line="360" w:lineRule="auto"/>
        <w:rPr>
          <w:rFonts w:ascii="Arial" w:hAnsi="Arial" w:cs="Arial"/>
          <w:color w:val="000000"/>
          <w:szCs w:val="18"/>
          <w:lang w:eastAsia="en-GB"/>
        </w:rPr>
      </w:pPr>
      <w:r w:rsidRPr="00FE66B0">
        <w:rPr>
          <w:rFonts w:ascii="Arial" w:hAnsi="Arial" w:cs="Arial"/>
          <w:color w:val="000000"/>
          <w:szCs w:val="18"/>
          <w:lang w:eastAsia="en-GB"/>
        </w:rPr>
        <w:t xml:space="preserve">The treatment of the deferred choice underpin as a member cost for cost cap purposes, along with the </w:t>
      </w:r>
      <w:r w:rsidR="00970BA2" w:rsidRPr="00FE66B0">
        <w:rPr>
          <w:rFonts w:ascii="Arial" w:hAnsi="Arial" w:cs="Arial"/>
          <w:color w:val="000000"/>
          <w:szCs w:val="18"/>
          <w:lang w:eastAsia="en-GB"/>
        </w:rPr>
        <w:t>four</w:t>
      </w:r>
      <w:r w:rsidRPr="00FE66B0">
        <w:rPr>
          <w:rFonts w:ascii="Arial" w:hAnsi="Arial" w:cs="Arial"/>
          <w:color w:val="000000"/>
          <w:szCs w:val="18"/>
          <w:lang w:eastAsia="en-GB"/>
        </w:rPr>
        <w:t xml:space="preserve"> year spreading period, was challenged in a judicial </w:t>
      </w:r>
      <w:r w:rsidR="00970BA2" w:rsidRPr="00FE66B0">
        <w:rPr>
          <w:rFonts w:ascii="Arial" w:hAnsi="Arial" w:cs="Arial"/>
          <w:color w:val="000000"/>
          <w:szCs w:val="18"/>
          <w:lang w:eastAsia="en-GB"/>
        </w:rPr>
        <w:t>r</w:t>
      </w:r>
      <w:r w:rsidRPr="00FE66B0">
        <w:rPr>
          <w:rFonts w:ascii="Arial" w:hAnsi="Arial" w:cs="Arial"/>
          <w:color w:val="000000"/>
          <w:szCs w:val="18"/>
          <w:lang w:eastAsia="en-GB"/>
        </w:rPr>
        <w:t>eview which was heard in early 2023. The claims made in the Judicial Review were dismissed by the High Court, in a judgement handed down on Friday</w:t>
      </w:r>
      <w:r w:rsidR="00970BA2" w:rsidRPr="00FE66B0">
        <w:rPr>
          <w:rFonts w:ascii="Arial" w:hAnsi="Arial" w:cs="Arial"/>
          <w:color w:val="000000"/>
          <w:szCs w:val="18"/>
          <w:lang w:eastAsia="en-GB"/>
        </w:rPr>
        <w:t xml:space="preserve"> </w:t>
      </w:r>
      <w:r w:rsidRPr="00FE66B0">
        <w:rPr>
          <w:rFonts w:ascii="Arial" w:hAnsi="Arial" w:cs="Arial"/>
          <w:color w:val="000000"/>
          <w:szCs w:val="18"/>
          <w:lang w:eastAsia="en-GB"/>
        </w:rPr>
        <w:t>10 March 2023. No allowance has therefore been made in our accounting disclosures as at 31 March 202</w:t>
      </w:r>
      <w:r w:rsidR="00FE66B0" w:rsidRPr="00FE66B0">
        <w:rPr>
          <w:rFonts w:ascii="Arial" w:hAnsi="Arial" w:cs="Arial"/>
          <w:color w:val="000000"/>
          <w:szCs w:val="18"/>
          <w:lang w:eastAsia="en-GB"/>
        </w:rPr>
        <w:t>4</w:t>
      </w:r>
      <w:r w:rsidRPr="00FE66B0">
        <w:rPr>
          <w:rFonts w:ascii="Arial" w:hAnsi="Arial" w:cs="Arial"/>
          <w:color w:val="000000"/>
          <w:szCs w:val="18"/>
          <w:lang w:eastAsia="en-GB"/>
        </w:rPr>
        <w:t>.</w:t>
      </w:r>
    </w:p>
    <w:p w14:paraId="41FE1B53" w14:textId="4C6B0D9A" w:rsidR="00BC3701" w:rsidRPr="00FE66B0" w:rsidRDefault="00BC3701" w:rsidP="006F1659">
      <w:pPr>
        <w:spacing w:line="360" w:lineRule="auto"/>
        <w:rPr>
          <w:rFonts w:ascii="Arial" w:hAnsi="Arial" w:cs="Arial"/>
          <w:color w:val="000000"/>
          <w:szCs w:val="18"/>
          <w:lang w:eastAsia="en-GB"/>
        </w:rPr>
      </w:pPr>
    </w:p>
    <w:p w14:paraId="79B14215" w14:textId="77777777" w:rsidR="006E7062" w:rsidRPr="00FE66B0" w:rsidRDefault="006E7062" w:rsidP="006F1659">
      <w:pPr>
        <w:pStyle w:val="Heading5"/>
        <w:spacing w:line="360" w:lineRule="auto"/>
        <w:rPr>
          <w:lang w:eastAsia="en-GB"/>
        </w:rPr>
      </w:pPr>
      <w:r w:rsidRPr="00FE66B0">
        <w:rPr>
          <w:lang w:eastAsia="en-GB"/>
        </w:rPr>
        <w:t>McCloud Remedy</w:t>
      </w:r>
    </w:p>
    <w:p w14:paraId="20412587" w14:textId="77777777" w:rsidR="006E7062" w:rsidRPr="00FE66B0" w:rsidRDefault="006E7062" w:rsidP="006F1659">
      <w:pPr>
        <w:spacing w:before="120" w:line="360" w:lineRule="auto"/>
        <w:rPr>
          <w:rFonts w:ascii="Arial" w:hAnsi="Arial" w:cs="Arial"/>
          <w:color w:val="000000"/>
          <w:szCs w:val="18"/>
          <w:lang w:eastAsia="en-GB"/>
        </w:rPr>
      </w:pPr>
      <w:r w:rsidRPr="00FE66B0">
        <w:rPr>
          <w:rFonts w:ascii="Arial" w:hAnsi="Arial" w:cs="Arial"/>
          <w:color w:val="000000"/>
          <w:szCs w:val="18"/>
          <w:lang w:eastAsia="en-GB"/>
        </w:rPr>
        <w:t>The McCloud remedy window ran from 01 April 2015 to 31 March 2022. Eligible members will be able to elect which scheme they wish to receive benefits from for this period. Due to the differing benefits structures we expect the majority of eligible members to elect to take legacy scheme (1992 Scheme or 2006 Scheme) benefits for the remedy period.</w:t>
      </w:r>
    </w:p>
    <w:p w14:paraId="7E49764B" w14:textId="77777777" w:rsidR="006E7062" w:rsidRPr="00FE66B0" w:rsidRDefault="006E7062" w:rsidP="006F1659">
      <w:pPr>
        <w:spacing w:line="360" w:lineRule="auto"/>
        <w:rPr>
          <w:rFonts w:ascii="Arial" w:hAnsi="Arial" w:cs="Arial"/>
          <w:color w:val="000000"/>
          <w:szCs w:val="18"/>
          <w:lang w:eastAsia="en-GB"/>
        </w:rPr>
      </w:pPr>
    </w:p>
    <w:p w14:paraId="634C1BAC" w14:textId="77777777" w:rsidR="006E7062" w:rsidRPr="00FE66B0" w:rsidRDefault="006E7062" w:rsidP="006F1659">
      <w:pPr>
        <w:spacing w:line="360" w:lineRule="auto"/>
        <w:rPr>
          <w:rFonts w:ascii="Arial" w:hAnsi="Arial" w:cs="Arial"/>
          <w:color w:val="000000"/>
          <w:szCs w:val="18"/>
          <w:lang w:eastAsia="en-GB"/>
        </w:rPr>
      </w:pPr>
      <w:r w:rsidRPr="00FE66B0">
        <w:rPr>
          <w:rFonts w:ascii="Arial" w:hAnsi="Arial" w:cs="Arial"/>
          <w:color w:val="000000"/>
          <w:szCs w:val="18"/>
          <w:lang w:eastAsia="en-GB"/>
        </w:rPr>
        <w:t>An allowance for the McCloud remedy was first included in 2018/19 disclosures as a past service cost for four years remedy service from 2015-2019. This past service cost was attributed proportionally to the 1992 and 2006 schemes. For subsequent years to 2021/22 an allowance was made in the 2015 service costs for the annual accrual of additional remedy service.</w:t>
      </w:r>
    </w:p>
    <w:p w14:paraId="79CE7C35" w14:textId="77777777" w:rsidR="006E7062" w:rsidRPr="00FE66B0" w:rsidRDefault="006E7062" w:rsidP="006F1659">
      <w:pPr>
        <w:spacing w:line="360" w:lineRule="auto"/>
        <w:rPr>
          <w:rFonts w:ascii="Arial" w:hAnsi="Arial" w:cs="Arial"/>
          <w:color w:val="000000"/>
          <w:szCs w:val="18"/>
          <w:lang w:eastAsia="en-GB"/>
        </w:rPr>
      </w:pPr>
    </w:p>
    <w:p w14:paraId="35469164" w14:textId="77777777" w:rsidR="00FE66B0" w:rsidRPr="00FE66B0" w:rsidRDefault="00FE66B0" w:rsidP="00FE66B0">
      <w:pPr>
        <w:spacing w:line="360" w:lineRule="auto"/>
        <w:rPr>
          <w:rFonts w:ascii="Arial" w:hAnsi="Arial" w:cs="Arial"/>
          <w:color w:val="000000"/>
          <w:szCs w:val="18"/>
          <w:lang w:eastAsia="en-GB"/>
        </w:rPr>
      </w:pPr>
      <w:r w:rsidRPr="00FE66B0">
        <w:rPr>
          <w:rFonts w:ascii="Arial" w:hAnsi="Arial" w:cs="Arial"/>
          <w:color w:val="000000"/>
          <w:szCs w:val="18"/>
          <w:lang w:eastAsia="en-GB"/>
        </w:rPr>
        <w:t>Now that the remedy window is closed all McCloud related liabilities for eligible members for the period 2019 to 2022 have been moved to the associated legacy scheme. This means all McCloud liabilities are held with the legacy scheme we expect benefits to be paid from. In the 2022/23 disclosure, this led to a past service cost in the 1992 Scheme and 2006 Scheme and a past service gain in the 2015 Scheme.</w:t>
      </w:r>
    </w:p>
    <w:p w14:paraId="6F447D65" w14:textId="77777777" w:rsidR="00FE66B0" w:rsidRPr="00FE66B0" w:rsidRDefault="00FE66B0" w:rsidP="00FE66B0">
      <w:pPr>
        <w:spacing w:line="360" w:lineRule="auto"/>
        <w:rPr>
          <w:rFonts w:ascii="Arial" w:hAnsi="Arial" w:cs="Arial"/>
          <w:color w:val="000000"/>
          <w:szCs w:val="18"/>
          <w:lang w:eastAsia="en-GB"/>
        </w:rPr>
      </w:pPr>
    </w:p>
    <w:p w14:paraId="770443FD" w14:textId="318B8441" w:rsidR="006E7062" w:rsidRPr="00FE66B0" w:rsidRDefault="00FE66B0" w:rsidP="00FE66B0">
      <w:pPr>
        <w:spacing w:line="360" w:lineRule="auto"/>
        <w:rPr>
          <w:rFonts w:ascii="Arial" w:hAnsi="Arial" w:cs="Arial"/>
          <w:color w:val="000000"/>
          <w:szCs w:val="18"/>
          <w:lang w:eastAsia="en-GB"/>
        </w:rPr>
      </w:pPr>
      <w:r w:rsidRPr="00FE66B0">
        <w:rPr>
          <w:rFonts w:ascii="Arial" w:hAnsi="Arial" w:cs="Arial"/>
          <w:color w:val="000000"/>
          <w:szCs w:val="18"/>
          <w:lang w:eastAsia="en-GB"/>
        </w:rPr>
        <w:t>Contribution adjustments are now being carried out by administrators to ensure affected members have paid the correct contributions for this portion of service. Thes adjustments can be positive or negative, depending on which schemes a member is moving between. In the accounting disclosure at 31 March 2024, we have allowed for any contributions adjustment made during 2023/24 as a past service cost or gain.</w:t>
      </w:r>
    </w:p>
    <w:p w14:paraId="2B7D23B3" w14:textId="77777777" w:rsidR="00FE66B0" w:rsidRPr="00FE66B0" w:rsidRDefault="00FE66B0" w:rsidP="00FE66B0">
      <w:pPr>
        <w:spacing w:line="360" w:lineRule="auto"/>
        <w:rPr>
          <w:rFonts w:ascii="Arial" w:hAnsi="Arial" w:cs="Arial"/>
          <w:color w:val="000000"/>
          <w:szCs w:val="18"/>
          <w:lang w:eastAsia="en-GB"/>
        </w:rPr>
      </w:pPr>
    </w:p>
    <w:p w14:paraId="70647E35" w14:textId="1E80B731" w:rsidR="005A4DB9" w:rsidRPr="00FE66B0" w:rsidRDefault="005A4DB9" w:rsidP="006F1659">
      <w:pPr>
        <w:pStyle w:val="Heading5"/>
        <w:spacing w:line="360" w:lineRule="auto"/>
        <w:rPr>
          <w:lang w:eastAsia="en-GB"/>
        </w:rPr>
      </w:pPr>
      <w:r w:rsidRPr="00FE66B0">
        <w:rPr>
          <w:lang w:eastAsia="en-GB"/>
        </w:rPr>
        <w:t>Local Government Schemes</w:t>
      </w:r>
    </w:p>
    <w:p w14:paraId="6D1337DD" w14:textId="77777777" w:rsidR="00F52540" w:rsidRPr="00FE66B0" w:rsidRDefault="00F52540" w:rsidP="006F1659">
      <w:pPr>
        <w:spacing w:line="360" w:lineRule="auto"/>
        <w:rPr>
          <w:rFonts w:ascii="Arial" w:hAnsi="Arial" w:cs="Arial"/>
          <w:color w:val="000000"/>
          <w:sz w:val="22"/>
          <w:szCs w:val="16"/>
          <w:lang w:eastAsia="en-GB"/>
        </w:rPr>
      </w:pPr>
    </w:p>
    <w:p w14:paraId="265C1DB2" w14:textId="77777777" w:rsidR="00F52540" w:rsidRPr="00F52540" w:rsidRDefault="00F52540" w:rsidP="006F1659">
      <w:pPr>
        <w:spacing w:line="360" w:lineRule="auto"/>
        <w:rPr>
          <w:rFonts w:ascii="Arial" w:hAnsi="Arial" w:cs="Arial"/>
          <w:color w:val="000000"/>
          <w:szCs w:val="18"/>
          <w:lang w:eastAsia="en-GB"/>
        </w:rPr>
      </w:pPr>
      <w:bookmarkStart w:id="203" w:name="_Hlk139295578"/>
      <w:r w:rsidRPr="00FE66B0">
        <w:rPr>
          <w:rFonts w:ascii="Arial" w:hAnsi="Arial" w:cs="Arial"/>
          <w:color w:val="000000"/>
          <w:szCs w:val="18"/>
          <w:lang w:eastAsia="en-GB"/>
        </w:rPr>
        <w:t>The Actuary has allowed for the McCloud judgement in the calculation of the latest triennial funding valuation results as at 31 March 2022. The Employer’s triennial funding valuation results are used as the starting point for the accounting roll forward calculations and therefore an allowance is included in the balance sheet.</w:t>
      </w:r>
    </w:p>
    <w:bookmarkEnd w:id="203"/>
    <w:p w14:paraId="30675DC3" w14:textId="77777777" w:rsidR="00F52540" w:rsidRPr="00F52540" w:rsidRDefault="00F52540" w:rsidP="006F1659">
      <w:pPr>
        <w:spacing w:line="360" w:lineRule="auto"/>
        <w:rPr>
          <w:rFonts w:ascii="Arial" w:hAnsi="Arial" w:cs="Arial"/>
          <w:color w:val="000000"/>
          <w:sz w:val="22"/>
          <w:szCs w:val="16"/>
          <w:lang w:eastAsia="en-GB"/>
        </w:rPr>
      </w:pPr>
    </w:p>
    <w:p w14:paraId="13F2092F" w14:textId="77777777" w:rsidR="00F52540" w:rsidRDefault="00F52540" w:rsidP="006F1659">
      <w:pPr>
        <w:spacing w:line="360" w:lineRule="auto"/>
        <w:rPr>
          <w:rFonts w:ascii="Arial" w:hAnsi="Arial" w:cs="Arial"/>
          <w:color w:val="000000"/>
          <w:sz w:val="22"/>
          <w:szCs w:val="16"/>
          <w:highlight w:val="yellow"/>
          <w:lang w:eastAsia="en-GB"/>
        </w:rPr>
      </w:pPr>
    </w:p>
    <w:p w14:paraId="72802F40" w14:textId="77777777" w:rsidR="00F52540" w:rsidRDefault="00F52540" w:rsidP="006F1659">
      <w:pPr>
        <w:spacing w:line="360" w:lineRule="auto"/>
        <w:rPr>
          <w:rFonts w:ascii="Arial" w:hAnsi="Arial" w:cs="Arial"/>
          <w:color w:val="000000"/>
          <w:sz w:val="22"/>
          <w:szCs w:val="16"/>
          <w:highlight w:val="yellow"/>
          <w:lang w:eastAsia="en-GB"/>
        </w:rPr>
      </w:pPr>
    </w:p>
    <w:p w14:paraId="42E2870E" w14:textId="0B682595" w:rsidR="00F52540" w:rsidRPr="00914651" w:rsidRDefault="00F52540" w:rsidP="006F1659">
      <w:pPr>
        <w:spacing w:line="360" w:lineRule="auto"/>
        <w:rPr>
          <w:rFonts w:ascii="Arial" w:hAnsi="Arial" w:cs="Arial"/>
          <w:color w:val="000000"/>
          <w:sz w:val="22"/>
          <w:szCs w:val="16"/>
          <w:highlight w:val="yellow"/>
          <w:lang w:eastAsia="en-GB"/>
        </w:rPr>
        <w:sectPr w:rsidR="00F52540" w:rsidRPr="00914651" w:rsidSect="004833A2">
          <w:pgSz w:w="11906" w:h="16838"/>
          <w:pgMar w:top="1444" w:right="1416" w:bottom="1440" w:left="1080" w:header="568" w:footer="567" w:gutter="0"/>
          <w:cols w:space="708"/>
          <w:docGrid w:linePitch="360"/>
        </w:sectPr>
      </w:pPr>
    </w:p>
    <w:p w14:paraId="19EADBA3" w14:textId="4BF41F51" w:rsidR="009A1A83" w:rsidRPr="009A1A83" w:rsidRDefault="00FA2195" w:rsidP="006F1659">
      <w:pPr>
        <w:pStyle w:val="Heading4bold"/>
        <w:spacing w:line="360" w:lineRule="auto"/>
      </w:pPr>
      <w:r w:rsidRPr="00855296">
        <w:lastRenderedPageBreak/>
        <w:t>Comprehensive Income and Expenditure Statement</w:t>
      </w:r>
    </w:p>
    <w:p w14:paraId="65667D65" w14:textId="5964CAE8" w:rsidR="00D4492C" w:rsidRDefault="00016988" w:rsidP="006F1659">
      <w:pPr>
        <w:spacing w:line="360" w:lineRule="auto"/>
        <w:rPr>
          <w:rFonts w:ascii="Arial" w:hAnsi="Arial" w:cs="Arial"/>
          <w:sz w:val="22"/>
          <w:szCs w:val="22"/>
          <w:highlight w:val="yellow"/>
        </w:rPr>
      </w:pPr>
      <w:r w:rsidRPr="00016988">
        <w:rPr>
          <w:noProof/>
        </w:rPr>
        <w:drawing>
          <wp:inline distT="0" distB="0" distL="0" distR="0" wp14:anchorId="2BBA669F" wp14:editId="3C205A6F">
            <wp:extent cx="9177020" cy="2945130"/>
            <wp:effectExtent l="0" t="0" r="5080" b="7620"/>
            <wp:docPr id="1865191418" name="Pictur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91418" name="Picture 92">
                      <a:extLst>
                        <a:ext uri="{C183D7F6-B498-43B3-948B-1728B52AA6E4}">
                          <adec:decorative xmlns:adec="http://schemas.microsoft.com/office/drawing/2017/decorative" val="1"/>
                        </a:ext>
                      </a:extLst>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177020" cy="2945130"/>
                    </a:xfrm>
                    <a:prstGeom prst="rect">
                      <a:avLst/>
                    </a:prstGeom>
                    <a:noFill/>
                    <a:ln>
                      <a:noFill/>
                    </a:ln>
                  </pic:spPr>
                </pic:pic>
              </a:graphicData>
            </a:graphic>
          </wp:inline>
        </w:drawing>
      </w:r>
    </w:p>
    <w:p w14:paraId="4063F6F9" w14:textId="77777777" w:rsidR="00016988" w:rsidRPr="00914651" w:rsidRDefault="00016988" w:rsidP="006F1659">
      <w:pPr>
        <w:spacing w:line="360" w:lineRule="auto"/>
        <w:rPr>
          <w:rFonts w:ascii="Arial" w:hAnsi="Arial" w:cs="Arial"/>
          <w:sz w:val="22"/>
          <w:szCs w:val="22"/>
          <w:highlight w:val="yellow"/>
        </w:rPr>
      </w:pPr>
    </w:p>
    <w:p w14:paraId="2569FC45" w14:textId="77777777" w:rsidR="00FA2195" w:rsidRPr="00855296" w:rsidRDefault="00FA2195" w:rsidP="006F1659">
      <w:pPr>
        <w:pStyle w:val="Heading4bold"/>
        <w:spacing w:line="360" w:lineRule="auto"/>
      </w:pPr>
      <w:r w:rsidRPr="00855296">
        <w:t>Movement in Reserves Statement</w:t>
      </w:r>
    </w:p>
    <w:p w14:paraId="71AD0CCD" w14:textId="72464D1E" w:rsidR="00F20CA5" w:rsidRPr="00914651" w:rsidRDefault="00016988" w:rsidP="006F1659">
      <w:pPr>
        <w:spacing w:line="360" w:lineRule="auto"/>
        <w:jc w:val="both"/>
        <w:rPr>
          <w:rFonts w:ascii="Arial" w:hAnsi="Arial" w:cs="Arial"/>
          <w:b/>
          <w:sz w:val="22"/>
          <w:szCs w:val="22"/>
          <w:highlight w:val="yellow"/>
        </w:rPr>
      </w:pPr>
      <w:r w:rsidRPr="00016988">
        <w:rPr>
          <w:noProof/>
        </w:rPr>
        <w:drawing>
          <wp:inline distT="0" distB="0" distL="0" distR="0" wp14:anchorId="1AD91873" wp14:editId="403A289E">
            <wp:extent cx="9177020" cy="981710"/>
            <wp:effectExtent l="0" t="0" r="5080" b="8890"/>
            <wp:docPr id="1156232783" name="Pictur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232783" name="Picture 93">
                      <a:extLst>
                        <a:ext uri="{C183D7F6-B498-43B3-948B-1728B52AA6E4}">
                          <adec:decorative xmlns:adec="http://schemas.microsoft.com/office/drawing/2017/decorative" val="1"/>
                        </a:ext>
                      </a:extLst>
                    </pic:cNvP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9177020" cy="981710"/>
                    </a:xfrm>
                    <a:prstGeom prst="rect">
                      <a:avLst/>
                    </a:prstGeom>
                    <a:noFill/>
                    <a:ln>
                      <a:noFill/>
                    </a:ln>
                  </pic:spPr>
                </pic:pic>
              </a:graphicData>
            </a:graphic>
          </wp:inline>
        </w:drawing>
      </w:r>
    </w:p>
    <w:p w14:paraId="162857E7" w14:textId="77777777" w:rsidR="008D7ACA" w:rsidRPr="0007572B" w:rsidRDefault="008D7ACA" w:rsidP="006F1659">
      <w:pPr>
        <w:spacing w:line="360" w:lineRule="auto"/>
        <w:rPr>
          <w:rFonts w:ascii="Arial" w:hAnsi="Arial" w:cs="Arial"/>
          <w:b/>
          <w:sz w:val="22"/>
          <w:szCs w:val="22"/>
        </w:rPr>
      </w:pPr>
      <w:r w:rsidRPr="0007572B">
        <w:rPr>
          <w:rFonts w:ascii="Arial" w:hAnsi="Arial" w:cs="Arial"/>
          <w:b/>
          <w:sz w:val="22"/>
          <w:szCs w:val="22"/>
        </w:rPr>
        <w:br w:type="page"/>
      </w:r>
    </w:p>
    <w:p w14:paraId="16D0FEE0" w14:textId="1E71FDF5" w:rsidR="00FA2195" w:rsidRPr="00855296" w:rsidRDefault="00FA2195" w:rsidP="006F1659">
      <w:pPr>
        <w:pStyle w:val="Heading4bold"/>
        <w:spacing w:line="360" w:lineRule="auto"/>
      </w:pPr>
      <w:r w:rsidRPr="00855296">
        <w:lastRenderedPageBreak/>
        <w:t>Pensions Assets and Liabilities Recognised in the Balance Sheet</w:t>
      </w:r>
    </w:p>
    <w:p w14:paraId="6ACE8827" w14:textId="77777777" w:rsidR="00FA2195" w:rsidRPr="00855296" w:rsidRDefault="00FA2195" w:rsidP="006F1659">
      <w:pPr>
        <w:spacing w:line="360" w:lineRule="auto"/>
        <w:rPr>
          <w:rFonts w:ascii="Arial" w:hAnsi="Arial" w:cs="Arial"/>
        </w:rPr>
      </w:pPr>
      <w:r w:rsidRPr="00855296">
        <w:rPr>
          <w:rFonts w:ascii="Arial" w:hAnsi="Arial" w:cs="Arial"/>
        </w:rPr>
        <w:t>The amount included in the Balance Sheet arising from the Authority’s obligation in respect of its defined benefit plans is as follows:</w:t>
      </w:r>
    </w:p>
    <w:p w14:paraId="57324190" w14:textId="13189264" w:rsidR="00B91632" w:rsidRDefault="00016988" w:rsidP="006F1659">
      <w:pPr>
        <w:spacing w:line="360" w:lineRule="auto"/>
        <w:jc w:val="both"/>
        <w:rPr>
          <w:rFonts w:ascii="Arial" w:hAnsi="Arial" w:cs="Arial"/>
          <w:sz w:val="22"/>
          <w:szCs w:val="22"/>
        </w:rPr>
      </w:pPr>
      <w:r w:rsidRPr="00016988">
        <w:rPr>
          <w:noProof/>
        </w:rPr>
        <w:drawing>
          <wp:inline distT="0" distB="0" distL="0" distR="0" wp14:anchorId="79A79161" wp14:editId="12351C81">
            <wp:extent cx="9177020" cy="828675"/>
            <wp:effectExtent l="0" t="0" r="5080" b="9525"/>
            <wp:docPr id="1815068327" name="Pictur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068327" name="Picture 94">
                      <a:extLst>
                        <a:ext uri="{C183D7F6-B498-43B3-948B-1728B52AA6E4}">
                          <adec:decorative xmlns:adec="http://schemas.microsoft.com/office/drawing/2017/decorative" val="1"/>
                        </a:ext>
                      </a:extLst>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177020" cy="828675"/>
                    </a:xfrm>
                    <a:prstGeom prst="rect">
                      <a:avLst/>
                    </a:prstGeom>
                    <a:noFill/>
                    <a:ln>
                      <a:noFill/>
                    </a:ln>
                  </pic:spPr>
                </pic:pic>
              </a:graphicData>
            </a:graphic>
          </wp:inline>
        </w:drawing>
      </w:r>
    </w:p>
    <w:p w14:paraId="622955D0" w14:textId="77777777" w:rsidR="00016988" w:rsidRPr="00855296" w:rsidRDefault="00016988" w:rsidP="006F1659">
      <w:pPr>
        <w:spacing w:line="360" w:lineRule="auto"/>
        <w:jc w:val="both"/>
        <w:rPr>
          <w:rFonts w:ascii="Arial" w:hAnsi="Arial" w:cs="Arial"/>
          <w:b/>
          <w:sz w:val="22"/>
          <w:szCs w:val="22"/>
        </w:rPr>
      </w:pPr>
    </w:p>
    <w:p w14:paraId="29F2643B" w14:textId="5163025A" w:rsidR="00F20CA5" w:rsidRPr="00855296" w:rsidRDefault="00B91632" w:rsidP="006F1659">
      <w:pPr>
        <w:pStyle w:val="Heading4bold"/>
        <w:spacing w:line="360" w:lineRule="auto"/>
      </w:pPr>
      <w:r w:rsidRPr="00855296">
        <w:t>R</w:t>
      </w:r>
      <w:r w:rsidR="00F20CA5" w:rsidRPr="00855296">
        <w:t>econciliation of the present value of the scheme liabilities (Defined Benefit Obligations)</w:t>
      </w:r>
    </w:p>
    <w:p w14:paraId="3AA47B2E" w14:textId="4079E22A" w:rsidR="00874A97" w:rsidRDefault="00016988" w:rsidP="006F1659">
      <w:pPr>
        <w:spacing w:line="360" w:lineRule="auto"/>
        <w:rPr>
          <w:rFonts w:ascii="Arial" w:hAnsi="Arial" w:cs="Arial"/>
          <w:b/>
          <w:bCs/>
        </w:rPr>
      </w:pPr>
      <w:r w:rsidRPr="00016988">
        <w:rPr>
          <w:noProof/>
        </w:rPr>
        <w:drawing>
          <wp:inline distT="0" distB="0" distL="0" distR="0" wp14:anchorId="50D0E2D9" wp14:editId="1A9331F2">
            <wp:extent cx="9177020" cy="1945640"/>
            <wp:effectExtent l="0" t="0" r="5080" b="0"/>
            <wp:docPr id="1677172520" name="Pictur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172520" name="Picture 95">
                      <a:extLst>
                        <a:ext uri="{C183D7F6-B498-43B3-948B-1728B52AA6E4}">
                          <adec:decorative xmlns:adec="http://schemas.microsoft.com/office/drawing/2017/decorative" val="1"/>
                        </a:ext>
                      </a:extLst>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9177020" cy="1945640"/>
                    </a:xfrm>
                    <a:prstGeom prst="rect">
                      <a:avLst/>
                    </a:prstGeom>
                    <a:noFill/>
                    <a:ln>
                      <a:noFill/>
                    </a:ln>
                  </pic:spPr>
                </pic:pic>
              </a:graphicData>
            </a:graphic>
          </wp:inline>
        </w:drawing>
      </w:r>
      <w:r w:rsidR="00874A97">
        <w:br w:type="page"/>
      </w:r>
    </w:p>
    <w:p w14:paraId="23ED6194" w14:textId="5B8C9106" w:rsidR="00F20CA5" w:rsidRPr="00855296" w:rsidRDefault="00F20CA5" w:rsidP="006F1659">
      <w:pPr>
        <w:pStyle w:val="Heading4bold"/>
        <w:spacing w:line="360" w:lineRule="auto"/>
      </w:pPr>
      <w:r w:rsidRPr="00855296">
        <w:lastRenderedPageBreak/>
        <w:t>Reconciliation of movements in the fair value of the scheme assets</w:t>
      </w:r>
    </w:p>
    <w:p w14:paraId="74BECF23" w14:textId="54AD3970" w:rsidR="00B070AC" w:rsidRPr="0007572B" w:rsidRDefault="00016988" w:rsidP="006F1659">
      <w:pPr>
        <w:spacing w:line="360" w:lineRule="auto"/>
        <w:jc w:val="both"/>
        <w:rPr>
          <w:rFonts w:ascii="Arial" w:hAnsi="Arial" w:cs="Arial"/>
          <w:sz w:val="22"/>
          <w:szCs w:val="22"/>
        </w:rPr>
      </w:pPr>
      <w:r w:rsidRPr="00016988">
        <w:rPr>
          <w:noProof/>
        </w:rPr>
        <w:drawing>
          <wp:inline distT="0" distB="0" distL="0" distR="0" wp14:anchorId="37C2B663" wp14:editId="1BEFC36B">
            <wp:extent cx="5964555" cy="1695450"/>
            <wp:effectExtent l="0" t="0" r="0" b="0"/>
            <wp:docPr id="765930885" name="Pictur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930885" name="Picture 97">
                      <a:extLst>
                        <a:ext uri="{C183D7F6-B498-43B3-948B-1728B52AA6E4}">
                          <adec:decorative xmlns:adec="http://schemas.microsoft.com/office/drawing/2017/decorative" val="1"/>
                        </a:ext>
                      </a:extLst>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964555" cy="1695450"/>
                    </a:xfrm>
                    <a:prstGeom prst="rect">
                      <a:avLst/>
                    </a:prstGeom>
                    <a:noFill/>
                    <a:ln>
                      <a:noFill/>
                    </a:ln>
                  </pic:spPr>
                </pic:pic>
              </a:graphicData>
            </a:graphic>
          </wp:inline>
        </w:drawing>
      </w:r>
    </w:p>
    <w:p w14:paraId="46BBDE96" w14:textId="77777777" w:rsidR="006A27AB" w:rsidRPr="0007572B" w:rsidRDefault="006A27AB" w:rsidP="006F1659">
      <w:pPr>
        <w:spacing w:line="360" w:lineRule="auto"/>
        <w:jc w:val="both"/>
        <w:rPr>
          <w:rFonts w:ascii="Arial" w:hAnsi="Arial" w:cs="Arial"/>
          <w:sz w:val="22"/>
          <w:szCs w:val="22"/>
        </w:rPr>
      </w:pPr>
    </w:p>
    <w:p w14:paraId="10D050FA" w14:textId="4A46FC76" w:rsidR="00016988" w:rsidRDefault="00F97A29" w:rsidP="00016988">
      <w:pPr>
        <w:pStyle w:val="Heading4bold"/>
        <w:spacing w:line="360" w:lineRule="auto"/>
      </w:pPr>
      <w:r w:rsidRPr="00855296">
        <w:t>Local Government Pension Scheme assets comprised:</w:t>
      </w:r>
    </w:p>
    <w:p w14:paraId="1F70ED29" w14:textId="20B58F7F" w:rsidR="00016988" w:rsidRDefault="00016988" w:rsidP="006F1659">
      <w:pPr>
        <w:spacing w:line="360" w:lineRule="auto"/>
        <w:jc w:val="both"/>
        <w:rPr>
          <w:rFonts w:ascii="Arial" w:hAnsi="Arial" w:cs="Arial"/>
          <w:sz w:val="22"/>
          <w:szCs w:val="22"/>
        </w:rPr>
      </w:pPr>
      <w:r w:rsidRPr="00016988">
        <w:rPr>
          <w:noProof/>
        </w:rPr>
        <w:drawing>
          <wp:inline distT="0" distB="0" distL="0" distR="0" wp14:anchorId="524C9227" wp14:editId="16D61EEC">
            <wp:extent cx="9177020" cy="2997835"/>
            <wp:effectExtent l="0" t="0" r="5080" b="0"/>
            <wp:docPr id="922484726" name="Pictur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484726" name="Picture 98">
                      <a:extLst>
                        <a:ext uri="{C183D7F6-B498-43B3-948B-1728B52AA6E4}">
                          <adec:decorative xmlns:adec="http://schemas.microsoft.com/office/drawing/2017/decorative" val="1"/>
                        </a:ext>
                      </a:extLst>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9177020" cy="2997835"/>
                    </a:xfrm>
                    <a:prstGeom prst="rect">
                      <a:avLst/>
                    </a:prstGeom>
                    <a:noFill/>
                    <a:ln>
                      <a:noFill/>
                    </a:ln>
                  </pic:spPr>
                </pic:pic>
              </a:graphicData>
            </a:graphic>
          </wp:inline>
        </w:drawing>
      </w:r>
    </w:p>
    <w:p w14:paraId="7B2908D7" w14:textId="1B7CA194" w:rsidR="00133863" w:rsidRDefault="00133863" w:rsidP="006F1659">
      <w:pPr>
        <w:spacing w:line="360" w:lineRule="auto"/>
        <w:rPr>
          <w:rFonts w:ascii="Arial" w:hAnsi="Arial" w:cs="Arial"/>
        </w:rPr>
      </w:pPr>
      <w:r w:rsidRPr="00016988">
        <w:rPr>
          <w:rFonts w:ascii="Arial" w:hAnsi="Arial" w:cs="Arial"/>
        </w:rPr>
        <w:lastRenderedPageBreak/>
        <w:t>The total assets of £3</w:t>
      </w:r>
      <w:r w:rsidR="00016988" w:rsidRPr="00016988">
        <w:rPr>
          <w:rFonts w:ascii="Arial" w:hAnsi="Arial" w:cs="Arial"/>
        </w:rPr>
        <w:t>27,916</w:t>
      </w:r>
      <w:r w:rsidRPr="00016988">
        <w:rPr>
          <w:rFonts w:ascii="Arial" w:hAnsi="Arial" w:cs="Arial"/>
        </w:rPr>
        <w:t>k in the table above do not match the closing fair value of scheme assets in the Reconciliation of Movements in Fair Value of the Scheme Assets table. The variance of £</w:t>
      </w:r>
      <w:r w:rsidR="00016988" w:rsidRPr="00016988">
        <w:rPr>
          <w:rFonts w:ascii="Arial" w:hAnsi="Arial" w:cs="Arial"/>
        </w:rPr>
        <w:t>102,077k</w:t>
      </w:r>
      <w:r w:rsidRPr="00016988">
        <w:rPr>
          <w:rFonts w:ascii="Arial" w:hAnsi="Arial" w:cs="Arial"/>
        </w:rPr>
        <w:t xml:space="preserve"> is due to the effect of applying the asset ceiling.</w:t>
      </w:r>
    </w:p>
    <w:p w14:paraId="277F592B" w14:textId="77777777" w:rsidR="00874A97" w:rsidRDefault="00874A97" w:rsidP="006F1659">
      <w:pPr>
        <w:spacing w:line="360" w:lineRule="auto"/>
        <w:rPr>
          <w:rFonts w:ascii="Arial" w:hAnsi="Arial" w:cs="Arial"/>
        </w:rPr>
      </w:pPr>
    </w:p>
    <w:p w14:paraId="411F3253" w14:textId="77777777" w:rsidR="00874A97" w:rsidRPr="00641FB1" w:rsidRDefault="00874A97" w:rsidP="006F1659">
      <w:pPr>
        <w:spacing w:line="360" w:lineRule="auto"/>
        <w:rPr>
          <w:rFonts w:ascii="Arial" w:hAnsi="Arial" w:cs="Arial"/>
        </w:rPr>
        <w:sectPr w:rsidR="00874A97" w:rsidRPr="00641FB1" w:rsidSect="004833A2">
          <w:pgSz w:w="16838" w:h="11906" w:orient="landscape"/>
          <w:pgMar w:top="1080" w:right="946" w:bottom="1276" w:left="1440" w:header="283" w:footer="567" w:gutter="0"/>
          <w:cols w:space="708"/>
          <w:docGrid w:linePitch="360"/>
        </w:sectPr>
      </w:pPr>
    </w:p>
    <w:p w14:paraId="3FEFD8CF" w14:textId="77777777" w:rsidR="00E27F3B" w:rsidRPr="00133863" w:rsidRDefault="00727FB0" w:rsidP="006F1659">
      <w:pPr>
        <w:pStyle w:val="Heading4bold"/>
        <w:spacing w:line="360" w:lineRule="auto"/>
      </w:pPr>
      <w:r w:rsidRPr="00133863">
        <w:lastRenderedPageBreak/>
        <w:t>Bas</w:t>
      </w:r>
      <w:r w:rsidR="00E27F3B" w:rsidRPr="00133863">
        <w:t>is for Estimating Assets and Liabilities</w:t>
      </w:r>
    </w:p>
    <w:p w14:paraId="6F5D4893" w14:textId="4E6A941A" w:rsidR="00E27F3B" w:rsidRPr="00133863" w:rsidRDefault="00E27F3B" w:rsidP="006F1659">
      <w:pPr>
        <w:spacing w:line="360" w:lineRule="auto"/>
        <w:rPr>
          <w:rFonts w:ascii="Arial" w:hAnsi="Arial" w:cs="Arial"/>
        </w:rPr>
      </w:pPr>
      <w:r w:rsidRPr="00133863">
        <w:rPr>
          <w:rFonts w:ascii="Arial" w:hAnsi="Arial" w:cs="Arial"/>
        </w:rPr>
        <w:t xml:space="preserve">Liabilities have been assessed on an actuarial basis using the projected unit </w:t>
      </w:r>
      <w:r w:rsidR="005A4DB9" w:rsidRPr="00133863">
        <w:rPr>
          <w:rFonts w:ascii="Arial" w:hAnsi="Arial" w:cs="Arial"/>
        </w:rPr>
        <w:t xml:space="preserve">credit </w:t>
      </w:r>
      <w:r w:rsidRPr="00133863">
        <w:rPr>
          <w:rFonts w:ascii="Arial" w:hAnsi="Arial" w:cs="Arial"/>
        </w:rPr>
        <w:t>method, an estimate of the pensions that will be payable in future years dependent on assumptions about mortality rates, salary levels etc.</w:t>
      </w:r>
    </w:p>
    <w:p w14:paraId="68B62543" w14:textId="77777777" w:rsidR="00E27F3B" w:rsidRPr="00133863" w:rsidRDefault="00E27F3B" w:rsidP="006F1659">
      <w:pPr>
        <w:spacing w:line="360" w:lineRule="auto"/>
        <w:rPr>
          <w:rFonts w:ascii="Arial" w:hAnsi="Arial" w:cs="Arial"/>
        </w:rPr>
      </w:pPr>
    </w:p>
    <w:p w14:paraId="6CC39DA5" w14:textId="780048E1" w:rsidR="002E7A9F" w:rsidRPr="00133863" w:rsidRDefault="002E7A9F" w:rsidP="006F1659">
      <w:pPr>
        <w:spacing w:line="360" w:lineRule="auto"/>
        <w:rPr>
          <w:rFonts w:ascii="Arial" w:hAnsi="Arial" w:cs="Arial"/>
        </w:rPr>
      </w:pPr>
      <w:bookmarkStart w:id="204" w:name="_Hlk109202978"/>
      <w:r w:rsidRPr="00FE66B0">
        <w:rPr>
          <w:rFonts w:ascii="Arial" w:hAnsi="Arial" w:cs="Arial"/>
        </w:rPr>
        <w:t xml:space="preserve">The Local Government Pension Scheme liabilities have been estimated by Hymans Robertson LLP, an independent firm of actuaries, estimates being based on the latest full </w:t>
      </w:r>
      <w:r w:rsidR="00931CD4" w:rsidRPr="00FE66B0">
        <w:rPr>
          <w:rFonts w:ascii="Arial" w:hAnsi="Arial" w:cs="Arial"/>
        </w:rPr>
        <w:t xml:space="preserve">triennial </w:t>
      </w:r>
      <w:r w:rsidRPr="00FE66B0">
        <w:rPr>
          <w:rFonts w:ascii="Arial" w:hAnsi="Arial" w:cs="Arial"/>
        </w:rPr>
        <w:t>valuation of the scheme as at 31 March 20</w:t>
      </w:r>
      <w:r w:rsidR="00B91126" w:rsidRPr="00FE66B0">
        <w:rPr>
          <w:rFonts w:ascii="Arial" w:hAnsi="Arial" w:cs="Arial"/>
        </w:rPr>
        <w:t>2</w:t>
      </w:r>
      <w:r w:rsidR="00970BA2" w:rsidRPr="00FE66B0">
        <w:rPr>
          <w:rFonts w:ascii="Arial" w:hAnsi="Arial" w:cs="Arial"/>
        </w:rPr>
        <w:t>2</w:t>
      </w:r>
      <w:r w:rsidRPr="00FE66B0">
        <w:rPr>
          <w:rFonts w:ascii="Arial" w:hAnsi="Arial" w:cs="Arial"/>
        </w:rPr>
        <w:t xml:space="preserve">. The Firefighters’ Pension Scheme liabilities have been assessed by the Government Actuary’s Department (GAD) based on data supplied for the </w:t>
      </w:r>
      <w:r w:rsidR="0082510F" w:rsidRPr="00FE66B0">
        <w:rPr>
          <w:rFonts w:ascii="Arial" w:hAnsi="Arial" w:cs="Arial"/>
        </w:rPr>
        <w:t xml:space="preserve">31 March </w:t>
      </w:r>
      <w:r w:rsidRPr="00FE66B0">
        <w:rPr>
          <w:rFonts w:ascii="Arial" w:hAnsi="Arial" w:cs="Arial"/>
        </w:rPr>
        <w:t>202</w:t>
      </w:r>
      <w:r w:rsidR="004C7CAF" w:rsidRPr="00FE66B0">
        <w:rPr>
          <w:rFonts w:ascii="Arial" w:hAnsi="Arial" w:cs="Arial"/>
        </w:rPr>
        <w:t>0</w:t>
      </w:r>
      <w:r w:rsidRPr="00FE66B0">
        <w:rPr>
          <w:rFonts w:ascii="Arial" w:hAnsi="Arial" w:cs="Arial"/>
        </w:rPr>
        <w:t xml:space="preserve"> </w:t>
      </w:r>
      <w:r w:rsidR="00931CD4" w:rsidRPr="00FE66B0">
        <w:rPr>
          <w:rFonts w:ascii="Arial" w:hAnsi="Arial" w:cs="Arial"/>
        </w:rPr>
        <w:t xml:space="preserve">full </w:t>
      </w:r>
      <w:r w:rsidRPr="00FE66B0">
        <w:rPr>
          <w:rFonts w:ascii="Arial" w:hAnsi="Arial" w:cs="Arial"/>
        </w:rPr>
        <w:t>valuation.</w:t>
      </w:r>
    </w:p>
    <w:bookmarkEnd w:id="204"/>
    <w:p w14:paraId="27B82789" w14:textId="77777777" w:rsidR="00E27F3B" w:rsidRPr="00133863" w:rsidRDefault="00E27F3B" w:rsidP="006F1659">
      <w:pPr>
        <w:spacing w:line="360" w:lineRule="auto"/>
        <w:rPr>
          <w:rFonts w:ascii="Arial" w:hAnsi="Arial" w:cs="Arial"/>
        </w:rPr>
      </w:pPr>
    </w:p>
    <w:p w14:paraId="5ED16F89" w14:textId="46088DD0" w:rsidR="00E27F3B" w:rsidRPr="00133863" w:rsidRDefault="00E27F3B" w:rsidP="006F1659">
      <w:pPr>
        <w:spacing w:line="360" w:lineRule="auto"/>
        <w:rPr>
          <w:rFonts w:ascii="Arial" w:hAnsi="Arial" w:cs="Arial"/>
        </w:rPr>
      </w:pPr>
      <w:r w:rsidRPr="00133863">
        <w:rPr>
          <w:rFonts w:ascii="Arial" w:hAnsi="Arial" w:cs="Arial"/>
        </w:rPr>
        <w:t>The significant assumptions used by the actuary have been:</w:t>
      </w:r>
    </w:p>
    <w:p w14:paraId="51354B83" w14:textId="049ED076" w:rsidR="002558A0" w:rsidRPr="00914651" w:rsidRDefault="002558A0" w:rsidP="006F1659">
      <w:pPr>
        <w:spacing w:line="360" w:lineRule="auto"/>
        <w:rPr>
          <w:rFonts w:ascii="Arial" w:hAnsi="Arial" w:cs="Arial"/>
          <w:highlight w:val="yellow"/>
        </w:rPr>
      </w:pPr>
    </w:p>
    <w:p w14:paraId="5BAFF99C" w14:textId="35235FB5" w:rsidR="002558A0" w:rsidRPr="00914651" w:rsidRDefault="00E53BF8" w:rsidP="006F1659">
      <w:pPr>
        <w:spacing w:line="360" w:lineRule="auto"/>
        <w:rPr>
          <w:rFonts w:ascii="Arial" w:hAnsi="Arial" w:cs="Arial"/>
          <w:highlight w:val="yellow"/>
        </w:rPr>
      </w:pPr>
      <w:r w:rsidRPr="00E53BF8">
        <w:rPr>
          <w:noProof/>
        </w:rPr>
        <w:drawing>
          <wp:inline distT="0" distB="0" distL="0" distR="0" wp14:anchorId="66AE7516" wp14:editId="3D7C4880">
            <wp:extent cx="5975350" cy="1281430"/>
            <wp:effectExtent l="0" t="0" r="6350" b="0"/>
            <wp:docPr id="793837516" name="Pictur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37516" name="Picture 99">
                      <a:extLst>
                        <a:ext uri="{C183D7F6-B498-43B3-948B-1728B52AA6E4}">
                          <adec:decorative xmlns:adec="http://schemas.microsoft.com/office/drawing/2017/decorative" val="1"/>
                        </a:ext>
                      </a:extLst>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975350" cy="1281430"/>
                    </a:xfrm>
                    <a:prstGeom prst="rect">
                      <a:avLst/>
                    </a:prstGeom>
                    <a:noFill/>
                    <a:ln>
                      <a:noFill/>
                    </a:ln>
                  </pic:spPr>
                </pic:pic>
              </a:graphicData>
            </a:graphic>
          </wp:inline>
        </w:drawing>
      </w:r>
    </w:p>
    <w:p w14:paraId="594C5F25" w14:textId="0C742C24" w:rsidR="008D077F" w:rsidRPr="00914651" w:rsidRDefault="008D077F" w:rsidP="006F1659">
      <w:pPr>
        <w:spacing w:line="360" w:lineRule="auto"/>
        <w:rPr>
          <w:rFonts w:ascii="Arial" w:hAnsi="Arial" w:cs="Arial"/>
          <w:b/>
          <w:sz w:val="22"/>
          <w:szCs w:val="22"/>
          <w:highlight w:val="yellow"/>
        </w:rPr>
      </w:pPr>
    </w:p>
    <w:p w14:paraId="679B0A39" w14:textId="77777777" w:rsidR="00E27F3B" w:rsidRPr="00133863" w:rsidRDefault="00E27F3B" w:rsidP="006F1659">
      <w:pPr>
        <w:spacing w:line="360" w:lineRule="auto"/>
        <w:rPr>
          <w:rFonts w:ascii="Arial" w:hAnsi="Arial" w:cs="Arial"/>
        </w:rPr>
      </w:pPr>
      <w:r w:rsidRPr="00133863">
        <w:rPr>
          <w:rFonts w:ascii="Arial" w:hAnsi="Arial" w:cs="Arial"/>
        </w:rPr>
        <w:t>*Life Expectancy is based on the Fund’s VitaCurves.</w:t>
      </w:r>
    </w:p>
    <w:p w14:paraId="41E42C16" w14:textId="77777777" w:rsidR="00E27F3B" w:rsidRPr="00133863" w:rsidRDefault="00E27F3B" w:rsidP="006F1659">
      <w:pPr>
        <w:spacing w:line="360" w:lineRule="auto"/>
        <w:rPr>
          <w:rFonts w:ascii="Arial" w:hAnsi="Arial" w:cs="Arial"/>
        </w:rPr>
      </w:pPr>
    </w:p>
    <w:p w14:paraId="5AB7BF88" w14:textId="77777777" w:rsidR="00133863" w:rsidRPr="00133863" w:rsidRDefault="00133863" w:rsidP="006F1659">
      <w:pPr>
        <w:spacing w:line="360" w:lineRule="auto"/>
        <w:rPr>
          <w:rFonts w:ascii="Arial" w:hAnsi="Arial" w:cs="Arial"/>
          <w:strike/>
        </w:rPr>
      </w:pPr>
      <w:r w:rsidRPr="00133863">
        <w:rPr>
          <w:rFonts w:ascii="Arial" w:hAnsi="Arial" w:cs="Arial"/>
        </w:rPr>
        <w:t xml:space="preserve">An allowance is included for future retirements to elect to take 50% of the maximum additional tax-free cash up to the HMRC limits. </w:t>
      </w:r>
    </w:p>
    <w:p w14:paraId="58F44804" w14:textId="77777777" w:rsidR="00E27F3B" w:rsidRPr="00133863" w:rsidRDefault="00E27F3B" w:rsidP="006F1659">
      <w:pPr>
        <w:spacing w:line="360" w:lineRule="auto"/>
        <w:rPr>
          <w:rFonts w:ascii="Arial" w:hAnsi="Arial" w:cs="Arial"/>
        </w:rPr>
      </w:pPr>
    </w:p>
    <w:p w14:paraId="2E7BB1EC" w14:textId="52E085BE" w:rsidR="00E27F3B" w:rsidRPr="00133863" w:rsidRDefault="00E27F3B" w:rsidP="006F1659">
      <w:pPr>
        <w:spacing w:line="360" w:lineRule="auto"/>
        <w:rPr>
          <w:rFonts w:ascii="Arial" w:hAnsi="Arial" w:cs="Arial"/>
        </w:rPr>
      </w:pPr>
      <w:r w:rsidRPr="00133863">
        <w:rPr>
          <w:rFonts w:ascii="Arial" w:hAnsi="Arial" w:cs="Arial"/>
        </w:rPr>
        <w:t>The estimation of the defined benefit obligations is sensitive to the actuarial assumptions set out in the table above. The sensitivity analyses below have been determined based on reasonably possible changes of the assumptions occurring at the end of the reporting period and assumes for each change that the assumption analysed changes while all the other assumptions remain constant. The assumptions in longevity, for example, assume that life expectancy increases or decreases for men and women. In practice, this is unlikely to occur, and changes in some assumptions may be interrelated. The estimations in the sensitivity analysis have followed the accounting policies for the scheme, i.e. on an actuarial basis using the projected unit credit method. The methods and types of assumptions used in preparing the sensitivity analysis below did not change from those used in the previous period.</w:t>
      </w:r>
    </w:p>
    <w:p w14:paraId="0A779C4C" w14:textId="77777777" w:rsidR="005F371A" w:rsidRPr="00133863" w:rsidRDefault="005F371A" w:rsidP="006F1659">
      <w:pPr>
        <w:spacing w:line="360" w:lineRule="auto"/>
        <w:rPr>
          <w:rFonts w:ascii="Arial" w:hAnsi="Arial" w:cs="Arial"/>
        </w:rPr>
      </w:pPr>
    </w:p>
    <w:p w14:paraId="0FE5D567" w14:textId="72076F53" w:rsidR="008D077F" w:rsidRPr="00B7710C" w:rsidRDefault="00E27F3B" w:rsidP="006F1659">
      <w:pPr>
        <w:pStyle w:val="Heading4bold"/>
        <w:spacing w:line="360" w:lineRule="auto"/>
      </w:pPr>
      <w:r w:rsidRPr="00133863">
        <w:t>Sensitivity Analysis</w:t>
      </w:r>
    </w:p>
    <w:p w14:paraId="4BE6CAE7" w14:textId="0236912C" w:rsidR="00B91126" w:rsidRPr="0007572B" w:rsidRDefault="00E53BF8" w:rsidP="006F1659">
      <w:pPr>
        <w:spacing w:line="360" w:lineRule="auto"/>
        <w:rPr>
          <w:rFonts w:ascii="Arial" w:hAnsi="Arial" w:cs="Arial"/>
          <w:b/>
          <w:sz w:val="22"/>
          <w:szCs w:val="22"/>
        </w:rPr>
      </w:pPr>
      <w:r w:rsidRPr="00E53BF8">
        <w:rPr>
          <w:noProof/>
        </w:rPr>
        <w:drawing>
          <wp:inline distT="0" distB="0" distL="0" distR="0" wp14:anchorId="7955E6E5" wp14:editId="2A1C32D0">
            <wp:extent cx="5975350" cy="1143000"/>
            <wp:effectExtent l="0" t="0" r="6350" b="0"/>
            <wp:docPr id="825432534" name="Pictur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432534" name="Picture 100">
                      <a:extLst>
                        <a:ext uri="{C183D7F6-B498-43B3-948B-1728B52AA6E4}">
                          <adec:decorative xmlns:adec="http://schemas.microsoft.com/office/drawing/2017/decorative" val="1"/>
                        </a:ext>
                      </a:extLst>
                    </pic:cNvPr>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975350" cy="1143000"/>
                    </a:xfrm>
                    <a:prstGeom prst="rect">
                      <a:avLst/>
                    </a:prstGeom>
                    <a:noFill/>
                    <a:ln>
                      <a:noFill/>
                    </a:ln>
                  </pic:spPr>
                </pic:pic>
              </a:graphicData>
            </a:graphic>
          </wp:inline>
        </w:drawing>
      </w:r>
    </w:p>
    <w:p w14:paraId="70639844" w14:textId="77777777" w:rsidR="00855296" w:rsidRDefault="00855296" w:rsidP="006F1659">
      <w:pPr>
        <w:spacing w:line="360" w:lineRule="auto"/>
        <w:rPr>
          <w:rFonts w:ascii="Arial" w:hAnsi="Arial" w:cs="Arial"/>
        </w:rPr>
      </w:pPr>
    </w:p>
    <w:p w14:paraId="53F15253" w14:textId="63EAEC05" w:rsidR="00E53BF8" w:rsidRDefault="00E53BF8" w:rsidP="006F1659">
      <w:pPr>
        <w:spacing w:line="360" w:lineRule="auto"/>
        <w:rPr>
          <w:rFonts w:ascii="Arial" w:hAnsi="Arial" w:cs="Arial"/>
        </w:rPr>
      </w:pPr>
      <w:r w:rsidRPr="00E53BF8">
        <w:rPr>
          <w:noProof/>
        </w:rPr>
        <w:drawing>
          <wp:inline distT="0" distB="0" distL="0" distR="0" wp14:anchorId="2AF28672" wp14:editId="2F6CF08B">
            <wp:extent cx="5975350" cy="1136650"/>
            <wp:effectExtent l="0" t="0" r="6350" b="6350"/>
            <wp:docPr id="2115994515" name="Picture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994515" name="Picture 101">
                      <a:extLst>
                        <a:ext uri="{C183D7F6-B498-43B3-948B-1728B52AA6E4}">
                          <adec:decorative xmlns:adec="http://schemas.microsoft.com/office/drawing/2017/decorative" val="1"/>
                        </a:ext>
                      </a:extLst>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975350" cy="1136650"/>
                    </a:xfrm>
                    <a:prstGeom prst="rect">
                      <a:avLst/>
                    </a:prstGeom>
                    <a:noFill/>
                    <a:ln>
                      <a:noFill/>
                    </a:ln>
                  </pic:spPr>
                </pic:pic>
              </a:graphicData>
            </a:graphic>
          </wp:inline>
        </w:drawing>
      </w:r>
    </w:p>
    <w:p w14:paraId="426AADE2" w14:textId="77777777" w:rsidR="00E53BF8" w:rsidRDefault="00E53BF8" w:rsidP="006F1659">
      <w:pPr>
        <w:spacing w:line="360" w:lineRule="auto"/>
        <w:rPr>
          <w:rFonts w:ascii="Arial" w:hAnsi="Arial" w:cs="Arial"/>
        </w:rPr>
      </w:pPr>
    </w:p>
    <w:p w14:paraId="26A77000" w14:textId="2CCDC85E" w:rsidR="00E27F3B" w:rsidRPr="00BF1C95" w:rsidRDefault="00CE7425" w:rsidP="006F1659">
      <w:pPr>
        <w:spacing w:line="360" w:lineRule="auto"/>
        <w:rPr>
          <w:rFonts w:ascii="Arial" w:hAnsi="Arial" w:cs="Arial"/>
        </w:rPr>
      </w:pPr>
      <w:r w:rsidRPr="00BF1C95">
        <w:rPr>
          <w:rFonts w:ascii="Arial" w:hAnsi="Arial" w:cs="Arial"/>
        </w:rPr>
        <w:t xml:space="preserve">As at the date of the most recent valuation, the duration of the Employer’s funded liabilities is </w:t>
      </w:r>
      <w:r w:rsidR="00133863" w:rsidRPr="00BF1C95">
        <w:rPr>
          <w:rFonts w:ascii="Arial" w:hAnsi="Arial" w:cs="Arial"/>
        </w:rPr>
        <w:t xml:space="preserve">19 </w:t>
      </w:r>
      <w:r w:rsidRPr="00BF1C95">
        <w:rPr>
          <w:rFonts w:ascii="Arial" w:hAnsi="Arial" w:cs="Arial"/>
        </w:rPr>
        <w:t>years</w:t>
      </w:r>
      <w:r w:rsidR="00E27F3B" w:rsidRPr="00BF1C95">
        <w:rPr>
          <w:rFonts w:ascii="Arial" w:hAnsi="Arial" w:cs="Arial"/>
        </w:rPr>
        <w:t>.</w:t>
      </w:r>
    </w:p>
    <w:p w14:paraId="008081FA" w14:textId="77777777" w:rsidR="008F12E4" w:rsidRPr="00BF1C95" w:rsidRDefault="008F12E4" w:rsidP="006F1659">
      <w:pPr>
        <w:spacing w:line="360" w:lineRule="auto"/>
        <w:rPr>
          <w:rFonts w:ascii="Arial" w:hAnsi="Arial" w:cs="Arial"/>
          <w:b/>
        </w:rPr>
      </w:pPr>
    </w:p>
    <w:p w14:paraId="5D06FC5B" w14:textId="39AA88DA" w:rsidR="00E27F3B" w:rsidRDefault="00E27F3B" w:rsidP="006F1659">
      <w:pPr>
        <w:spacing w:line="360" w:lineRule="auto"/>
        <w:rPr>
          <w:rFonts w:ascii="Arial" w:hAnsi="Arial" w:cs="Arial"/>
        </w:rPr>
      </w:pPr>
      <w:r w:rsidRPr="00BF1C95">
        <w:rPr>
          <w:rFonts w:ascii="Arial" w:hAnsi="Arial" w:cs="Arial"/>
        </w:rPr>
        <w:t xml:space="preserve">The weighted average duration of the defined benefit obligation for the </w:t>
      </w:r>
      <w:r w:rsidR="001838A2" w:rsidRPr="00BF1C95">
        <w:rPr>
          <w:rFonts w:ascii="Arial" w:hAnsi="Arial" w:cs="Arial"/>
        </w:rPr>
        <w:t>f</w:t>
      </w:r>
      <w:r w:rsidRPr="00BF1C95">
        <w:rPr>
          <w:rFonts w:ascii="Arial" w:hAnsi="Arial" w:cs="Arial"/>
        </w:rPr>
        <w:t>irefighter</w:t>
      </w:r>
      <w:r w:rsidR="001838A2" w:rsidRPr="00BF1C95">
        <w:rPr>
          <w:rFonts w:ascii="Arial" w:hAnsi="Arial" w:cs="Arial"/>
        </w:rPr>
        <w:t>s’</w:t>
      </w:r>
      <w:r w:rsidRPr="00BF1C95">
        <w:rPr>
          <w:rFonts w:ascii="Arial" w:hAnsi="Arial" w:cs="Arial"/>
        </w:rPr>
        <w:t xml:space="preserve"> sc</w:t>
      </w:r>
      <w:r w:rsidR="00CE7425" w:rsidRPr="00BF1C95">
        <w:rPr>
          <w:rFonts w:ascii="Arial" w:hAnsi="Arial" w:cs="Arial"/>
        </w:rPr>
        <w:t xml:space="preserve">heme members is approximately </w:t>
      </w:r>
      <w:r w:rsidR="009C7D9F" w:rsidRPr="00BF1C95">
        <w:rPr>
          <w:rFonts w:ascii="Arial" w:hAnsi="Arial" w:cs="Arial"/>
        </w:rPr>
        <w:t>1</w:t>
      </w:r>
      <w:r w:rsidR="00133863" w:rsidRPr="00BF1C95">
        <w:rPr>
          <w:rFonts w:ascii="Arial" w:hAnsi="Arial" w:cs="Arial"/>
        </w:rPr>
        <w:t xml:space="preserve">5 </w:t>
      </w:r>
      <w:r w:rsidRPr="00BF1C95">
        <w:rPr>
          <w:rFonts w:ascii="Arial" w:hAnsi="Arial" w:cs="Arial"/>
        </w:rPr>
        <w:t>years.</w:t>
      </w:r>
    </w:p>
    <w:p w14:paraId="73D99D5F" w14:textId="77777777" w:rsidR="005F371A" w:rsidRPr="0007572B" w:rsidRDefault="005F371A" w:rsidP="006F1659">
      <w:pPr>
        <w:spacing w:line="360" w:lineRule="auto"/>
        <w:rPr>
          <w:rFonts w:ascii="Arial" w:hAnsi="Arial" w:cs="Arial"/>
        </w:rPr>
      </w:pPr>
    </w:p>
    <w:p w14:paraId="1A480AFA" w14:textId="0B08469E" w:rsidR="00E27F3B" w:rsidRPr="00FD6425" w:rsidRDefault="00E27F3B" w:rsidP="006F1659">
      <w:pPr>
        <w:pStyle w:val="Heading4bold"/>
        <w:spacing w:line="360" w:lineRule="auto"/>
      </w:pPr>
      <w:bookmarkStart w:id="205" w:name="_Hlk109158448"/>
      <w:r w:rsidRPr="00FD6425">
        <w:t>Impact on Authority’s cash flow – Local Government Pension Scheme</w:t>
      </w:r>
    </w:p>
    <w:p w14:paraId="7C01D42C" w14:textId="77777777" w:rsidR="00133863" w:rsidRDefault="00133863" w:rsidP="006F1659">
      <w:pPr>
        <w:spacing w:line="360" w:lineRule="auto"/>
        <w:rPr>
          <w:rFonts w:ascii="Arial" w:hAnsi="Arial" w:cs="Arial"/>
        </w:rPr>
      </w:pPr>
      <w:r w:rsidRPr="00133863">
        <w:rPr>
          <w:rFonts w:ascii="Arial" w:hAnsi="Arial" w:cs="Arial"/>
        </w:rPr>
        <w:t xml:space="preserve">The objectives of the scheme are to keep employer’s contributions at as constant a rate as possible and agree a funding strategy to ensure future employers contributions meet the Administering Authority’s funding objectives. </w:t>
      </w:r>
    </w:p>
    <w:p w14:paraId="6D3590B8" w14:textId="77777777" w:rsidR="00133863" w:rsidRDefault="00133863" w:rsidP="006F1659">
      <w:pPr>
        <w:spacing w:line="360" w:lineRule="auto"/>
        <w:rPr>
          <w:rFonts w:ascii="Arial" w:hAnsi="Arial" w:cs="Arial"/>
        </w:rPr>
      </w:pPr>
    </w:p>
    <w:p w14:paraId="3AFDE30C" w14:textId="77777777" w:rsidR="00133863" w:rsidRPr="003F158E" w:rsidRDefault="00133863" w:rsidP="006F1659">
      <w:pPr>
        <w:spacing w:line="360" w:lineRule="auto"/>
        <w:rPr>
          <w:rFonts w:ascii="Arial" w:hAnsi="Arial" w:cs="Arial"/>
        </w:rPr>
      </w:pPr>
      <w:r w:rsidRPr="003D0973">
        <w:rPr>
          <w:rFonts w:ascii="Arial" w:hAnsi="Arial" w:cs="Arial"/>
        </w:rPr>
        <w:t>Following the latest triennial valuation completed on 31 March 2022, the LGPS was assessed as being 104% funded. Funding</w:t>
      </w:r>
      <w:r w:rsidRPr="007A66C9">
        <w:rPr>
          <w:rFonts w:ascii="Arial" w:hAnsi="Arial" w:cs="Arial"/>
        </w:rPr>
        <w:t xml:space="preserve"> levels are monitored on an annual basis.</w:t>
      </w:r>
      <w:r w:rsidRPr="003F158E">
        <w:rPr>
          <w:rFonts w:ascii="Arial" w:hAnsi="Arial" w:cs="Arial"/>
        </w:rPr>
        <w:t xml:space="preserve"> </w:t>
      </w:r>
    </w:p>
    <w:p w14:paraId="38FC151B" w14:textId="77777777" w:rsidR="00133863" w:rsidRDefault="00133863" w:rsidP="006F1659">
      <w:pPr>
        <w:spacing w:line="360" w:lineRule="auto"/>
        <w:rPr>
          <w:rFonts w:ascii="Arial" w:hAnsi="Arial" w:cs="Arial"/>
        </w:rPr>
      </w:pPr>
    </w:p>
    <w:p w14:paraId="39C28D2B" w14:textId="330F897F" w:rsidR="00133863" w:rsidRDefault="00133863" w:rsidP="006F1659">
      <w:pPr>
        <w:spacing w:line="360" w:lineRule="auto"/>
        <w:rPr>
          <w:rFonts w:ascii="Arial" w:hAnsi="Arial" w:cs="Arial"/>
        </w:rPr>
      </w:pPr>
      <w:r>
        <w:rPr>
          <w:rFonts w:ascii="Arial" w:hAnsi="Arial" w:cs="Arial"/>
        </w:rPr>
        <w:t xml:space="preserve">The funding objectives of the scheme are set out in the </w:t>
      </w:r>
      <w:r w:rsidR="00EE3005">
        <w:rPr>
          <w:rFonts w:ascii="Arial" w:hAnsi="Arial" w:cs="Arial"/>
        </w:rPr>
        <w:t xml:space="preserve">GMPF </w:t>
      </w:r>
      <w:r>
        <w:rPr>
          <w:rFonts w:ascii="Arial" w:hAnsi="Arial" w:cs="Arial"/>
        </w:rPr>
        <w:t xml:space="preserve">Funding Strategy Statement (FSS) and are to achieve and maintain a solvency funding level of 100% of liabilities (the solvency funding target). In line with the FSS, where a shortfall exists at the effective date of the valuation a deficit recovery plan will be put in place which require additional contributions to correct the shortfall. Equally, where there is a surplus, it is usually appropriate to offset this </w:t>
      </w:r>
      <w:r>
        <w:rPr>
          <w:rFonts w:ascii="Arial" w:hAnsi="Arial" w:cs="Arial"/>
        </w:rPr>
        <w:lastRenderedPageBreak/>
        <w:t>against contribution for future services, in which case contribution reductions will be put in place to allow for this.</w:t>
      </w:r>
    </w:p>
    <w:p w14:paraId="1814BD0F" w14:textId="77777777" w:rsidR="00E764E3" w:rsidRDefault="00E764E3" w:rsidP="006F1659">
      <w:pPr>
        <w:spacing w:line="360" w:lineRule="auto"/>
        <w:rPr>
          <w:rFonts w:ascii="Arial" w:hAnsi="Arial" w:cs="Arial"/>
        </w:rPr>
      </w:pPr>
    </w:p>
    <w:p w14:paraId="76819F4B" w14:textId="77777777" w:rsidR="00E764E3" w:rsidRPr="00E764E3" w:rsidRDefault="00E764E3" w:rsidP="006F1659">
      <w:pPr>
        <w:spacing w:line="360" w:lineRule="auto"/>
        <w:rPr>
          <w:rFonts w:ascii="Arial" w:hAnsi="Arial" w:cs="Arial"/>
        </w:rPr>
      </w:pPr>
      <w:r w:rsidRPr="00E764E3">
        <w:rPr>
          <w:rFonts w:ascii="Arial" w:hAnsi="Arial" w:cs="Arial"/>
        </w:rPr>
        <w:t>The scheme has taken account of the national changes to the scheme under the Public Pensions Services Act 2013. Under the Act, the Local Government Pension Scheme in England and Wales and other main existing public service schemes may not provide benefits in relation to service after 31 March 2014 (or service after 31 March 2015 for other main existing public service pension schemes in England and Wales). The Act provides for scheme regulations to be made within a common framework, to establish new career average revalued earnings schemes to pay pensions and other benefits.</w:t>
      </w:r>
    </w:p>
    <w:p w14:paraId="3D50768B" w14:textId="77777777" w:rsidR="005F371A" w:rsidRPr="00944D15" w:rsidRDefault="005F371A" w:rsidP="006F1659">
      <w:pPr>
        <w:spacing w:line="360" w:lineRule="auto"/>
        <w:rPr>
          <w:rFonts w:ascii="Arial" w:hAnsi="Arial" w:cs="Arial"/>
          <w:highlight w:val="yellow"/>
        </w:rPr>
      </w:pPr>
    </w:p>
    <w:p w14:paraId="079E80B1" w14:textId="16757399" w:rsidR="00A4227C" w:rsidRPr="002409D6" w:rsidRDefault="00A4227C" w:rsidP="006F1659">
      <w:pPr>
        <w:pStyle w:val="Heading4bold"/>
        <w:spacing w:line="360" w:lineRule="auto"/>
      </w:pPr>
      <w:r w:rsidRPr="002409D6">
        <w:t>Authority contribution to pension schemes</w:t>
      </w:r>
    </w:p>
    <w:p w14:paraId="7A77EC93" w14:textId="2E4E60CF" w:rsidR="00615DE1" w:rsidRDefault="00A4227C" w:rsidP="006F1659">
      <w:pPr>
        <w:spacing w:line="360" w:lineRule="auto"/>
        <w:rPr>
          <w:rFonts w:ascii="Arial" w:hAnsi="Arial" w:cs="Arial"/>
        </w:rPr>
      </w:pPr>
      <w:bookmarkStart w:id="206" w:name="_Hlk139960993"/>
      <w:r w:rsidRPr="002409D6">
        <w:rPr>
          <w:rFonts w:ascii="Arial" w:hAnsi="Arial" w:cs="Arial"/>
        </w:rPr>
        <w:t>The Authority expects to pay £</w:t>
      </w:r>
      <w:r w:rsidR="00133863" w:rsidRPr="002409D6">
        <w:rPr>
          <w:rFonts w:ascii="Arial" w:hAnsi="Arial" w:cs="Arial"/>
        </w:rPr>
        <w:t>1</w:t>
      </w:r>
      <w:r w:rsidR="002409D6" w:rsidRPr="002409D6">
        <w:rPr>
          <w:rFonts w:ascii="Arial" w:hAnsi="Arial" w:cs="Arial"/>
        </w:rPr>
        <w:t>9.887</w:t>
      </w:r>
      <w:r w:rsidR="00133863" w:rsidRPr="002409D6">
        <w:rPr>
          <w:rFonts w:ascii="Arial" w:hAnsi="Arial" w:cs="Arial"/>
        </w:rPr>
        <w:t>m</w:t>
      </w:r>
      <w:r w:rsidRPr="002409D6">
        <w:rPr>
          <w:rFonts w:ascii="Arial" w:hAnsi="Arial" w:cs="Arial"/>
        </w:rPr>
        <w:t xml:space="preserve"> to the Firefighters</w:t>
      </w:r>
      <w:r w:rsidR="001838A2" w:rsidRPr="002409D6">
        <w:rPr>
          <w:rFonts w:ascii="Arial" w:hAnsi="Arial" w:cs="Arial"/>
        </w:rPr>
        <w:t>’</w:t>
      </w:r>
      <w:r w:rsidRPr="002409D6">
        <w:rPr>
          <w:rFonts w:ascii="Arial" w:hAnsi="Arial" w:cs="Arial"/>
        </w:rPr>
        <w:t xml:space="preserve"> Pension Scheme and £</w:t>
      </w:r>
      <w:r w:rsidR="00133863" w:rsidRPr="002409D6">
        <w:rPr>
          <w:rFonts w:ascii="Arial" w:hAnsi="Arial" w:cs="Arial"/>
        </w:rPr>
        <w:t>6.</w:t>
      </w:r>
      <w:r w:rsidR="002409D6" w:rsidRPr="002409D6">
        <w:rPr>
          <w:rFonts w:ascii="Arial" w:hAnsi="Arial" w:cs="Arial"/>
        </w:rPr>
        <w:t>415</w:t>
      </w:r>
      <w:r w:rsidR="00133863" w:rsidRPr="002409D6">
        <w:rPr>
          <w:rFonts w:ascii="Arial" w:hAnsi="Arial" w:cs="Arial"/>
        </w:rPr>
        <w:t>m</w:t>
      </w:r>
      <w:r w:rsidRPr="002409D6">
        <w:rPr>
          <w:rFonts w:ascii="Arial" w:hAnsi="Arial" w:cs="Arial"/>
        </w:rPr>
        <w:t xml:space="preserve"> to the Local Government Pension Scheme in </w:t>
      </w:r>
      <w:r w:rsidR="00133863" w:rsidRPr="002409D6">
        <w:rPr>
          <w:rFonts w:ascii="Arial" w:hAnsi="Arial" w:cs="Arial"/>
        </w:rPr>
        <w:t>202</w:t>
      </w:r>
      <w:r w:rsidR="002409D6" w:rsidRPr="002409D6">
        <w:rPr>
          <w:rFonts w:ascii="Arial" w:hAnsi="Arial" w:cs="Arial"/>
        </w:rPr>
        <w:t>4</w:t>
      </w:r>
      <w:r w:rsidR="00133863" w:rsidRPr="002409D6">
        <w:rPr>
          <w:rFonts w:ascii="Arial" w:hAnsi="Arial" w:cs="Arial"/>
        </w:rPr>
        <w:t>/2</w:t>
      </w:r>
      <w:r w:rsidR="002409D6" w:rsidRPr="002409D6">
        <w:rPr>
          <w:rFonts w:ascii="Arial" w:hAnsi="Arial" w:cs="Arial"/>
        </w:rPr>
        <w:t>5</w:t>
      </w:r>
      <w:r w:rsidRPr="002409D6">
        <w:rPr>
          <w:rFonts w:ascii="Arial" w:hAnsi="Arial" w:cs="Arial"/>
        </w:rPr>
        <w:t>.</w:t>
      </w:r>
      <w:bookmarkEnd w:id="205"/>
    </w:p>
    <w:bookmarkEnd w:id="202"/>
    <w:bookmarkEnd w:id="206"/>
    <w:p w14:paraId="11A2BE7E" w14:textId="77777777" w:rsidR="00943897" w:rsidRPr="0007572B" w:rsidRDefault="00943897" w:rsidP="006F1659">
      <w:pPr>
        <w:spacing w:line="360" w:lineRule="auto"/>
        <w:rPr>
          <w:rFonts w:ascii="Arial" w:hAnsi="Arial" w:cs="Arial"/>
        </w:rPr>
      </w:pPr>
    </w:p>
    <w:p w14:paraId="04F7C91E" w14:textId="0D6DFB89" w:rsidR="00322755" w:rsidRPr="0007572B" w:rsidRDefault="003C3CE4" w:rsidP="006F1659">
      <w:pPr>
        <w:pStyle w:val="Heading3greennumbered"/>
        <w:spacing w:line="360" w:lineRule="auto"/>
      </w:pPr>
      <w:bookmarkStart w:id="207" w:name="_Toc92894909"/>
      <w:bookmarkStart w:id="208" w:name="_Toc92895213"/>
      <w:bookmarkStart w:id="209" w:name="_Toc109922647"/>
      <w:r w:rsidRPr="0007572B">
        <w:t xml:space="preserve">34 </w:t>
      </w:r>
      <w:r w:rsidR="00322755" w:rsidRPr="0007572B">
        <w:t>Mayoral General Fund</w:t>
      </w:r>
      <w:bookmarkEnd w:id="207"/>
      <w:bookmarkEnd w:id="208"/>
      <w:bookmarkEnd w:id="209"/>
    </w:p>
    <w:p w14:paraId="72D9976F" w14:textId="77777777" w:rsidR="005F371A" w:rsidRDefault="005F371A" w:rsidP="006F1659">
      <w:pPr>
        <w:autoSpaceDE w:val="0"/>
        <w:autoSpaceDN w:val="0"/>
        <w:spacing w:line="360" w:lineRule="auto"/>
        <w:rPr>
          <w:rFonts w:ascii="Arial" w:hAnsi="Arial" w:cs="Arial"/>
          <w:color w:val="000000"/>
          <w:lang w:val="en-US"/>
        </w:rPr>
      </w:pPr>
    </w:p>
    <w:p w14:paraId="4B228AC3" w14:textId="7B248D78" w:rsidR="00322755" w:rsidRPr="0007572B" w:rsidRDefault="00322755" w:rsidP="006F1659">
      <w:pPr>
        <w:autoSpaceDE w:val="0"/>
        <w:autoSpaceDN w:val="0"/>
        <w:spacing w:line="360" w:lineRule="auto"/>
        <w:rPr>
          <w:rFonts w:ascii="Arial" w:hAnsi="Arial" w:cs="Arial"/>
          <w:color w:val="000000"/>
          <w:lang w:val="en-US"/>
        </w:rPr>
      </w:pPr>
      <w:r w:rsidRPr="0007572B">
        <w:rPr>
          <w:rFonts w:ascii="Arial" w:hAnsi="Arial" w:cs="Arial"/>
          <w:color w:val="000000"/>
          <w:lang w:val="en-US"/>
        </w:rPr>
        <w:t xml:space="preserve">The functions of the </w:t>
      </w:r>
      <w:r w:rsidR="00150CDE" w:rsidRPr="0007572B">
        <w:rPr>
          <w:rFonts w:ascii="Arial" w:hAnsi="Arial" w:cs="Arial"/>
          <w:color w:val="000000"/>
          <w:lang w:val="en-US"/>
        </w:rPr>
        <w:t>Greater Manchester Fire and Rescue Authority (</w:t>
      </w:r>
      <w:r w:rsidRPr="0007572B">
        <w:rPr>
          <w:rFonts w:ascii="Arial" w:hAnsi="Arial" w:cs="Arial"/>
          <w:color w:val="000000"/>
          <w:lang w:val="en-US"/>
        </w:rPr>
        <w:t>GMFRA</w:t>
      </w:r>
      <w:r w:rsidR="00150CDE" w:rsidRPr="0007572B">
        <w:rPr>
          <w:rFonts w:ascii="Arial" w:hAnsi="Arial" w:cs="Arial"/>
          <w:color w:val="000000"/>
          <w:lang w:val="en-US"/>
        </w:rPr>
        <w:t>)</w:t>
      </w:r>
      <w:r w:rsidRPr="0007572B">
        <w:rPr>
          <w:rFonts w:ascii="Arial" w:hAnsi="Arial" w:cs="Arial"/>
          <w:color w:val="000000"/>
          <w:lang w:val="en-US"/>
        </w:rPr>
        <w:t xml:space="preserve"> that are exercisable in relation to the area of the Authority were transferred by Parliamentary Order to the GMCA with effect from 8 May 2017. The GMCA is the Fire and Rescue Authority for the area and the Fire and Rescue functions of the GMCA are exercisable by the elected Mayor with all staff, properties, rights and liabilities transferring to the Authority.</w:t>
      </w:r>
    </w:p>
    <w:p w14:paraId="2C2FE7FB" w14:textId="77777777" w:rsidR="00322755" w:rsidRPr="0007572B" w:rsidRDefault="00322755" w:rsidP="006F1659">
      <w:pPr>
        <w:autoSpaceDE w:val="0"/>
        <w:autoSpaceDN w:val="0"/>
        <w:spacing w:line="360" w:lineRule="auto"/>
        <w:rPr>
          <w:rFonts w:ascii="Arial" w:eastAsia="Calibri" w:hAnsi="Arial" w:cs="Arial"/>
          <w:color w:val="000000"/>
          <w:lang w:val="en-US"/>
        </w:rPr>
      </w:pPr>
      <w:r w:rsidRPr="0007572B">
        <w:rPr>
          <w:rFonts w:ascii="Arial" w:eastAsia="Calibri" w:hAnsi="Arial" w:cs="Arial"/>
          <w:color w:val="000000"/>
          <w:lang w:val="en-US"/>
        </w:rPr>
        <w:t>Under the Order, all functions and decisions relating to such properties, rights and liabilities are to be exercised and made by the Mayor. Any payments and receipts arising from such properties, rights and liabilities are to be paid from and into the Mayoral General Fund.</w:t>
      </w:r>
    </w:p>
    <w:p w14:paraId="44E344BA" w14:textId="77777777" w:rsidR="00322755" w:rsidRPr="0007572B" w:rsidRDefault="00322755" w:rsidP="006F1659">
      <w:pPr>
        <w:autoSpaceDE w:val="0"/>
        <w:autoSpaceDN w:val="0"/>
        <w:spacing w:line="360" w:lineRule="auto"/>
        <w:rPr>
          <w:rFonts w:ascii="Arial" w:eastAsia="Calibri" w:hAnsi="Arial" w:cs="Arial"/>
          <w:color w:val="000000"/>
          <w:lang w:val="en-US"/>
        </w:rPr>
      </w:pPr>
    </w:p>
    <w:p w14:paraId="0D493389" w14:textId="0715BA83" w:rsidR="00AC4453" w:rsidRPr="00615DE1" w:rsidRDefault="00322755" w:rsidP="006F1659">
      <w:pPr>
        <w:spacing w:line="360" w:lineRule="auto"/>
        <w:rPr>
          <w:rFonts w:ascii="Arial" w:hAnsi="Arial" w:cs="Arial"/>
        </w:rPr>
      </w:pPr>
      <w:r w:rsidRPr="0007572B">
        <w:rPr>
          <w:rFonts w:ascii="Arial" w:hAnsi="Arial" w:cs="Arial"/>
        </w:rPr>
        <w:t>The statements below set out the movements in the Mayoral General Fund and assets deployed for fire</w:t>
      </w:r>
      <w:r w:rsidR="00215A6A" w:rsidRPr="0007572B">
        <w:rPr>
          <w:rFonts w:ascii="Arial" w:hAnsi="Arial" w:cs="Arial"/>
        </w:rPr>
        <w:t xml:space="preserve"> and rescue services for </w:t>
      </w:r>
      <w:r w:rsidR="00D1125B">
        <w:rPr>
          <w:rFonts w:ascii="Arial" w:hAnsi="Arial" w:cs="Arial"/>
        </w:rPr>
        <w:t>2023/24</w:t>
      </w:r>
      <w:r w:rsidR="00215A6A" w:rsidRPr="0007572B">
        <w:rPr>
          <w:rFonts w:ascii="Arial" w:hAnsi="Arial" w:cs="Arial"/>
        </w:rPr>
        <w:t>:</w:t>
      </w:r>
    </w:p>
    <w:p w14:paraId="7B5DA9A0" w14:textId="475C50B9" w:rsidR="00771E5E" w:rsidRDefault="00322755" w:rsidP="006F1659">
      <w:pPr>
        <w:pStyle w:val="Heading4bold"/>
        <w:spacing w:line="360" w:lineRule="auto"/>
      </w:pPr>
      <w:r w:rsidRPr="00855296">
        <w:lastRenderedPageBreak/>
        <w:t>Mayoral General Fund Income and Expenditure:</w:t>
      </w:r>
    </w:p>
    <w:p w14:paraId="47D4504C" w14:textId="2FD70D28" w:rsidR="00615DE1" w:rsidRDefault="00EF6995" w:rsidP="006F1659">
      <w:pPr>
        <w:spacing w:line="360" w:lineRule="auto"/>
        <w:rPr>
          <w:rFonts w:ascii="Arial" w:hAnsi="Arial" w:cs="Arial"/>
          <w:b/>
          <w:sz w:val="22"/>
          <w:szCs w:val="22"/>
        </w:rPr>
      </w:pPr>
      <w:r w:rsidRPr="00EF6995">
        <w:rPr>
          <w:noProof/>
        </w:rPr>
        <w:drawing>
          <wp:inline distT="0" distB="0" distL="0" distR="0" wp14:anchorId="0D51F3D0" wp14:editId="0154CFCE">
            <wp:extent cx="5975350" cy="3867150"/>
            <wp:effectExtent l="0" t="0" r="6350" b="0"/>
            <wp:docPr id="1868116898" name="Picture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116898" name="Picture 102">
                      <a:extLst>
                        <a:ext uri="{C183D7F6-B498-43B3-948B-1728B52AA6E4}">
                          <adec:decorative xmlns:adec="http://schemas.microsoft.com/office/drawing/2017/decorative" val="1"/>
                        </a:ext>
                      </a:extLst>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975350" cy="3867150"/>
                    </a:xfrm>
                    <a:prstGeom prst="rect">
                      <a:avLst/>
                    </a:prstGeom>
                    <a:noFill/>
                    <a:ln>
                      <a:noFill/>
                    </a:ln>
                  </pic:spPr>
                </pic:pic>
              </a:graphicData>
            </a:graphic>
          </wp:inline>
        </w:drawing>
      </w:r>
    </w:p>
    <w:p w14:paraId="126CBB71" w14:textId="77777777" w:rsidR="00EF6995" w:rsidRPr="00615DE1" w:rsidRDefault="00EF6995" w:rsidP="006F1659">
      <w:pPr>
        <w:spacing w:line="360" w:lineRule="auto"/>
        <w:rPr>
          <w:rFonts w:ascii="Arial" w:hAnsi="Arial" w:cs="Arial"/>
          <w:b/>
          <w:sz w:val="22"/>
          <w:szCs w:val="22"/>
        </w:rPr>
      </w:pPr>
    </w:p>
    <w:p w14:paraId="5429126B" w14:textId="227855DC" w:rsidR="00322755" w:rsidRPr="0007572B" w:rsidRDefault="00322755" w:rsidP="006F1659">
      <w:pPr>
        <w:pStyle w:val="Heading4bold"/>
        <w:spacing w:line="360" w:lineRule="auto"/>
      </w:pPr>
      <w:r w:rsidRPr="0007572B">
        <w:t>Movement in Mayoral General Fund Reserves:</w:t>
      </w:r>
    </w:p>
    <w:p w14:paraId="13D7E6FD" w14:textId="550E235F" w:rsidR="00322755" w:rsidRDefault="00322755" w:rsidP="006F1659">
      <w:pPr>
        <w:spacing w:line="360" w:lineRule="auto"/>
        <w:rPr>
          <w:rFonts w:ascii="Arial" w:hAnsi="Arial" w:cs="Arial"/>
        </w:rPr>
      </w:pPr>
      <w:r w:rsidRPr="0007572B">
        <w:rPr>
          <w:rFonts w:ascii="Arial" w:hAnsi="Arial" w:cs="Arial"/>
        </w:rPr>
        <w:t>This note sets out the amounts set aside from the General Fund in reserves to provide financing for future expenditure plans and the amounts posted back from earmarked reserves to meet General Fund expenditure.</w:t>
      </w:r>
    </w:p>
    <w:p w14:paraId="1A6FD4D9" w14:textId="75C7E2A2" w:rsidR="00771E5E" w:rsidRDefault="00771E5E" w:rsidP="006F1659">
      <w:pPr>
        <w:spacing w:line="360" w:lineRule="auto"/>
        <w:rPr>
          <w:rFonts w:ascii="Arial" w:hAnsi="Arial" w:cs="Arial"/>
        </w:rPr>
      </w:pPr>
    </w:p>
    <w:p w14:paraId="5BA4EE28" w14:textId="77777777" w:rsidR="00EF6995" w:rsidRDefault="00EF6995" w:rsidP="006F1659">
      <w:pPr>
        <w:pStyle w:val="Heading4bold"/>
        <w:spacing w:line="360" w:lineRule="auto"/>
      </w:pPr>
      <w:r w:rsidRPr="00EF6995">
        <w:rPr>
          <w:noProof/>
        </w:rPr>
        <w:lastRenderedPageBreak/>
        <w:drawing>
          <wp:inline distT="0" distB="0" distL="0" distR="0" wp14:anchorId="4745C0F9" wp14:editId="2DB4B401">
            <wp:extent cx="4889500" cy="2590800"/>
            <wp:effectExtent l="0" t="0" r="6350" b="0"/>
            <wp:docPr id="2065996380" name="Picture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996380" name="Picture 103">
                      <a:extLst>
                        <a:ext uri="{C183D7F6-B498-43B3-948B-1728B52AA6E4}">
                          <adec:decorative xmlns:adec="http://schemas.microsoft.com/office/drawing/2017/decorative" val="1"/>
                        </a:ext>
                      </a:extLst>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889500" cy="2590800"/>
                    </a:xfrm>
                    <a:prstGeom prst="rect">
                      <a:avLst/>
                    </a:prstGeom>
                    <a:noFill/>
                    <a:ln>
                      <a:noFill/>
                    </a:ln>
                  </pic:spPr>
                </pic:pic>
              </a:graphicData>
            </a:graphic>
          </wp:inline>
        </w:drawing>
      </w:r>
    </w:p>
    <w:p w14:paraId="06EDA78D" w14:textId="77777777" w:rsidR="00EF6995" w:rsidRDefault="00EF6995" w:rsidP="006F1659">
      <w:pPr>
        <w:pStyle w:val="Heading4bold"/>
        <w:spacing w:line="360" w:lineRule="auto"/>
      </w:pPr>
    </w:p>
    <w:p w14:paraId="1FEF668B" w14:textId="61514C6C" w:rsidR="00322755" w:rsidRPr="0007572B" w:rsidRDefault="00322755" w:rsidP="006F1659">
      <w:pPr>
        <w:pStyle w:val="Heading4bold"/>
        <w:spacing w:line="360" w:lineRule="auto"/>
      </w:pPr>
      <w:r w:rsidRPr="0007572B">
        <w:t>Assets deployed in provision of Mayoral Fire and Rescue Services:</w:t>
      </w:r>
    </w:p>
    <w:p w14:paraId="79DF5430" w14:textId="5E6E2FAC" w:rsidR="00577AA5" w:rsidRDefault="00EF6995" w:rsidP="006F1659">
      <w:pPr>
        <w:spacing w:line="360" w:lineRule="auto"/>
        <w:rPr>
          <w:rFonts w:ascii="Arial" w:hAnsi="Arial" w:cs="Arial"/>
        </w:rPr>
      </w:pPr>
      <w:r w:rsidRPr="00EF6995">
        <w:rPr>
          <w:noProof/>
        </w:rPr>
        <w:drawing>
          <wp:inline distT="0" distB="0" distL="0" distR="0" wp14:anchorId="6BF1D6EA" wp14:editId="5DA87378">
            <wp:extent cx="6479540" cy="2063115"/>
            <wp:effectExtent l="0" t="0" r="0" b="0"/>
            <wp:docPr id="825678658" name="Picture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678658" name="Picture 104">
                      <a:extLst>
                        <a:ext uri="{C183D7F6-B498-43B3-948B-1728B52AA6E4}">
                          <adec:decorative xmlns:adec="http://schemas.microsoft.com/office/drawing/2017/decorative" val="1"/>
                        </a:ext>
                      </a:extLst>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479540" cy="2063115"/>
                    </a:xfrm>
                    <a:prstGeom prst="rect">
                      <a:avLst/>
                    </a:prstGeom>
                    <a:noFill/>
                    <a:ln>
                      <a:noFill/>
                    </a:ln>
                  </pic:spPr>
                </pic:pic>
              </a:graphicData>
            </a:graphic>
          </wp:inline>
        </w:drawing>
      </w:r>
    </w:p>
    <w:p w14:paraId="49107FC8" w14:textId="77777777" w:rsidR="00EF6995" w:rsidRDefault="00EF6995" w:rsidP="006F1659">
      <w:pPr>
        <w:spacing w:line="360" w:lineRule="auto"/>
        <w:rPr>
          <w:rFonts w:ascii="Arial" w:hAnsi="Arial" w:cs="Arial"/>
        </w:rPr>
      </w:pPr>
    </w:p>
    <w:p w14:paraId="512B9F4B" w14:textId="77777777" w:rsidR="00EF6995" w:rsidRPr="0007572B" w:rsidRDefault="00EF6995" w:rsidP="006F1659">
      <w:pPr>
        <w:spacing w:line="360" w:lineRule="auto"/>
        <w:rPr>
          <w:rFonts w:ascii="Arial" w:hAnsi="Arial" w:cs="Arial"/>
        </w:rPr>
      </w:pPr>
    </w:p>
    <w:p w14:paraId="30E13344" w14:textId="5B5762A7" w:rsidR="00D1577F" w:rsidRPr="0007572B" w:rsidRDefault="003C3CE4" w:rsidP="006F1659">
      <w:pPr>
        <w:pStyle w:val="Heading3greennumbered"/>
        <w:spacing w:line="360" w:lineRule="auto"/>
      </w:pPr>
      <w:bookmarkStart w:id="210" w:name="_Toc92894910"/>
      <w:bookmarkStart w:id="211" w:name="_Toc92895214"/>
      <w:bookmarkStart w:id="212" w:name="_Toc109922648"/>
      <w:r w:rsidRPr="0007572B">
        <w:t xml:space="preserve">35 </w:t>
      </w:r>
      <w:r w:rsidR="00D1577F" w:rsidRPr="0007572B">
        <w:t>Mayoral Police Fund</w:t>
      </w:r>
      <w:bookmarkEnd w:id="210"/>
      <w:bookmarkEnd w:id="211"/>
      <w:bookmarkEnd w:id="212"/>
    </w:p>
    <w:p w14:paraId="038D331F" w14:textId="77777777" w:rsidR="005F371A" w:rsidRDefault="005F371A" w:rsidP="006F1659">
      <w:pPr>
        <w:autoSpaceDE w:val="0"/>
        <w:autoSpaceDN w:val="0"/>
        <w:adjustRightInd w:val="0"/>
        <w:spacing w:line="360" w:lineRule="auto"/>
        <w:rPr>
          <w:rFonts w:ascii="Arial" w:hAnsi="Arial" w:cs="Arial"/>
        </w:rPr>
      </w:pPr>
    </w:p>
    <w:p w14:paraId="0BD0D190" w14:textId="5086F5B7" w:rsidR="00D1577F" w:rsidRPr="0007572B" w:rsidRDefault="00D1577F" w:rsidP="006F1659">
      <w:pPr>
        <w:autoSpaceDE w:val="0"/>
        <w:autoSpaceDN w:val="0"/>
        <w:adjustRightInd w:val="0"/>
        <w:spacing w:line="360" w:lineRule="auto"/>
        <w:rPr>
          <w:rFonts w:ascii="Arial" w:hAnsi="Arial" w:cs="Arial"/>
        </w:rPr>
      </w:pPr>
      <w:r w:rsidRPr="0007572B">
        <w:rPr>
          <w:rFonts w:ascii="Arial" w:hAnsi="Arial" w:cs="Arial"/>
        </w:rPr>
        <w:t xml:space="preserve">The functions of the Greater Manchester Police and Crime Commissioner (PCC) were transferred by Parliamentary Order to the elected Mayor of Greater Manchester with effect from 8 May 2017. </w:t>
      </w:r>
    </w:p>
    <w:p w14:paraId="65043DB4" w14:textId="77777777" w:rsidR="00D1577F" w:rsidRPr="0007572B" w:rsidRDefault="00D1577F" w:rsidP="006F1659">
      <w:pPr>
        <w:autoSpaceDE w:val="0"/>
        <w:autoSpaceDN w:val="0"/>
        <w:adjustRightInd w:val="0"/>
        <w:spacing w:line="360" w:lineRule="auto"/>
        <w:rPr>
          <w:rFonts w:ascii="Arial" w:hAnsi="Arial" w:cs="Arial"/>
        </w:rPr>
      </w:pPr>
    </w:p>
    <w:p w14:paraId="6EC00BAA" w14:textId="77777777" w:rsidR="00D1577F" w:rsidRPr="0007572B" w:rsidRDefault="00D1577F" w:rsidP="006F1659">
      <w:pPr>
        <w:autoSpaceDE w:val="0"/>
        <w:autoSpaceDN w:val="0"/>
        <w:adjustRightInd w:val="0"/>
        <w:spacing w:line="360" w:lineRule="auto"/>
        <w:rPr>
          <w:rFonts w:ascii="Arial" w:hAnsi="Arial" w:cs="Arial"/>
        </w:rPr>
      </w:pPr>
      <w:r w:rsidRPr="0007572B">
        <w:rPr>
          <w:rFonts w:ascii="Arial" w:hAnsi="Arial" w:cs="Arial"/>
        </w:rPr>
        <w:t>Under Section 3 of the Order “the Mayor is to be treated, in relation to the Mayor’s PCC functions, as a Police and Crime Commissioner for the purposes of all Police and Crime Commissioner enactments, wherever passed or made, subject to schedule 1 of the Order”.</w:t>
      </w:r>
    </w:p>
    <w:p w14:paraId="588C5A77" w14:textId="77777777" w:rsidR="00D1577F" w:rsidRPr="0007572B" w:rsidRDefault="00D1577F" w:rsidP="006F1659">
      <w:pPr>
        <w:autoSpaceDE w:val="0"/>
        <w:autoSpaceDN w:val="0"/>
        <w:adjustRightInd w:val="0"/>
        <w:spacing w:line="360" w:lineRule="auto"/>
        <w:rPr>
          <w:rFonts w:ascii="Arial" w:hAnsi="Arial" w:cs="Arial"/>
        </w:rPr>
      </w:pPr>
    </w:p>
    <w:p w14:paraId="1B775BAD" w14:textId="3116445E" w:rsidR="00D1577F" w:rsidRPr="0007572B" w:rsidRDefault="00D1577F" w:rsidP="006F1659">
      <w:pPr>
        <w:autoSpaceDE w:val="0"/>
        <w:autoSpaceDN w:val="0"/>
        <w:adjustRightInd w:val="0"/>
        <w:spacing w:line="360" w:lineRule="auto"/>
        <w:rPr>
          <w:rFonts w:ascii="Arial" w:hAnsi="Arial" w:cs="Arial"/>
        </w:rPr>
      </w:pPr>
      <w:r w:rsidRPr="0007572B">
        <w:rPr>
          <w:rFonts w:ascii="Arial" w:hAnsi="Arial" w:cs="Arial"/>
        </w:rPr>
        <w:lastRenderedPageBreak/>
        <w:t xml:space="preserve">The transfer of the PCC functions to the Elected Mayor means that the legal entity known as the Greater Manchester Police and Crime Commissioner ceased to exist as of 8 May 2017. All properties, rights and liabilities (including contracts of employment) transferred to the GMCA on 8 May 2017. </w:t>
      </w:r>
    </w:p>
    <w:p w14:paraId="4D04CA86" w14:textId="77777777" w:rsidR="00D1577F" w:rsidRPr="0007572B" w:rsidRDefault="00D1577F" w:rsidP="006F1659">
      <w:pPr>
        <w:autoSpaceDE w:val="0"/>
        <w:autoSpaceDN w:val="0"/>
        <w:adjustRightInd w:val="0"/>
        <w:spacing w:line="360" w:lineRule="auto"/>
        <w:rPr>
          <w:rFonts w:ascii="Arial" w:hAnsi="Arial" w:cs="Arial"/>
        </w:rPr>
      </w:pPr>
    </w:p>
    <w:p w14:paraId="4BDA45E1" w14:textId="77777777" w:rsidR="00D1577F" w:rsidRPr="0007572B" w:rsidRDefault="00D1577F" w:rsidP="006F1659">
      <w:pPr>
        <w:autoSpaceDE w:val="0"/>
        <w:autoSpaceDN w:val="0"/>
        <w:adjustRightInd w:val="0"/>
        <w:spacing w:line="360" w:lineRule="auto"/>
        <w:rPr>
          <w:rFonts w:ascii="Arial" w:hAnsi="Arial" w:cs="Arial"/>
        </w:rPr>
      </w:pPr>
      <w:r w:rsidRPr="0007572B">
        <w:rPr>
          <w:rFonts w:ascii="Arial" w:hAnsi="Arial" w:cs="Arial"/>
        </w:rPr>
        <w:t>Under the Order, all functions and decisions relating to such properties, rights and liabilities are to be exercised and made by the Mayor. Any receipts arising from such properties, rights and liabilities are to be paid into the Police Fund kept by the mayor by virtue of section 21 of the Police Reform and Social Responsibility Act 2011.</w:t>
      </w:r>
    </w:p>
    <w:p w14:paraId="0FB7A25B" w14:textId="77777777" w:rsidR="00D1577F" w:rsidRPr="0007572B" w:rsidRDefault="00D1577F" w:rsidP="006F1659">
      <w:pPr>
        <w:autoSpaceDE w:val="0"/>
        <w:autoSpaceDN w:val="0"/>
        <w:adjustRightInd w:val="0"/>
        <w:spacing w:line="360" w:lineRule="auto"/>
        <w:rPr>
          <w:rFonts w:ascii="Arial" w:hAnsi="Arial" w:cs="Arial"/>
          <w:color w:val="000000"/>
          <w:lang w:val="en-US"/>
        </w:rPr>
      </w:pPr>
    </w:p>
    <w:p w14:paraId="12DC39D4" w14:textId="77777777" w:rsidR="00D1577F" w:rsidRPr="0007572B" w:rsidRDefault="00D1577F" w:rsidP="006F1659">
      <w:pPr>
        <w:autoSpaceDE w:val="0"/>
        <w:autoSpaceDN w:val="0"/>
        <w:adjustRightInd w:val="0"/>
        <w:spacing w:line="360" w:lineRule="auto"/>
        <w:rPr>
          <w:rFonts w:ascii="Arial" w:hAnsi="Arial" w:cs="Arial"/>
          <w:color w:val="000000"/>
          <w:lang w:val="en-US"/>
        </w:rPr>
      </w:pPr>
      <w:r w:rsidRPr="0007572B">
        <w:rPr>
          <w:rFonts w:ascii="Arial" w:hAnsi="Arial" w:cs="Arial"/>
          <w:color w:val="000000"/>
          <w:lang w:val="en-US"/>
        </w:rPr>
        <w:t>The Chief Constable of Greater Manchester Police (GMP) Statement of Accounts has been consolidated into GMCA’s group accounts since 8 May 2017. The Mayor is responsible for the formal oversight of GMP, including provision of all funding, budget setting, performance scrutiny and strategic policy development, and for ensuring GMP is run efficiently and effectively. Operational decision-making on day-to-day policing including the employment of police staff remains the responsibility of the Chief Constable.</w:t>
      </w:r>
    </w:p>
    <w:p w14:paraId="25A33968" w14:textId="77777777" w:rsidR="00D1577F" w:rsidRPr="0007572B" w:rsidRDefault="00D1577F" w:rsidP="006F1659">
      <w:pPr>
        <w:autoSpaceDE w:val="0"/>
        <w:autoSpaceDN w:val="0"/>
        <w:adjustRightInd w:val="0"/>
        <w:spacing w:line="360" w:lineRule="auto"/>
        <w:rPr>
          <w:rFonts w:ascii="Arial" w:hAnsi="Arial" w:cs="Arial"/>
          <w:color w:val="000000"/>
          <w:lang w:val="en-US"/>
        </w:rPr>
      </w:pPr>
    </w:p>
    <w:p w14:paraId="01DE17E3" w14:textId="54C0C424" w:rsidR="00D1577F" w:rsidRPr="0007572B" w:rsidRDefault="00D1577F" w:rsidP="006F1659">
      <w:pPr>
        <w:autoSpaceDE w:val="0"/>
        <w:autoSpaceDN w:val="0"/>
        <w:adjustRightInd w:val="0"/>
        <w:spacing w:line="360" w:lineRule="auto"/>
        <w:rPr>
          <w:rFonts w:ascii="Arial" w:eastAsia="Calibri" w:hAnsi="Arial" w:cs="Arial"/>
          <w:color w:val="000000"/>
          <w:lang w:val="en-US"/>
        </w:rPr>
      </w:pPr>
      <w:r w:rsidRPr="0007572B">
        <w:rPr>
          <w:rFonts w:ascii="Arial" w:hAnsi="Arial" w:cs="Arial"/>
          <w:color w:val="000000"/>
          <w:lang w:val="en-US"/>
        </w:rPr>
        <w:t>Under the legislative framework and local arrangements, GMCA, under sole instruction from the Mayor, is responsible for the finances of the Mayoral Police Fund including assets, liabilities and reserves. The GMCA has responsibility for entering into contracts and establishing the contractual framework under which the Chief Constable’s officers and staff operate.</w:t>
      </w:r>
      <w:r w:rsidRPr="0007572B">
        <w:rPr>
          <w:rFonts w:ascii="Arial" w:eastAsia="Calibri" w:hAnsi="Arial" w:cs="Arial"/>
          <w:color w:val="000000"/>
          <w:lang w:val="en-US"/>
        </w:rPr>
        <w:t xml:space="preserve"> The GMCA receives all income and funding and makes all the payments for the policing activity from the Mayoral Police Fund. The movement on the Police Fund is disclosed in </w:t>
      </w:r>
      <w:r w:rsidR="00463AF0">
        <w:rPr>
          <w:rFonts w:ascii="Arial" w:eastAsia="Calibri" w:hAnsi="Arial" w:cs="Arial"/>
          <w:color w:val="000000"/>
          <w:lang w:val="en-US"/>
        </w:rPr>
        <w:t>N</w:t>
      </w:r>
      <w:r w:rsidR="00B075B2" w:rsidRPr="0007572B">
        <w:rPr>
          <w:rFonts w:ascii="Arial" w:eastAsia="Calibri" w:hAnsi="Arial" w:cs="Arial"/>
          <w:color w:val="000000"/>
          <w:lang w:val="en-US"/>
        </w:rPr>
        <w:t>ote 35</w:t>
      </w:r>
      <w:r w:rsidRPr="0007572B">
        <w:rPr>
          <w:rFonts w:ascii="Arial" w:eastAsia="Calibri" w:hAnsi="Arial" w:cs="Arial"/>
          <w:color w:val="000000"/>
          <w:lang w:val="en-US"/>
        </w:rPr>
        <w:t>.</w:t>
      </w:r>
    </w:p>
    <w:p w14:paraId="40470F6B" w14:textId="77777777" w:rsidR="00D1577F" w:rsidRPr="0007572B" w:rsidRDefault="00D1577F" w:rsidP="006F1659">
      <w:pPr>
        <w:autoSpaceDE w:val="0"/>
        <w:autoSpaceDN w:val="0"/>
        <w:spacing w:line="360" w:lineRule="auto"/>
        <w:rPr>
          <w:rFonts w:ascii="Arial" w:hAnsi="Arial" w:cs="Arial"/>
          <w:color w:val="000000"/>
          <w:lang w:val="en-US"/>
        </w:rPr>
      </w:pPr>
    </w:p>
    <w:p w14:paraId="01275F4F" w14:textId="20970254" w:rsidR="00D1577F" w:rsidRPr="0007572B" w:rsidRDefault="00D1577F" w:rsidP="006F1659">
      <w:pPr>
        <w:autoSpaceDE w:val="0"/>
        <w:autoSpaceDN w:val="0"/>
        <w:spacing w:line="360" w:lineRule="auto"/>
        <w:rPr>
          <w:rFonts w:ascii="Arial" w:hAnsi="Arial" w:cs="Arial"/>
        </w:rPr>
      </w:pPr>
      <w:r w:rsidRPr="0007572B">
        <w:rPr>
          <w:rFonts w:ascii="Arial" w:hAnsi="Arial" w:cs="Arial"/>
          <w:color w:val="000000"/>
          <w:lang w:val="en-US"/>
        </w:rPr>
        <w:t xml:space="preserve">In compliance with legislation, the Police Fund is accounted for in the group accounts of the GMCA. In the interests of </w:t>
      </w:r>
      <w:r w:rsidR="00F02D7B" w:rsidRPr="0007572B">
        <w:rPr>
          <w:rFonts w:ascii="Arial" w:hAnsi="Arial" w:cs="Arial"/>
          <w:color w:val="000000"/>
          <w:lang w:val="en-US"/>
        </w:rPr>
        <w:t>transparency,</w:t>
      </w:r>
      <w:r w:rsidRPr="0007572B">
        <w:rPr>
          <w:rFonts w:ascii="Arial" w:hAnsi="Arial" w:cs="Arial"/>
          <w:color w:val="000000"/>
          <w:lang w:val="en-US"/>
        </w:rPr>
        <w:t xml:space="preserve"> t</w:t>
      </w:r>
      <w:r w:rsidRPr="0007572B">
        <w:rPr>
          <w:rFonts w:ascii="Arial" w:hAnsi="Arial" w:cs="Arial"/>
        </w:rPr>
        <w:t xml:space="preserve">he statements below set out how the Police Fund was spent and funded, movements in the Mayoral Police Fund reserves and assets deployed for policing in </w:t>
      </w:r>
      <w:r w:rsidR="00D1125B">
        <w:rPr>
          <w:rFonts w:ascii="Arial" w:hAnsi="Arial" w:cs="Arial"/>
        </w:rPr>
        <w:t>2023/24</w:t>
      </w:r>
      <w:r w:rsidRPr="0007572B">
        <w:rPr>
          <w:rFonts w:ascii="Arial" w:hAnsi="Arial" w:cs="Arial"/>
        </w:rPr>
        <w:t>.</w:t>
      </w:r>
    </w:p>
    <w:p w14:paraId="263CB859" w14:textId="6CDF52FA" w:rsidR="00D1577F" w:rsidRPr="0007572B" w:rsidRDefault="00D1577F" w:rsidP="006F1659">
      <w:pPr>
        <w:spacing w:line="360" w:lineRule="auto"/>
        <w:rPr>
          <w:rFonts w:ascii="Arial" w:hAnsi="Arial" w:cs="Arial"/>
          <w:b/>
          <w:sz w:val="22"/>
          <w:szCs w:val="22"/>
        </w:rPr>
      </w:pPr>
    </w:p>
    <w:p w14:paraId="7EFF790C" w14:textId="29D3B3DA" w:rsidR="009A1A83" w:rsidRDefault="00D1577F" w:rsidP="006F1659">
      <w:pPr>
        <w:pStyle w:val="Heading4bold"/>
        <w:spacing w:line="360" w:lineRule="auto"/>
        <w:rPr>
          <w:b w:val="0"/>
          <w:bCs w:val="0"/>
        </w:rPr>
      </w:pPr>
      <w:r w:rsidRPr="0007572B">
        <w:lastRenderedPageBreak/>
        <w:t>Police Fund Income and Expenditur</w:t>
      </w:r>
      <w:r w:rsidR="001B1DE6" w:rsidRPr="0007572B">
        <w:t>e</w:t>
      </w:r>
      <w:r w:rsidRPr="0007572B">
        <w:t>:</w:t>
      </w:r>
      <w:r w:rsidR="00520F77" w:rsidRPr="00520F77">
        <w:rPr>
          <w:b w:val="0"/>
          <w:bCs w:val="0"/>
        </w:rPr>
        <w:t xml:space="preserve"> </w:t>
      </w:r>
    </w:p>
    <w:p w14:paraId="02223E0A" w14:textId="1681AFE4" w:rsidR="00AC4453" w:rsidRDefault="00EF6995" w:rsidP="006F1659">
      <w:pPr>
        <w:spacing w:line="360" w:lineRule="auto"/>
        <w:rPr>
          <w:rFonts w:ascii="Arial" w:hAnsi="Arial" w:cs="Arial"/>
          <w:b/>
          <w:bCs/>
        </w:rPr>
      </w:pPr>
      <w:r w:rsidRPr="00EF6995">
        <w:rPr>
          <w:noProof/>
        </w:rPr>
        <w:drawing>
          <wp:inline distT="0" distB="0" distL="0" distR="0" wp14:anchorId="1CEC4E11" wp14:editId="086A5D9D">
            <wp:extent cx="6479540" cy="4836795"/>
            <wp:effectExtent l="0" t="0" r="0" b="1905"/>
            <wp:docPr id="1317233621" name="Picture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33621" name="Picture 105">
                      <a:extLst>
                        <a:ext uri="{C183D7F6-B498-43B3-948B-1728B52AA6E4}">
                          <adec:decorative xmlns:adec="http://schemas.microsoft.com/office/drawing/2017/decorative" val="1"/>
                        </a:ext>
                      </a:extLs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6479540" cy="4836795"/>
                    </a:xfrm>
                    <a:prstGeom prst="rect">
                      <a:avLst/>
                    </a:prstGeom>
                    <a:noFill/>
                    <a:ln>
                      <a:noFill/>
                    </a:ln>
                  </pic:spPr>
                </pic:pic>
              </a:graphicData>
            </a:graphic>
          </wp:inline>
        </w:drawing>
      </w:r>
    </w:p>
    <w:p w14:paraId="623D63D3" w14:textId="77777777" w:rsidR="00EF6995" w:rsidRDefault="00EF6995" w:rsidP="006F1659">
      <w:pPr>
        <w:spacing w:line="360" w:lineRule="auto"/>
        <w:rPr>
          <w:rFonts w:ascii="Arial" w:hAnsi="Arial" w:cs="Arial"/>
          <w:b/>
          <w:bCs/>
        </w:rPr>
      </w:pPr>
    </w:p>
    <w:p w14:paraId="4B3DE6F6" w14:textId="4E7F3BB4" w:rsidR="00D1577F" w:rsidRPr="0007572B" w:rsidRDefault="00D1577F" w:rsidP="006F1659">
      <w:pPr>
        <w:pStyle w:val="Heading4bold"/>
        <w:spacing w:line="360" w:lineRule="auto"/>
      </w:pPr>
      <w:r w:rsidRPr="0007572B">
        <w:t>Movement in Mayoral Police Fund Reserves:</w:t>
      </w:r>
    </w:p>
    <w:p w14:paraId="3D991538" w14:textId="77777777" w:rsidR="00D1577F" w:rsidRPr="0007572B" w:rsidRDefault="00D1577F" w:rsidP="006F1659">
      <w:pPr>
        <w:spacing w:line="360" w:lineRule="auto"/>
        <w:rPr>
          <w:rFonts w:ascii="Arial" w:hAnsi="Arial" w:cs="Arial"/>
        </w:rPr>
      </w:pPr>
      <w:r w:rsidRPr="0007572B">
        <w:rPr>
          <w:rFonts w:ascii="Arial" w:hAnsi="Arial" w:cs="Arial"/>
        </w:rPr>
        <w:t>This note sets out the amounts set aside from the General Fund in reserves to provide financing for future expenditure plans and the amounts posted back from earmarked reserves to meet General Fund expenditure.</w:t>
      </w:r>
    </w:p>
    <w:p w14:paraId="15886EC6" w14:textId="749EC698" w:rsidR="00520F77" w:rsidRDefault="00EF6995" w:rsidP="006F1659">
      <w:pPr>
        <w:spacing w:line="360" w:lineRule="auto"/>
        <w:rPr>
          <w:rFonts w:ascii="Arial" w:hAnsi="Arial" w:cs="Arial"/>
          <w:b/>
          <w:sz w:val="22"/>
          <w:szCs w:val="22"/>
        </w:rPr>
      </w:pPr>
      <w:r w:rsidRPr="00EF6995">
        <w:rPr>
          <w:noProof/>
        </w:rPr>
        <w:drawing>
          <wp:inline distT="0" distB="0" distL="0" distR="0" wp14:anchorId="54526F6F" wp14:editId="694451B9">
            <wp:extent cx="5346700" cy="1441450"/>
            <wp:effectExtent l="0" t="0" r="6350" b="6350"/>
            <wp:docPr id="324097854" name="Picture 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097854" name="Picture 106">
                      <a:extLst>
                        <a:ext uri="{C183D7F6-B498-43B3-948B-1728B52AA6E4}">
                          <adec:decorative xmlns:adec="http://schemas.microsoft.com/office/drawing/2017/decorative" val="1"/>
                        </a:ext>
                      </a:extLs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346700" cy="1441450"/>
                    </a:xfrm>
                    <a:prstGeom prst="rect">
                      <a:avLst/>
                    </a:prstGeom>
                    <a:noFill/>
                    <a:ln>
                      <a:noFill/>
                    </a:ln>
                  </pic:spPr>
                </pic:pic>
              </a:graphicData>
            </a:graphic>
          </wp:inline>
        </w:drawing>
      </w:r>
    </w:p>
    <w:p w14:paraId="0BFAF8D2" w14:textId="0C63252D" w:rsidR="0056706E" w:rsidRPr="0007572B" w:rsidRDefault="00160E07" w:rsidP="006F1659">
      <w:pPr>
        <w:tabs>
          <w:tab w:val="left" w:pos="2716"/>
        </w:tabs>
        <w:spacing w:line="360" w:lineRule="auto"/>
        <w:rPr>
          <w:rFonts w:ascii="Arial" w:hAnsi="Arial" w:cs="Arial"/>
          <w:b/>
          <w:sz w:val="22"/>
          <w:szCs w:val="22"/>
        </w:rPr>
      </w:pPr>
      <w:r>
        <w:rPr>
          <w:rFonts w:ascii="Arial" w:hAnsi="Arial" w:cs="Arial"/>
          <w:b/>
          <w:sz w:val="22"/>
          <w:szCs w:val="22"/>
        </w:rPr>
        <w:tab/>
      </w:r>
    </w:p>
    <w:p w14:paraId="55E05601" w14:textId="77777777" w:rsidR="00D1577F" w:rsidRPr="0007572B" w:rsidRDefault="00D1577F" w:rsidP="006F1659">
      <w:pPr>
        <w:spacing w:line="360" w:lineRule="auto"/>
        <w:rPr>
          <w:rFonts w:ascii="Arial" w:hAnsi="Arial" w:cs="Arial"/>
          <w:b/>
          <w:sz w:val="22"/>
          <w:szCs w:val="22"/>
        </w:rPr>
      </w:pPr>
    </w:p>
    <w:p w14:paraId="1A5058E1" w14:textId="77777777" w:rsidR="00D1577F" w:rsidRPr="0007572B" w:rsidRDefault="00D1577F" w:rsidP="006F1659">
      <w:pPr>
        <w:spacing w:after="160" w:line="360" w:lineRule="auto"/>
        <w:rPr>
          <w:rFonts w:ascii="Arial" w:hAnsi="Arial" w:cs="Arial"/>
          <w:b/>
          <w:color w:val="000000"/>
          <w:sz w:val="22"/>
          <w:szCs w:val="22"/>
          <w:lang w:val="en-US"/>
        </w:rPr>
        <w:sectPr w:rsidR="00D1577F" w:rsidRPr="0007572B" w:rsidSect="004833A2">
          <w:pgSz w:w="11906" w:h="16838"/>
          <w:pgMar w:top="947" w:right="851" w:bottom="1440" w:left="851" w:header="284" w:footer="567" w:gutter="0"/>
          <w:cols w:space="708"/>
          <w:docGrid w:linePitch="360"/>
        </w:sectPr>
      </w:pPr>
    </w:p>
    <w:p w14:paraId="176E7486" w14:textId="77777777" w:rsidR="00D1577F" w:rsidRPr="0007572B" w:rsidRDefault="00D1577F" w:rsidP="006F1659">
      <w:pPr>
        <w:pStyle w:val="Heading4bold"/>
        <w:spacing w:line="360" w:lineRule="auto"/>
        <w:rPr>
          <w:lang w:val="en-US"/>
        </w:rPr>
      </w:pPr>
      <w:r w:rsidRPr="0007572B">
        <w:rPr>
          <w:lang w:val="en-US"/>
        </w:rPr>
        <w:lastRenderedPageBreak/>
        <w:t>Assets deployed in the provision of Policing Services:</w:t>
      </w:r>
    </w:p>
    <w:p w14:paraId="03C2819A" w14:textId="1AF44A44" w:rsidR="00CD68B8" w:rsidRDefault="00EF6995" w:rsidP="006F1659">
      <w:pPr>
        <w:spacing w:line="360" w:lineRule="auto"/>
        <w:rPr>
          <w:noProof/>
        </w:rPr>
      </w:pPr>
      <w:r w:rsidRPr="00EF6995">
        <w:rPr>
          <w:noProof/>
        </w:rPr>
        <w:drawing>
          <wp:inline distT="0" distB="0" distL="0" distR="0" wp14:anchorId="0B5E2F1D" wp14:editId="2262BD1B">
            <wp:extent cx="9177020" cy="3292475"/>
            <wp:effectExtent l="0" t="0" r="5080" b="3175"/>
            <wp:docPr id="1309896162" name="Picture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96162" name="Picture 107">
                      <a:extLst>
                        <a:ext uri="{C183D7F6-B498-43B3-948B-1728B52AA6E4}">
                          <adec:decorative xmlns:adec="http://schemas.microsoft.com/office/drawing/2017/decorative" val="1"/>
                        </a:ext>
                      </a:extLst>
                    </pic:cNvP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9177020" cy="3292475"/>
                    </a:xfrm>
                    <a:prstGeom prst="rect">
                      <a:avLst/>
                    </a:prstGeom>
                    <a:noFill/>
                    <a:ln>
                      <a:noFill/>
                    </a:ln>
                  </pic:spPr>
                </pic:pic>
              </a:graphicData>
            </a:graphic>
          </wp:inline>
        </w:drawing>
      </w:r>
    </w:p>
    <w:p w14:paraId="57D64219" w14:textId="1E32E1CF" w:rsidR="0056706E" w:rsidRPr="0007572B" w:rsidRDefault="0056706E" w:rsidP="006F1659">
      <w:pPr>
        <w:spacing w:line="360" w:lineRule="auto"/>
        <w:rPr>
          <w:rFonts w:ascii="Arial" w:hAnsi="Arial" w:cs="Arial"/>
          <w:b/>
          <w:sz w:val="22"/>
          <w:szCs w:val="22"/>
        </w:rPr>
      </w:pPr>
    </w:p>
    <w:p w14:paraId="5E0EF686" w14:textId="4F6ACCEB" w:rsidR="00C01234" w:rsidRPr="0007572B" w:rsidRDefault="00C01234" w:rsidP="006F1659">
      <w:pPr>
        <w:spacing w:line="360" w:lineRule="auto"/>
        <w:rPr>
          <w:rFonts w:ascii="Arial" w:hAnsi="Arial" w:cs="Arial"/>
          <w:b/>
        </w:rPr>
      </w:pPr>
    </w:p>
    <w:p w14:paraId="470A9825" w14:textId="396475FB" w:rsidR="00C01234" w:rsidRPr="0007572B" w:rsidRDefault="00C01234" w:rsidP="006F1659">
      <w:pPr>
        <w:spacing w:line="360" w:lineRule="auto"/>
        <w:rPr>
          <w:rFonts w:ascii="Arial" w:hAnsi="Arial" w:cs="Arial"/>
          <w:b/>
          <w:sz w:val="40"/>
          <w:szCs w:val="40"/>
        </w:rPr>
        <w:sectPr w:rsidR="00C01234" w:rsidRPr="0007572B" w:rsidSect="004833A2">
          <w:headerReference w:type="default" r:id="rId112"/>
          <w:pgSz w:w="16838" w:h="11906" w:orient="landscape"/>
          <w:pgMar w:top="1080" w:right="946" w:bottom="1416" w:left="1440" w:header="283" w:footer="567" w:gutter="0"/>
          <w:cols w:space="708"/>
          <w:docGrid w:linePitch="360"/>
        </w:sectPr>
      </w:pPr>
    </w:p>
    <w:p w14:paraId="637E0CFC" w14:textId="77777777" w:rsidR="00C01234" w:rsidRPr="0007572B" w:rsidRDefault="00C01234" w:rsidP="006F1659">
      <w:pPr>
        <w:pStyle w:val="Heading4bold"/>
        <w:spacing w:line="360" w:lineRule="auto"/>
      </w:pPr>
      <w:r w:rsidRPr="0007572B">
        <w:lastRenderedPageBreak/>
        <w:t>Police Fund Intangible Assets:</w:t>
      </w:r>
    </w:p>
    <w:p w14:paraId="1B4D7D49" w14:textId="1A88626F" w:rsidR="00990A8F" w:rsidRPr="0007572B" w:rsidRDefault="00EF6995"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b/>
          <w:color w:val="000000"/>
          <w:sz w:val="22"/>
          <w:szCs w:val="22"/>
        </w:rPr>
      </w:pPr>
      <w:r w:rsidRPr="00EF6995">
        <w:rPr>
          <w:noProof/>
        </w:rPr>
        <w:drawing>
          <wp:inline distT="0" distB="0" distL="0" distR="0" wp14:anchorId="4E57E7D4" wp14:editId="40FD679C">
            <wp:extent cx="5975350" cy="2797810"/>
            <wp:effectExtent l="0" t="0" r="6350" b="2540"/>
            <wp:docPr id="129121479" name="Picture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21479" name="Picture 108">
                      <a:extLst>
                        <a:ext uri="{C183D7F6-B498-43B3-948B-1728B52AA6E4}">
                          <adec:decorative xmlns:adec="http://schemas.microsoft.com/office/drawing/2017/decorative" val="1"/>
                        </a:ext>
                      </a:extLst>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975350" cy="2797810"/>
                    </a:xfrm>
                    <a:prstGeom prst="rect">
                      <a:avLst/>
                    </a:prstGeom>
                    <a:noFill/>
                    <a:ln>
                      <a:noFill/>
                    </a:ln>
                  </pic:spPr>
                </pic:pic>
              </a:graphicData>
            </a:graphic>
          </wp:inline>
        </w:drawing>
      </w:r>
    </w:p>
    <w:p w14:paraId="04CDE850" w14:textId="10B46318" w:rsidR="0056706E" w:rsidRPr="0007572B" w:rsidRDefault="0056706E"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b/>
          <w:color w:val="000000"/>
          <w:sz w:val="22"/>
          <w:szCs w:val="22"/>
        </w:rPr>
      </w:pPr>
    </w:p>
    <w:p w14:paraId="251554C3" w14:textId="3EB23A0A" w:rsidR="00C01234" w:rsidRPr="0007572B" w:rsidRDefault="00C01234"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b/>
          <w:color w:val="000000"/>
          <w:sz w:val="22"/>
          <w:szCs w:val="22"/>
        </w:rPr>
      </w:pPr>
    </w:p>
    <w:p w14:paraId="32F65A3A" w14:textId="77777777" w:rsidR="00C01234" w:rsidRPr="0007572B" w:rsidRDefault="00C01234" w:rsidP="006F1659">
      <w:pPr>
        <w:spacing w:line="360" w:lineRule="auto"/>
        <w:rPr>
          <w:rFonts w:ascii="Arial" w:hAnsi="Arial" w:cs="Arial"/>
          <w:b/>
          <w:sz w:val="22"/>
          <w:szCs w:val="22"/>
        </w:rPr>
      </w:pPr>
      <w:r w:rsidRPr="0007572B">
        <w:rPr>
          <w:rFonts w:ascii="Arial" w:hAnsi="Arial" w:cs="Arial"/>
          <w:b/>
          <w:sz w:val="22"/>
          <w:szCs w:val="22"/>
        </w:rPr>
        <w:br w:type="page"/>
      </w:r>
    </w:p>
    <w:p w14:paraId="7C09EF50" w14:textId="39613FE4" w:rsidR="00293CC5" w:rsidRPr="0007572B" w:rsidRDefault="00293CC5" w:rsidP="006F1659">
      <w:pPr>
        <w:pStyle w:val="Heaading2green"/>
        <w:spacing w:line="360" w:lineRule="auto"/>
      </w:pPr>
      <w:bookmarkStart w:id="213" w:name="_Toc109922649"/>
      <w:bookmarkStart w:id="214" w:name="_Hlk138337209"/>
      <w:r w:rsidRPr="0007572B">
        <w:lastRenderedPageBreak/>
        <w:t>Firefighters’ Pension Fund</w:t>
      </w:r>
      <w:bookmarkEnd w:id="213"/>
    </w:p>
    <w:p w14:paraId="6079CDA8" w14:textId="77777777" w:rsidR="005F371A" w:rsidRPr="005F371A" w:rsidRDefault="005F371A" w:rsidP="006F1659">
      <w:pPr>
        <w:spacing w:line="360" w:lineRule="auto"/>
        <w:rPr>
          <w:rFonts w:ascii="Arial" w:hAnsi="Arial" w:cs="Arial"/>
        </w:rPr>
      </w:pPr>
    </w:p>
    <w:p w14:paraId="323DBAEF" w14:textId="2A405A95" w:rsidR="00293CC5" w:rsidRPr="005F371A" w:rsidRDefault="00293CC5" w:rsidP="006F1659">
      <w:pPr>
        <w:spacing w:line="360" w:lineRule="auto"/>
        <w:rPr>
          <w:rFonts w:ascii="Arial" w:hAnsi="Arial" w:cs="Arial"/>
        </w:rPr>
      </w:pPr>
      <w:r w:rsidRPr="005F371A">
        <w:rPr>
          <w:rFonts w:ascii="Arial" w:hAnsi="Arial" w:cs="Arial"/>
        </w:rPr>
        <w:t>There is a requirement in the Code of Practice to produce a Pension Fund Account and Net Assets Statement in respect of the Firefighter’s Pension Scheme. The purpose of the Fund is to provide a basis for demonstrating the balance of cash based transactions taking place over the year and for identifying the arrangements needed to close the balance for the year. The primary objective is to separate the cost of providing pensions from the cost of running services.</w:t>
      </w:r>
    </w:p>
    <w:p w14:paraId="0539231E" w14:textId="77777777" w:rsidR="00293CC5" w:rsidRPr="0007572B" w:rsidRDefault="00293CC5" w:rsidP="006F1659">
      <w:pPr>
        <w:spacing w:line="360" w:lineRule="auto"/>
        <w:rPr>
          <w:rFonts w:ascii="Arial" w:hAnsi="Arial" w:cs="Arial"/>
          <w:sz w:val="28"/>
          <w:szCs w:val="28"/>
        </w:rPr>
      </w:pPr>
    </w:p>
    <w:p w14:paraId="7C04E387" w14:textId="242C3BAC" w:rsidR="00293CC5" w:rsidRDefault="00293CC5" w:rsidP="006F1659">
      <w:pPr>
        <w:spacing w:line="360" w:lineRule="auto"/>
        <w:rPr>
          <w:rFonts w:ascii="Arial" w:hAnsi="Arial" w:cs="Arial"/>
        </w:rPr>
      </w:pPr>
      <w:r w:rsidRPr="0007572B">
        <w:rPr>
          <w:rFonts w:ascii="Arial" w:hAnsi="Arial" w:cs="Arial"/>
        </w:rPr>
        <w:t>This is an unfunded scheme, which is administered in accordance with Home Office regulations. For such schemes as there are no investment assets, IAS19 requires recognition of the liability and pension reserve in the Balance Sheet and transactions in the Income and Expenditure Account for movements in the liability and reserve.</w:t>
      </w:r>
    </w:p>
    <w:p w14:paraId="28BAD9A7" w14:textId="42979F07" w:rsidR="00823103" w:rsidRPr="0007572B" w:rsidRDefault="00823103" w:rsidP="006F1659">
      <w:pPr>
        <w:pStyle w:val="Heading3"/>
        <w:spacing w:line="360" w:lineRule="auto"/>
      </w:pPr>
      <w:bookmarkStart w:id="215" w:name="_Toc92894912"/>
      <w:bookmarkStart w:id="216" w:name="_Toc92895216"/>
      <w:bookmarkStart w:id="217" w:name="_Toc109922650"/>
      <w:r>
        <w:t>Firefighters’ Pension Fund Account</w:t>
      </w:r>
      <w:bookmarkEnd w:id="215"/>
      <w:bookmarkEnd w:id="216"/>
      <w:bookmarkEnd w:id="217"/>
    </w:p>
    <w:p w14:paraId="31DA0CF0" w14:textId="275E092D" w:rsidR="00421474" w:rsidRDefault="00EF6995" w:rsidP="006F1659">
      <w:pPr>
        <w:spacing w:line="360" w:lineRule="auto"/>
        <w:rPr>
          <w:rFonts w:ascii="Arial" w:hAnsi="Arial" w:cs="Arial"/>
        </w:rPr>
      </w:pPr>
      <w:r w:rsidRPr="00EF6995">
        <w:rPr>
          <w:noProof/>
        </w:rPr>
        <w:drawing>
          <wp:inline distT="0" distB="0" distL="0" distR="0" wp14:anchorId="44EBA8FF" wp14:editId="4DC69A2C">
            <wp:extent cx="5537200" cy="2952750"/>
            <wp:effectExtent l="0" t="0" r="6350" b="0"/>
            <wp:docPr id="1730752236" name="Picture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752236" name="Picture 109">
                      <a:extLst>
                        <a:ext uri="{C183D7F6-B498-43B3-948B-1728B52AA6E4}">
                          <adec:decorative xmlns:adec="http://schemas.microsoft.com/office/drawing/2017/decorative" val="1"/>
                        </a:ext>
                      </a:extLst>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537200" cy="2952750"/>
                    </a:xfrm>
                    <a:prstGeom prst="rect">
                      <a:avLst/>
                    </a:prstGeom>
                    <a:noFill/>
                    <a:ln>
                      <a:noFill/>
                    </a:ln>
                  </pic:spPr>
                </pic:pic>
              </a:graphicData>
            </a:graphic>
          </wp:inline>
        </w:drawing>
      </w:r>
    </w:p>
    <w:p w14:paraId="44B45F11" w14:textId="77777777" w:rsidR="00421474" w:rsidRPr="0007572B" w:rsidRDefault="00421474" w:rsidP="006F1659">
      <w:pPr>
        <w:spacing w:line="360" w:lineRule="auto"/>
        <w:rPr>
          <w:rFonts w:ascii="Arial" w:hAnsi="Arial" w:cs="Arial"/>
        </w:rPr>
      </w:pPr>
    </w:p>
    <w:p w14:paraId="313AD74B" w14:textId="77777777" w:rsidR="00293CC5" w:rsidRPr="0007572B" w:rsidRDefault="00293CC5" w:rsidP="006F1659">
      <w:pPr>
        <w:pStyle w:val="Heading3"/>
        <w:spacing w:line="360" w:lineRule="auto"/>
      </w:pPr>
      <w:bookmarkStart w:id="218" w:name="_Toc92894913"/>
      <w:bookmarkStart w:id="219" w:name="_Toc92895217"/>
      <w:bookmarkStart w:id="220" w:name="_Toc109922651"/>
      <w:r w:rsidRPr="0007572B">
        <w:t>Net asset statement</w:t>
      </w:r>
      <w:bookmarkEnd w:id="218"/>
      <w:bookmarkEnd w:id="219"/>
      <w:bookmarkEnd w:id="220"/>
    </w:p>
    <w:p w14:paraId="29DBAC2C" w14:textId="23C52A4E" w:rsidR="00293CC5" w:rsidRPr="0007572B" w:rsidRDefault="00EF6995" w:rsidP="006F1659">
      <w:pPr>
        <w:spacing w:line="360" w:lineRule="auto"/>
        <w:rPr>
          <w:rFonts w:ascii="Arial" w:hAnsi="Arial" w:cs="Arial"/>
        </w:rPr>
      </w:pPr>
      <w:r w:rsidRPr="00EF6995">
        <w:rPr>
          <w:noProof/>
        </w:rPr>
        <w:drawing>
          <wp:inline distT="0" distB="0" distL="0" distR="0" wp14:anchorId="2F338510" wp14:editId="547CAB5B">
            <wp:extent cx="5537200" cy="1022350"/>
            <wp:effectExtent l="0" t="0" r="6350" b="6350"/>
            <wp:docPr id="39365028" name="Picture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65028" name="Picture 110">
                      <a:extLst>
                        <a:ext uri="{C183D7F6-B498-43B3-948B-1728B52AA6E4}">
                          <adec:decorative xmlns:adec="http://schemas.microsoft.com/office/drawing/2017/decorative" val="1"/>
                        </a:ext>
                      </a:extLst>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537200" cy="1022350"/>
                    </a:xfrm>
                    <a:prstGeom prst="rect">
                      <a:avLst/>
                    </a:prstGeom>
                    <a:noFill/>
                    <a:ln>
                      <a:noFill/>
                    </a:ln>
                  </pic:spPr>
                </pic:pic>
              </a:graphicData>
            </a:graphic>
          </wp:inline>
        </w:drawing>
      </w:r>
    </w:p>
    <w:p w14:paraId="2FDDD2D7" w14:textId="12EF340E" w:rsidR="00293CC5" w:rsidRPr="0007572B" w:rsidRDefault="00293CC5" w:rsidP="006F1659">
      <w:pPr>
        <w:spacing w:line="360" w:lineRule="auto"/>
        <w:rPr>
          <w:rFonts w:ascii="Arial" w:hAnsi="Arial" w:cs="Arial"/>
        </w:rPr>
      </w:pPr>
      <w:r w:rsidRPr="0007572B">
        <w:rPr>
          <w:rFonts w:ascii="Arial" w:hAnsi="Arial" w:cs="Arial"/>
        </w:rPr>
        <w:lastRenderedPageBreak/>
        <w:t xml:space="preserve">The funding arrangements for the Firefighters’ Pension Scheme in England changed on 1 April 2006. Before 1 April 2006 these schemes did not have a percentage of pensionable pay type of employer’s contribution - rather each </w:t>
      </w:r>
      <w:r w:rsidR="00D952FE" w:rsidRPr="0007572B">
        <w:rPr>
          <w:rFonts w:ascii="Arial" w:hAnsi="Arial" w:cs="Arial"/>
        </w:rPr>
        <w:t>a</w:t>
      </w:r>
      <w:r w:rsidRPr="0007572B">
        <w:rPr>
          <w:rFonts w:ascii="Arial" w:hAnsi="Arial" w:cs="Arial"/>
        </w:rPr>
        <w:t xml:space="preserve">uthority was responsible for paying the pensions of its own former employees on a pay as you go basis. Under the new arrangements the schemes remain unfunded but Authorities will pay an employer’s pension contribution based on a percentage of pay into the Pension Fund. Each </w:t>
      </w:r>
      <w:r w:rsidR="00D952FE" w:rsidRPr="0007572B">
        <w:rPr>
          <w:rFonts w:ascii="Arial" w:hAnsi="Arial" w:cs="Arial"/>
        </w:rPr>
        <w:t>a</w:t>
      </w:r>
      <w:r w:rsidRPr="0007572B">
        <w:rPr>
          <w:rFonts w:ascii="Arial" w:hAnsi="Arial" w:cs="Arial"/>
        </w:rPr>
        <w:t>uthority in England is required by legislation to operate a Pension Fund and the amounts that must be paid into and out of the Fund are specified by regulation under the Firefighters’ Pension Scheme (Amendment) (England) Order 2006.</w:t>
      </w:r>
    </w:p>
    <w:p w14:paraId="6BEE47B6" w14:textId="77777777" w:rsidR="00293CC5" w:rsidRPr="0007572B" w:rsidRDefault="00293CC5" w:rsidP="006F1659">
      <w:pPr>
        <w:spacing w:line="360" w:lineRule="auto"/>
        <w:rPr>
          <w:rFonts w:ascii="Arial" w:hAnsi="Arial" w:cs="Arial"/>
        </w:rPr>
      </w:pPr>
    </w:p>
    <w:p w14:paraId="2F420781" w14:textId="1957DA11" w:rsidR="00293CC5" w:rsidRPr="0007572B" w:rsidRDefault="00293CC5" w:rsidP="006F1659">
      <w:pPr>
        <w:spacing w:line="360" w:lineRule="auto"/>
        <w:rPr>
          <w:rFonts w:ascii="Arial" w:hAnsi="Arial" w:cs="Arial"/>
        </w:rPr>
      </w:pPr>
      <w:r w:rsidRPr="0007572B">
        <w:rPr>
          <w:rFonts w:ascii="Arial" w:hAnsi="Arial" w:cs="Arial"/>
        </w:rPr>
        <w:t xml:space="preserve">Employees’ and employers’ contribution levels are based on percentages of pensionable pay set nationally by the Government Actuary Department (GAD) and are subject to </w:t>
      </w:r>
      <w:r w:rsidRPr="000E6B9C">
        <w:rPr>
          <w:rFonts w:ascii="Arial" w:hAnsi="Arial" w:cs="Arial"/>
        </w:rPr>
        <w:t>revaluation</w:t>
      </w:r>
      <w:r w:rsidR="00970BA2">
        <w:rPr>
          <w:rFonts w:ascii="Arial" w:hAnsi="Arial" w:cs="Arial"/>
        </w:rPr>
        <w:t xml:space="preserve"> every four years</w:t>
      </w:r>
      <w:r w:rsidRPr="000E6B9C">
        <w:rPr>
          <w:rFonts w:ascii="Arial" w:hAnsi="Arial" w:cs="Arial"/>
        </w:rPr>
        <w:t>.</w:t>
      </w:r>
    </w:p>
    <w:p w14:paraId="1326B968" w14:textId="77777777" w:rsidR="00293CC5" w:rsidRPr="0007572B" w:rsidRDefault="00293CC5" w:rsidP="006F1659">
      <w:pPr>
        <w:spacing w:line="360" w:lineRule="auto"/>
        <w:rPr>
          <w:rFonts w:ascii="Arial" w:hAnsi="Arial" w:cs="Arial"/>
        </w:rPr>
      </w:pPr>
    </w:p>
    <w:p w14:paraId="72BD31A0" w14:textId="77777777" w:rsidR="000E6B9C" w:rsidRPr="0007572B" w:rsidRDefault="000E6B9C" w:rsidP="006F1659">
      <w:pPr>
        <w:spacing w:line="360" w:lineRule="auto"/>
        <w:rPr>
          <w:rFonts w:ascii="Arial" w:hAnsi="Arial" w:cs="Arial"/>
        </w:rPr>
      </w:pPr>
      <w:r w:rsidRPr="00FD2554">
        <w:rPr>
          <w:rFonts w:ascii="Arial" w:hAnsi="Arial" w:cs="Arial"/>
        </w:rPr>
        <w:t>The latest valuation was carried out based on data as at 31 March 2020. This has then been rolled forward to reflect the position as at 31 March 2023. In particular allowing for service accrued between 1 April 2020 and 31 March 2023 and known pension and salary increases that would have applied.</w:t>
      </w:r>
    </w:p>
    <w:p w14:paraId="4FE3D708" w14:textId="77777777" w:rsidR="000E6B9C" w:rsidRDefault="000E6B9C" w:rsidP="006F1659">
      <w:pPr>
        <w:spacing w:line="360" w:lineRule="auto"/>
        <w:rPr>
          <w:rFonts w:ascii="Arial" w:hAnsi="Arial" w:cs="Arial"/>
        </w:rPr>
      </w:pPr>
    </w:p>
    <w:p w14:paraId="4FA38094" w14:textId="04947F49" w:rsidR="00293CC5" w:rsidRPr="0007572B" w:rsidRDefault="00293CC5" w:rsidP="006F1659">
      <w:pPr>
        <w:spacing w:line="360" w:lineRule="auto"/>
        <w:rPr>
          <w:rFonts w:ascii="Arial" w:hAnsi="Arial" w:cs="Arial"/>
        </w:rPr>
      </w:pPr>
      <w:r w:rsidRPr="0007572B">
        <w:rPr>
          <w:rFonts w:ascii="Arial" w:hAnsi="Arial" w:cs="Arial"/>
        </w:rPr>
        <w:t>There are no investment assets and the fund is balanced to nil each year by receipt of pension top-up grant from the Home Office or by paying over any surplus to the Home Office. The fund’s financial statements do not take into account liabilities to pay pensions and other benefits after the period end.</w:t>
      </w:r>
    </w:p>
    <w:p w14:paraId="4E8897A4" w14:textId="77777777" w:rsidR="00293CC5" w:rsidRPr="0007572B" w:rsidRDefault="00293CC5" w:rsidP="006F1659">
      <w:pPr>
        <w:spacing w:line="360" w:lineRule="auto"/>
        <w:rPr>
          <w:rFonts w:ascii="Arial" w:hAnsi="Arial" w:cs="Arial"/>
        </w:rPr>
      </w:pPr>
    </w:p>
    <w:p w14:paraId="692E3B4D" w14:textId="77777777" w:rsidR="00293CC5" w:rsidRPr="0007572B" w:rsidRDefault="00293CC5" w:rsidP="006F1659">
      <w:pPr>
        <w:spacing w:line="360" w:lineRule="auto"/>
        <w:rPr>
          <w:rFonts w:ascii="Arial" w:hAnsi="Arial" w:cs="Arial"/>
        </w:rPr>
      </w:pPr>
      <w:r w:rsidRPr="0007572B">
        <w:rPr>
          <w:rFonts w:ascii="Arial" w:hAnsi="Arial" w:cs="Arial"/>
        </w:rPr>
        <w:t>The accounting policies adopted for the production of the pension fund account are in line with recommended practice and follow those that apply to the Authority’s primary statements.</w:t>
      </w:r>
    </w:p>
    <w:p w14:paraId="2DA5F92D" w14:textId="77777777" w:rsidR="00293CC5" w:rsidRPr="0007572B" w:rsidRDefault="00293CC5" w:rsidP="006F1659">
      <w:pPr>
        <w:pStyle w:val="AGS-Bullets"/>
        <w:numPr>
          <w:ilvl w:val="0"/>
          <w:numId w:val="0"/>
        </w:numPr>
        <w:spacing w:line="360" w:lineRule="auto"/>
        <w:rPr>
          <w:sz w:val="24"/>
          <w:szCs w:val="24"/>
        </w:rPr>
      </w:pPr>
    </w:p>
    <w:p w14:paraId="53550505" w14:textId="3D36EDD2" w:rsidR="00293CC5" w:rsidRDefault="00293CC5" w:rsidP="006F1659">
      <w:pPr>
        <w:pStyle w:val="AGS-Bullets"/>
        <w:numPr>
          <w:ilvl w:val="0"/>
          <w:numId w:val="0"/>
        </w:numPr>
        <w:spacing w:line="360" w:lineRule="auto"/>
        <w:rPr>
          <w:sz w:val="24"/>
          <w:szCs w:val="24"/>
        </w:rPr>
      </w:pPr>
      <w:r w:rsidRPr="0007572B">
        <w:rPr>
          <w:sz w:val="24"/>
          <w:szCs w:val="24"/>
        </w:rPr>
        <w:t xml:space="preserve">The Fund’s financial statements do not take into account liabilities to pay pensions after 31 March </w:t>
      </w:r>
      <w:r w:rsidR="00502211">
        <w:rPr>
          <w:sz w:val="24"/>
          <w:szCs w:val="24"/>
        </w:rPr>
        <w:t>202</w:t>
      </w:r>
      <w:r w:rsidR="00E37468">
        <w:rPr>
          <w:sz w:val="24"/>
          <w:szCs w:val="24"/>
        </w:rPr>
        <w:t>4</w:t>
      </w:r>
      <w:r w:rsidRPr="0007572B">
        <w:rPr>
          <w:sz w:val="24"/>
          <w:szCs w:val="24"/>
        </w:rPr>
        <w:t>. Liabilities to pay future payments are included in the IAS19 charges and notes to the Financial Statements.</w:t>
      </w:r>
    </w:p>
    <w:p w14:paraId="77B3B6E8" w14:textId="447CD36C" w:rsidR="002A74DB" w:rsidRDefault="002A74DB" w:rsidP="006F1659">
      <w:pPr>
        <w:pStyle w:val="AGS-Bullets"/>
        <w:numPr>
          <w:ilvl w:val="0"/>
          <w:numId w:val="0"/>
        </w:numPr>
        <w:spacing w:line="360" w:lineRule="auto"/>
        <w:rPr>
          <w:sz w:val="24"/>
          <w:szCs w:val="24"/>
        </w:rPr>
      </w:pPr>
    </w:p>
    <w:bookmarkEnd w:id="214"/>
    <w:p w14:paraId="03C7BADE" w14:textId="77777777" w:rsidR="002A74DB" w:rsidRPr="0007572B" w:rsidRDefault="002A74DB" w:rsidP="006F1659">
      <w:pPr>
        <w:pStyle w:val="AGS-Bullets"/>
        <w:numPr>
          <w:ilvl w:val="0"/>
          <w:numId w:val="0"/>
        </w:numPr>
        <w:spacing w:line="360" w:lineRule="auto"/>
        <w:rPr>
          <w:sz w:val="24"/>
          <w:szCs w:val="24"/>
        </w:rPr>
      </w:pPr>
    </w:p>
    <w:p w14:paraId="775803CB" w14:textId="77777777" w:rsidR="00795BE0" w:rsidRPr="0007572B" w:rsidRDefault="00293CC5" w:rsidP="006F1659">
      <w:pPr>
        <w:pStyle w:val="BodyText"/>
        <w:spacing w:line="360" w:lineRule="auto"/>
        <w:rPr>
          <w:b/>
          <w:sz w:val="40"/>
          <w:szCs w:val="40"/>
        </w:rPr>
      </w:pPr>
      <w:r w:rsidRPr="0007572B">
        <w:rPr>
          <w:b/>
          <w:sz w:val="40"/>
          <w:szCs w:val="40"/>
        </w:rPr>
        <w:br w:type="page"/>
      </w:r>
    </w:p>
    <w:p w14:paraId="069676F7" w14:textId="77777777" w:rsidR="00795BE0" w:rsidRDefault="00795BE0" w:rsidP="006F1659">
      <w:pPr>
        <w:spacing w:line="360" w:lineRule="auto"/>
        <w:rPr>
          <w:rFonts w:ascii="Arial" w:hAnsi="Arial" w:cs="Arial"/>
          <w:b/>
          <w:sz w:val="40"/>
          <w:szCs w:val="40"/>
        </w:rPr>
      </w:pPr>
    </w:p>
    <w:p w14:paraId="555E8AB7" w14:textId="77777777" w:rsidR="00795BE0" w:rsidRDefault="00795BE0" w:rsidP="006F1659">
      <w:pPr>
        <w:spacing w:line="360" w:lineRule="auto"/>
        <w:rPr>
          <w:rFonts w:ascii="Arial" w:hAnsi="Arial" w:cs="Arial"/>
          <w:b/>
          <w:sz w:val="40"/>
          <w:szCs w:val="40"/>
        </w:rPr>
      </w:pPr>
    </w:p>
    <w:p w14:paraId="26FC7609" w14:textId="77777777" w:rsidR="00795BE0" w:rsidRDefault="00795BE0" w:rsidP="006F1659">
      <w:pPr>
        <w:spacing w:line="360" w:lineRule="auto"/>
        <w:rPr>
          <w:rFonts w:ascii="Arial" w:hAnsi="Arial" w:cs="Arial"/>
          <w:b/>
          <w:sz w:val="40"/>
          <w:szCs w:val="40"/>
        </w:rPr>
      </w:pPr>
    </w:p>
    <w:p w14:paraId="3E48EBCB" w14:textId="77777777" w:rsidR="00795BE0" w:rsidRDefault="00795BE0" w:rsidP="006F1659">
      <w:pPr>
        <w:spacing w:line="360" w:lineRule="auto"/>
        <w:rPr>
          <w:rFonts w:ascii="Arial" w:hAnsi="Arial" w:cs="Arial"/>
          <w:b/>
          <w:sz w:val="40"/>
          <w:szCs w:val="40"/>
        </w:rPr>
      </w:pPr>
    </w:p>
    <w:p w14:paraId="0E8AB140" w14:textId="77777777" w:rsidR="00795BE0" w:rsidRDefault="00795BE0" w:rsidP="006F1659">
      <w:pPr>
        <w:spacing w:line="360" w:lineRule="auto"/>
        <w:rPr>
          <w:rFonts w:ascii="Arial" w:hAnsi="Arial" w:cs="Arial"/>
          <w:b/>
          <w:sz w:val="40"/>
          <w:szCs w:val="40"/>
        </w:rPr>
      </w:pPr>
    </w:p>
    <w:p w14:paraId="79BEAA4E" w14:textId="77777777" w:rsidR="00795BE0" w:rsidRDefault="00795BE0" w:rsidP="006F1659">
      <w:pPr>
        <w:spacing w:line="360" w:lineRule="auto"/>
        <w:rPr>
          <w:rFonts w:ascii="Arial" w:hAnsi="Arial" w:cs="Arial"/>
          <w:b/>
          <w:sz w:val="40"/>
          <w:szCs w:val="40"/>
        </w:rPr>
      </w:pPr>
    </w:p>
    <w:p w14:paraId="22986C2C" w14:textId="77777777" w:rsidR="00795BE0" w:rsidRPr="0007572B" w:rsidRDefault="00795BE0" w:rsidP="006F1659">
      <w:pPr>
        <w:spacing w:line="360" w:lineRule="auto"/>
        <w:rPr>
          <w:rFonts w:ascii="Arial" w:hAnsi="Arial" w:cs="Arial"/>
          <w:b/>
          <w:sz w:val="40"/>
          <w:szCs w:val="40"/>
        </w:rPr>
      </w:pPr>
    </w:p>
    <w:p w14:paraId="4C7A94F2" w14:textId="77777777" w:rsidR="00795BE0" w:rsidRPr="005F371A" w:rsidRDefault="00795BE0" w:rsidP="006F1659">
      <w:pPr>
        <w:pStyle w:val="Heading1"/>
        <w:spacing w:line="360" w:lineRule="auto"/>
        <w:jc w:val="center"/>
      </w:pPr>
      <w:bookmarkStart w:id="221" w:name="_Toc92895218"/>
      <w:bookmarkStart w:id="222" w:name="_Toc109922652"/>
      <w:r w:rsidRPr="005F371A">
        <w:t>Greater Manchester Combined Authority</w:t>
      </w:r>
      <w:r>
        <w:t xml:space="preserve"> - Group Accounts</w:t>
      </w:r>
      <w:bookmarkEnd w:id="221"/>
      <w:bookmarkEnd w:id="222"/>
    </w:p>
    <w:p w14:paraId="15B0F443" w14:textId="77777777" w:rsidR="00795BE0" w:rsidRPr="0007572B" w:rsidRDefault="00795BE0" w:rsidP="006F1659">
      <w:pPr>
        <w:spacing w:line="360" w:lineRule="auto"/>
        <w:rPr>
          <w:rFonts w:ascii="Arial" w:hAnsi="Arial" w:cs="Arial"/>
          <w:b/>
          <w:sz w:val="22"/>
          <w:szCs w:val="22"/>
        </w:rPr>
      </w:pPr>
    </w:p>
    <w:p w14:paraId="40977AD8" w14:textId="77777777" w:rsidR="00795BE0" w:rsidRPr="0007572B" w:rsidRDefault="00795BE0" w:rsidP="006F1659">
      <w:pPr>
        <w:spacing w:line="360" w:lineRule="auto"/>
        <w:rPr>
          <w:rFonts w:ascii="Arial" w:hAnsi="Arial" w:cs="Arial"/>
          <w:b/>
          <w:sz w:val="22"/>
          <w:szCs w:val="22"/>
        </w:rPr>
      </w:pPr>
      <w:r w:rsidRPr="0007572B">
        <w:rPr>
          <w:rFonts w:ascii="Arial" w:hAnsi="Arial" w:cs="Arial"/>
          <w:b/>
          <w:sz w:val="22"/>
          <w:szCs w:val="22"/>
        </w:rPr>
        <w:br w:type="page"/>
      </w:r>
    </w:p>
    <w:p w14:paraId="0E507568" w14:textId="77777777" w:rsidR="00795BE0" w:rsidRPr="0007572B" w:rsidRDefault="00795BE0" w:rsidP="006F1659">
      <w:pPr>
        <w:pStyle w:val="Heading2green"/>
        <w:spacing w:line="360" w:lineRule="auto"/>
      </w:pPr>
      <w:bookmarkStart w:id="223" w:name="_Toc92895219"/>
      <w:bookmarkStart w:id="224" w:name="_Toc109922653"/>
      <w:r w:rsidRPr="0007572B">
        <w:lastRenderedPageBreak/>
        <w:t>Introduction</w:t>
      </w:r>
      <w:bookmarkEnd w:id="223"/>
      <w:bookmarkEnd w:id="224"/>
    </w:p>
    <w:p w14:paraId="3FB4CE74" w14:textId="77777777" w:rsidR="00795BE0" w:rsidRPr="0007572B" w:rsidRDefault="00795BE0" w:rsidP="006F1659">
      <w:pPr>
        <w:pStyle w:val="Heading3"/>
        <w:spacing w:line="360" w:lineRule="auto"/>
        <w:rPr>
          <w:lang w:val="en-US"/>
        </w:rPr>
      </w:pPr>
      <w:bookmarkStart w:id="225" w:name="_Toc92894916"/>
      <w:bookmarkStart w:id="226" w:name="_Toc92895220"/>
      <w:bookmarkStart w:id="227" w:name="_Toc109922654"/>
      <w:r w:rsidRPr="0007572B">
        <w:rPr>
          <w:lang w:val="en-US"/>
        </w:rPr>
        <w:t>Background</w:t>
      </w:r>
      <w:bookmarkEnd w:id="225"/>
      <w:bookmarkEnd w:id="226"/>
      <w:bookmarkEnd w:id="227"/>
    </w:p>
    <w:p w14:paraId="16611069" w14:textId="77777777" w:rsidR="00795BE0" w:rsidRPr="0007572B" w:rsidRDefault="00795BE0" w:rsidP="006F1659">
      <w:pPr>
        <w:spacing w:line="360" w:lineRule="auto"/>
        <w:rPr>
          <w:rFonts w:ascii="Arial" w:hAnsi="Arial" w:cs="Arial"/>
          <w:color w:val="000000"/>
          <w:lang w:val="en-US"/>
        </w:rPr>
      </w:pPr>
      <w:r w:rsidRPr="0007572B">
        <w:rPr>
          <w:rFonts w:ascii="Arial" w:hAnsi="Arial" w:cs="Arial"/>
          <w:color w:val="000000"/>
          <w:lang w:val="en-US"/>
        </w:rPr>
        <w:t>The Accounting Code of Practice requires that where an authority has material financial interests and a significant level of control over one or more entities, it should prepare Group Accounts. The aim of these statements is to give an overall picture of the Authority’s financial activities and the resources employed in carrying out those activities.</w:t>
      </w:r>
    </w:p>
    <w:p w14:paraId="24BF3E93" w14:textId="77777777" w:rsidR="00795BE0" w:rsidRPr="0007572B" w:rsidRDefault="00795BE0" w:rsidP="006F1659">
      <w:pPr>
        <w:spacing w:line="360" w:lineRule="auto"/>
        <w:rPr>
          <w:rFonts w:ascii="Arial" w:hAnsi="Arial" w:cs="Arial"/>
          <w:color w:val="000000"/>
          <w:lang w:val="en-US"/>
        </w:rPr>
      </w:pPr>
    </w:p>
    <w:p w14:paraId="57D04A3E" w14:textId="77777777" w:rsidR="00795BE0" w:rsidRPr="0007572B" w:rsidRDefault="00795BE0" w:rsidP="006F1659">
      <w:pPr>
        <w:spacing w:line="360" w:lineRule="auto"/>
        <w:rPr>
          <w:rFonts w:ascii="Arial" w:hAnsi="Arial" w:cs="Arial"/>
          <w:color w:val="000000"/>
          <w:lang w:val="en-US"/>
        </w:rPr>
      </w:pPr>
      <w:r w:rsidRPr="0007572B">
        <w:rPr>
          <w:rFonts w:ascii="Arial" w:hAnsi="Arial" w:cs="Arial"/>
          <w:color w:val="000000"/>
          <w:lang w:val="en-US"/>
        </w:rPr>
        <w:t xml:space="preserve">The Group Accounts comprise the following key financial statements (with appropriate disclosures): </w:t>
      </w:r>
    </w:p>
    <w:p w14:paraId="6CBD193E" w14:textId="77777777" w:rsidR="00795BE0" w:rsidRPr="0007572B" w:rsidRDefault="00795BE0" w:rsidP="006F1659">
      <w:pPr>
        <w:spacing w:line="360" w:lineRule="auto"/>
        <w:rPr>
          <w:rFonts w:ascii="Arial" w:hAnsi="Arial" w:cs="Arial"/>
          <w:color w:val="000000"/>
          <w:lang w:val="en-US"/>
        </w:rPr>
      </w:pPr>
    </w:p>
    <w:p w14:paraId="2D7E4EDE" w14:textId="64A44B52" w:rsidR="00795BE0" w:rsidRPr="0007572B" w:rsidRDefault="00795BE0" w:rsidP="006F1659">
      <w:pPr>
        <w:numPr>
          <w:ilvl w:val="0"/>
          <w:numId w:val="57"/>
        </w:numPr>
        <w:spacing w:line="360" w:lineRule="auto"/>
        <w:rPr>
          <w:rFonts w:ascii="Arial" w:hAnsi="Arial" w:cs="Arial"/>
          <w:color w:val="000000"/>
          <w:lang w:val="en-US"/>
        </w:rPr>
      </w:pPr>
      <w:r w:rsidRPr="0007572B">
        <w:rPr>
          <w:rFonts w:ascii="Arial" w:hAnsi="Arial" w:cs="Arial"/>
          <w:color w:val="000000"/>
          <w:lang w:val="en-US"/>
        </w:rPr>
        <w:t xml:space="preserve">Group Comprehensive Income and Expenditure </w:t>
      </w:r>
      <w:r w:rsidR="000B7231" w:rsidRPr="0007572B">
        <w:rPr>
          <w:rFonts w:ascii="Arial" w:hAnsi="Arial" w:cs="Arial"/>
          <w:color w:val="000000"/>
          <w:lang w:val="en-US"/>
        </w:rPr>
        <w:t>Statement.</w:t>
      </w:r>
    </w:p>
    <w:p w14:paraId="61A4717D" w14:textId="7615724B" w:rsidR="00795BE0" w:rsidRPr="0007572B" w:rsidRDefault="00795BE0" w:rsidP="006F1659">
      <w:pPr>
        <w:numPr>
          <w:ilvl w:val="0"/>
          <w:numId w:val="57"/>
        </w:numPr>
        <w:spacing w:line="360" w:lineRule="auto"/>
        <w:rPr>
          <w:rFonts w:ascii="Arial" w:hAnsi="Arial" w:cs="Arial"/>
          <w:color w:val="000000"/>
          <w:lang w:val="en-US"/>
        </w:rPr>
      </w:pPr>
      <w:r w:rsidRPr="0007572B">
        <w:rPr>
          <w:rFonts w:ascii="Arial" w:hAnsi="Arial" w:cs="Arial"/>
          <w:color w:val="000000"/>
          <w:lang w:val="en-US"/>
        </w:rPr>
        <w:t xml:space="preserve">Group Movement in Reserves </w:t>
      </w:r>
      <w:r w:rsidR="000B7231" w:rsidRPr="0007572B">
        <w:rPr>
          <w:rFonts w:ascii="Arial" w:hAnsi="Arial" w:cs="Arial"/>
          <w:color w:val="000000"/>
          <w:lang w:val="en-US"/>
        </w:rPr>
        <w:t>Statement.</w:t>
      </w:r>
    </w:p>
    <w:p w14:paraId="7CA2B640" w14:textId="23209960" w:rsidR="00795BE0" w:rsidRPr="0007572B" w:rsidRDefault="00795BE0" w:rsidP="006F1659">
      <w:pPr>
        <w:numPr>
          <w:ilvl w:val="0"/>
          <w:numId w:val="57"/>
        </w:numPr>
        <w:spacing w:line="360" w:lineRule="auto"/>
        <w:rPr>
          <w:rFonts w:ascii="Arial" w:hAnsi="Arial" w:cs="Arial"/>
          <w:color w:val="000000"/>
          <w:lang w:val="en-US"/>
        </w:rPr>
      </w:pPr>
      <w:r w:rsidRPr="0007572B">
        <w:rPr>
          <w:rFonts w:ascii="Arial" w:hAnsi="Arial" w:cs="Arial"/>
          <w:color w:val="000000"/>
          <w:lang w:val="en-US"/>
        </w:rPr>
        <w:t xml:space="preserve">Group Balance </w:t>
      </w:r>
      <w:r w:rsidR="000B7231" w:rsidRPr="0007572B">
        <w:rPr>
          <w:rFonts w:ascii="Arial" w:hAnsi="Arial" w:cs="Arial"/>
          <w:color w:val="000000"/>
          <w:lang w:val="en-US"/>
        </w:rPr>
        <w:t>Sheet.</w:t>
      </w:r>
    </w:p>
    <w:p w14:paraId="0936C065" w14:textId="77777777" w:rsidR="00795BE0" w:rsidRPr="0007572B" w:rsidRDefault="00795BE0" w:rsidP="006F1659">
      <w:pPr>
        <w:numPr>
          <w:ilvl w:val="0"/>
          <w:numId w:val="57"/>
        </w:numPr>
        <w:spacing w:line="360" w:lineRule="auto"/>
        <w:rPr>
          <w:rFonts w:ascii="Arial" w:hAnsi="Arial" w:cs="Arial"/>
          <w:color w:val="000000"/>
          <w:lang w:val="en-US"/>
        </w:rPr>
      </w:pPr>
      <w:r w:rsidRPr="0007572B">
        <w:rPr>
          <w:rFonts w:ascii="Arial" w:hAnsi="Arial" w:cs="Arial"/>
          <w:color w:val="000000"/>
          <w:lang w:val="en-US"/>
        </w:rPr>
        <w:t>Group Cash Flow Statement.</w:t>
      </w:r>
    </w:p>
    <w:p w14:paraId="147FA202" w14:textId="77777777" w:rsidR="00795BE0" w:rsidRPr="005F371A" w:rsidRDefault="00795BE0" w:rsidP="006F1659">
      <w:pPr>
        <w:pStyle w:val="Heading3"/>
        <w:spacing w:line="360" w:lineRule="auto"/>
      </w:pPr>
      <w:bookmarkStart w:id="228" w:name="_Toc92894917"/>
      <w:bookmarkStart w:id="229" w:name="_Toc92895221"/>
      <w:bookmarkStart w:id="230" w:name="_Toc109922655"/>
      <w:r w:rsidRPr="005F371A">
        <w:t>The Greater Manchester Combined Authority Group:</w:t>
      </w:r>
      <w:bookmarkEnd w:id="228"/>
      <w:bookmarkEnd w:id="229"/>
      <w:bookmarkEnd w:id="230"/>
    </w:p>
    <w:p w14:paraId="7F76ECDB" w14:textId="77777777" w:rsidR="00795BE0" w:rsidRPr="0007572B" w:rsidRDefault="00795BE0" w:rsidP="006F1659">
      <w:pPr>
        <w:spacing w:line="360" w:lineRule="auto"/>
        <w:rPr>
          <w:rFonts w:ascii="Arial" w:hAnsi="Arial" w:cs="Arial"/>
          <w:color w:val="000000"/>
          <w:lang w:val="en-US"/>
        </w:rPr>
      </w:pPr>
      <w:r w:rsidRPr="0007572B">
        <w:rPr>
          <w:rFonts w:ascii="Arial" w:hAnsi="Arial" w:cs="Arial"/>
          <w:color w:val="000000"/>
          <w:lang w:val="en-US"/>
        </w:rPr>
        <w:t>A review of the entities related to the Authority has taken place and the conclusions are provided below:</w:t>
      </w:r>
    </w:p>
    <w:p w14:paraId="10698E5D" w14:textId="77777777" w:rsidR="00795BE0" w:rsidRDefault="00795BE0" w:rsidP="006F1659">
      <w:pPr>
        <w:pStyle w:val="Heading3"/>
        <w:spacing w:line="360" w:lineRule="auto"/>
      </w:pPr>
      <w:bookmarkStart w:id="231" w:name="_Toc92894918"/>
      <w:bookmarkStart w:id="232" w:name="_Toc92895222"/>
      <w:bookmarkStart w:id="233" w:name="_Toc109922656"/>
      <w:r w:rsidRPr="005F371A">
        <w:t>Bodies Consolidated:</w:t>
      </w:r>
      <w:bookmarkEnd w:id="231"/>
      <w:bookmarkEnd w:id="232"/>
      <w:bookmarkEnd w:id="233"/>
    </w:p>
    <w:p w14:paraId="3C87428D" w14:textId="77777777" w:rsidR="00795BE0" w:rsidRPr="005F371A" w:rsidRDefault="00795BE0" w:rsidP="006F1659">
      <w:pPr>
        <w:spacing w:line="360" w:lineRule="auto"/>
      </w:pPr>
    </w:p>
    <w:p w14:paraId="2C1100FA" w14:textId="77777777" w:rsidR="00795BE0" w:rsidRPr="0007572B" w:rsidRDefault="00795BE0" w:rsidP="006F1659">
      <w:pPr>
        <w:pStyle w:val="Heading4bold"/>
        <w:spacing w:line="360" w:lineRule="auto"/>
        <w:rPr>
          <w:lang w:val="en-US"/>
        </w:rPr>
      </w:pPr>
      <w:r w:rsidRPr="0007572B">
        <w:rPr>
          <w:lang w:val="en-US"/>
        </w:rPr>
        <w:t>Chief Constable of Greater Manchester Police (GMP)</w:t>
      </w:r>
    </w:p>
    <w:p w14:paraId="235F43EC" w14:textId="77777777" w:rsidR="00795BE0" w:rsidRPr="0007572B" w:rsidRDefault="00795BE0" w:rsidP="006F1659">
      <w:pPr>
        <w:spacing w:line="360" w:lineRule="auto"/>
        <w:rPr>
          <w:rFonts w:ascii="Arial" w:hAnsi="Arial" w:cs="Arial"/>
          <w:color w:val="000000"/>
          <w:lang w:val="en-US"/>
        </w:rPr>
      </w:pPr>
      <w:r w:rsidRPr="0007572B">
        <w:rPr>
          <w:rFonts w:ascii="Arial" w:hAnsi="Arial" w:cs="Arial"/>
          <w:color w:val="000000"/>
          <w:lang w:val="en-US"/>
        </w:rPr>
        <w:t>GMP is to continue to be included in the Authority’s group accounts. The Mayor is responsible for the formal oversight of GMP, including provision of all funding, budget setting, performance scrutiny and strategic policy development, and for ensuring GMP is run efficiently and effectively. Operational decision-making on day-to-day policing including the employment of police staff remains the responsibility of the Chief Constable.</w:t>
      </w:r>
    </w:p>
    <w:p w14:paraId="18BD8B0E" w14:textId="77777777" w:rsidR="00795BE0" w:rsidRPr="0007572B" w:rsidRDefault="00795BE0" w:rsidP="006F1659">
      <w:pPr>
        <w:spacing w:line="360" w:lineRule="auto"/>
        <w:rPr>
          <w:rFonts w:ascii="Arial" w:hAnsi="Arial" w:cs="Arial"/>
          <w:color w:val="000000"/>
          <w:lang w:val="en-US"/>
        </w:rPr>
      </w:pPr>
    </w:p>
    <w:p w14:paraId="3A8C5527" w14:textId="77777777" w:rsidR="00795BE0" w:rsidRDefault="00795BE0" w:rsidP="006F1659">
      <w:pPr>
        <w:spacing w:line="360" w:lineRule="auto"/>
        <w:rPr>
          <w:rFonts w:ascii="Arial" w:eastAsia="Calibri" w:hAnsi="Arial" w:cs="Arial"/>
          <w:color w:val="000000"/>
          <w:lang w:val="en-US"/>
        </w:rPr>
      </w:pPr>
      <w:r w:rsidRPr="0007572B">
        <w:rPr>
          <w:rFonts w:ascii="Arial" w:hAnsi="Arial" w:cs="Arial"/>
          <w:color w:val="000000"/>
          <w:lang w:val="en-US"/>
        </w:rPr>
        <w:t xml:space="preserve">Under the legislative framework and local arrangements, the Authority under sole instruction from the Mayor, is responsible for the finances of the Mayoral Police Fund including assets, liabilities and reserves. The Authority has responsibility for entering into contracts and establishing the contractual framework under which the Chief Constable’s </w:t>
      </w:r>
      <w:r w:rsidRPr="0007572B">
        <w:rPr>
          <w:rFonts w:ascii="Arial" w:hAnsi="Arial" w:cs="Arial"/>
          <w:color w:val="000000"/>
          <w:lang w:val="en-US"/>
        </w:rPr>
        <w:lastRenderedPageBreak/>
        <w:t>officers and staff operate.</w:t>
      </w:r>
      <w:r w:rsidRPr="0007572B">
        <w:rPr>
          <w:rFonts w:ascii="Arial" w:eastAsia="Calibri" w:hAnsi="Arial" w:cs="Arial"/>
          <w:color w:val="000000"/>
          <w:lang w:val="en-US"/>
        </w:rPr>
        <w:t xml:space="preserve"> The Authority receives all income and funding and makes all the payments for the policing activity from the Mayoral Police Fund. Details of the Mayoral Police Fund are disclosed in </w:t>
      </w:r>
      <w:r>
        <w:rPr>
          <w:rFonts w:ascii="Arial" w:eastAsia="Calibri" w:hAnsi="Arial" w:cs="Arial"/>
          <w:color w:val="000000"/>
          <w:lang w:val="en-US"/>
        </w:rPr>
        <w:t xml:space="preserve">the </w:t>
      </w:r>
      <w:r w:rsidRPr="0007572B">
        <w:rPr>
          <w:rFonts w:ascii="Arial" w:eastAsia="Calibri" w:hAnsi="Arial" w:cs="Arial"/>
          <w:color w:val="000000"/>
          <w:lang w:val="en-US"/>
        </w:rPr>
        <w:t>note</w:t>
      </w:r>
      <w:r>
        <w:rPr>
          <w:rFonts w:ascii="Arial" w:eastAsia="Calibri" w:hAnsi="Arial" w:cs="Arial"/>
          <w:color w:val="000000"/>
          <w:lang w:val="en-US"/>
        </w:rPr>
        <w:t>s to the single entity statements</w:t>
      </w:r>
      <w:r w:rsidRPr="0007572B">
        <w:rPr>
          <w:rFonts w:ascii="Arial" w:eastAsia="Calibri" w:hAnsi="Arial" w:cs="Arial"/>
          <w:color w:val="000000"/>
          <w:lang w:val="en-US"/>
        </w:rPr>
        <w:t>.</w:t>
      </w:r>
    </w:p>
    <w:p w14:paraId="34AB946F" w14:textId="77777777" w:rsidR="00795BE0" w:rsidRDefault="00795BE0" w:rsidP="006F1659">
      <w:pPr>
        <w:spacing w:line="360" w:lineRule="auto"/>
        <w:rPr>
          <w:rFonts w:ascii="Arial" w:eastAsia="Calibri" w:hAnsi="Arial" w:cs="Arial"/>
          <w:color w:val="000000"/>
          <w:lang w:val="en-US"/>
        </w:rPr>
      </w:pPr>
    </w:p>
    <w:p w14:paraId="356A22F1" w14:textId="77777777" w:rsidR="00795BE0" w:rsidRPr="0007572B" w:rsidRDefault="00795BE0" w:rsidP="006F1659">
      <w:pPr>
        <w:pStyle w:val="Heading4bold"/>
        <w:spacing w:line="360" w:lineRule="auto"/>
        <w:rPr>
          <w:lang w:val="en-US"/>
        </w:rPr>
      </w:pPr>
      <w:r w:rsidRPr="0007572B">
        <w:rPr>
          <w:lang w:val="en-US"/>
        </w:rPr>
        <w:t>Transport for Greater Manchester (TfGM)</w:t>
      </w:r>
    </w:p>
    <w:p w14:paraId="43CB4F5E" w14:textId="77777777" w:rsidR="00795BE0" w:rsidRDefault="00795BE0" w:rsidP="006F1659">
      <w:pPr>
        <w:spacing w:line="360" w:lineRule="auto"/>
        <w:rPr>
          <w:rFonts w:ascii="Arial" w:hAnsi="Arial" w:cs="Arial"/>
          <w:color w:val="000000"/>
          <w:lang w:val="en-US"/>
        </w:rPr>
      </w:pPr>
      <w:r w:rsidRPr="0007572B">
        <w:rPr>
          <w:rFonts w:ascii="Arial" w:hAnsi="Arial" w:cs="Arial"/>
          <w:color w:val="000000"/>
          <w:lang w:val="en-US"/>
        </w:rPr>
        <w:t xml:space="preserve">TfGM is to continue to be included in the Authority’s group accounts. The Authority and/or the Mayor sets local public transport policy and is responsible for deciding how funds are spent on supporting and improving Greater Manchester’s public transport network. The decisions of the Authority and/or the Mayor are implemented by TfGM and TfGM is responsible for implementing the policies of the Authority. </w:t>
      </w:r>
    </w:p>
    <w:p w14:paraId="69B09E7D" w14:textId="77777777" w:rsidR="00795BE0" w:rsidRDefault="00795BE0" w:rsidP="006F1659">
      <w:pPr>
        <w:spacing w:line="360" w:lineRule="auto"/>
        <w:rPr>
          <w:rFonts w:ascii="Arial" w:hAnsi="Arial" w:cs="Arial"/>
          <w:color w:val="000000"/>
          <w:lang w:val="en-US"/>
        </w:rPr>
      </w:pPr>
    </w:p>
    <w:p w14:paraId="37BD1D58" w14:textId="77777777" w:rsidR="00795BE0" w:rsidRPr="0007572B" w:rsidRDefault="00795BE0" w:rsidP="006F1659">
      <w:pPr>
        <w:spacing w:line="360" w:lineRule="auto"/>
        <w:rPr>
          <w:rFonts w:ascii="Arial" w:hAnsi="Arial" w:cs="Arial"/>
          <w:color w:val="000000"/>
          <w:lang w:val="en-US"/>
        </w:rPr>
      </w:pPr>
      <w:r w:rsidRPr="0007572B">
        <w:rPr>
          <w:rFonts w:ascii="Arial" w:hAnsi="Arial" w:cs="Arial"/>
          <w:color w:val="000000"/>
          <w:lang w:val="en-US"/>
        </w:rPr>
        <w:t>TfGM’s net expenditure after taking into account all sources of income and expenditure is financed by way of a Revenue Grant from the Authority. TfGM’s corporate objectives are derived from the Authority’s policy priorities, stakeholder consultation and its principal statutory obligations. Strategic objectives and targets are set out in the Authority/TfGM Business and Performance Plan.</w:t>
      </w:r>
      <w:r>
        <w:rPr>
          <w:rFonts w:ascii="Arial" w:hAnsi="Arial" w:cs="Arial"/>
          <w:color w:val="000000"/>
          <w:lang w:val="en-US"/>
        </w:rPr>
        <w:t xml:space="preserve"> </w:t>
      </w:r>
    </w:p>
    <w:p w14:paraId="6D1B7D13" w14:textId="77777777" w:rsidR="00795BE0" w:rsidRDefault="00795BE0" w:rsidP="006F1659">
      <w:pPr>
        <w:spacing w:line="360" w:lineRule="auto"/>
        <w:rPr>
          <w:rFonts w:ascii="Arial" w:hAnsi="Arial" w:cs="Arial"/>
          <w:color w:val="000000"/>
          <w:lang w:val="en-US"/>
        </w:rPr>
      </w:pPr>
    </w:p>
    <w:p w14:paraId="529A4660" w14:textId="77777777" w:rsidR="00795BE0" w:rsidRPr="0007572B" w:rsidRDefault="00795BE0" w:rsidP="006F1659">
      <w:pPr>
        <w:spacing w:line="360" w:lineRule="auto"/>
        <w:rPr>
          <w:rFonts w:ascii="Arial" w:hAnsi="Arial" w:cs="Arial"/>
          <w:color w:val="000000"/>
          <w:lang w:val="en-US"/>
        </w:rPr>
      </w:pPr>
      <w:r>
        <w:rPr>
          <w:rFonts w:ascii="Arial" w:hAnsi="Arial" w:cs="Arial"/>
        </w:rPr>
        <w:t>A</w:t>
      </w:r>
      <w:r w:rsidRPr="0007572B">
        <w:rPr>
          <w:rFonts w:ascii="Arial" w:hAnsi="Arial" w:cs="Arial"/>
          <w:bCs/>
          <w:lang w:eastAsia="en-GB"/>
        </w:rPr>
        <w:t>lthough transport related borrowing sits on the GMCA balance sheet, all the transport assets sit on TFGM's balance sheet. GMCA carries sufficient reserves in respect of each of its functions to provide resilience in the event of volatility in its various funding sources</w:t>
      </w:r>
      <w:r>
        <w:rPr>
          <w:rFonts w:ascii="Arial" w:hAnsi="Arial" w:cs="Arial"/>
          <w:bCs/>
          <w:lang w:eastAsia="en-GB"/>
        </w:rPr>
        <w:t>. D</w:t>
      </w:r>
      <w:r w:rsidRPr="0007572B">
        <w:rPr>
          <w:rFonts w:ascii="Arial" w:hAnsi="Arial" w:cs="Arial"/>
          <w:color w:val="000000"/>
          <w:lang w:val="en-US"/>
        </w:rPr>
        <w:t>etails of transactions with TfGM are included in the related parties note.</w:t>
      </w:r>
    </w:p>
    <w:p w14:paraId="038AB01D" w14:textId="77777777" w:rsidR="00795BE0" w:rsidRPr="0007572B" w:rsidRDefault="00795BE0" w:rsidP="006F1659">
      <w:pPr>
        <w:spacing w:line="360" w:lineRule="auto"/>
        <w:rPr>
          <w:rFonts w:ascii="Arial" w:hAnsi="Arial" w:cs="Arial"/>
          <w:color w:val="000000"/>
          <w:lang w:val="en-US"/>
        </w:rPr>
      </w:pPr>
    </w:p>
    <w:p w14:paraId="7A92F6D6" w14:textId="4FBFBC16" w:rsidR="00795BE0" w:rsidRDefault="00795BE0" w:rsidP="006F1659">
      <w:pPr>
        <w:spacing w:line="360" w:lineRule="auto"/>
        <w:rPr>
          <w:rFonts w:ascii="Arial" w:hAnsi="Arial" w:cs="Arial"/>
        </w:rPr>
      </w:pPr>
      <w:r w:rsidRPr="0007572B">
        <w:rPr>
          <w:rFonts w:ascii="Arial" w:hAnsi="Arial" w:cs="Arial"/>
        </w:rPr>
        <w:t>The Accounts of TfGM are prepared in accordance with the Accounts and Audit (England) Regulations 2015. These require the Accounts to be prepared in accordance with the Code of Practice on Local Authority Accounting in the United Kingdom (The Code).</w:t>
      </w:r>
      <w:r>
        <w:rPr>
          <w:rFonts w:ascii="Arial" w:hAnsi="Arial" w:cs="Arial"/>
        </w:rPr>
        <w:t xml:space="preserve"> </w:t>
      </w:r>
    </w:p>
    <w:p w14:paraId="099F6E03" w14:textId="444C30A5" w:rsidR="005B26A1" w:rsidRDefault="005B26A1" w:rsidP="006F1659">
      <w:pPr>
        <w:spacing w:line="360" w:lineRule="auto"/>
        <w:rPr>
          <w:rFonts w:ascii="Arial" w:hAnsi="Arial" w:cs="Arial"/>
        </w:rPr>
      </w:pPr>
    </w:p>
    <w:p w14:paraId="0368EE3F" w14:textId="2E0C314F" w:rsidR="005B26A1" w:rsidRPr="005B26A1" w:rsidRDefault="005B26A1" w:rsidP="006F1659">
      <w:pPr>
        <w:pStyle w:val="Heading4bold"/>
        <w:spacing w:line="360" w:lineRule="auto"/>
        <w:rPr>
          <w:lang w:val="en-US"/>
        </w:rPr>
      </w:pPr>
      <w:r w:rsidRPr="005B26A1">
        <w:rPr>
          <w:lang w:val="en-US"/>
        </w:rPr>
        <w:t>Greater Manchester Evergreen 2 Limited Partnership (GME2LP)</w:t>
      </w:r>
    </w:p>
    <w:p w14:paraId="731479AF" w14:textId="30CC6230" w:rsidR="00795BE0" w:rsidRDefault="005B26A1" w:rsidP="006F1659">
      <w:pPr>
        <w:spacing w:line="360" w:lineRule="auto"/>
        <w:rPr>
          <w:rFonts w:ascii="Arial" w:hAnsi="Arial" w:cs="Arial"/>
          <w:bCs/>
          <w:lang w:eastAsia="en-GB"/>
        </w:rPr>
      </w:pPr>
      <w:r w:rsidRPr="00FE41DD">
        <w:rPr>
          <w:rFonts w:ascii="Arial" w:hAnsi="Arial" w:cs="Arial"/>
        </w:rPr>
        <w:t>Evergreen 2</w:t>
      </w:r>
      <w:r>
        <w:rPr>
          <w:rFonts w:ascii="Arial" w:hAnsi="Arial" w:cs="Arial"/>
        </w:rPr>
        <w:t xml:space="preserve"> </w:t>
      </w:r>
      <w:r w:rsidRPr="00FE41DD">
        <w:rPr>
          <w:rFonts w:ascii="Arial" w:hAnsi="Arial" w:cs="Arial"/>
        </w:rPr>
        <w:t xml:space="preserve">was incorporated on 20 February 2017 under England's 2014-20 </w:t>
      </w:r>
      <w:r>
        <w:rPr>
          <w:rFonts w:ascii="Arial" w:hAnsi="Arial" w:cs="Arial"/>
        </w:rPr>
        <w:t xml:space="preserve">ERDF </w:t>
      </w:r>
      <w:r w:rsidRPr="00FE41DD">
        <w:rPr>
          <w:rFonts w:ascii="Arial" w:hAnsi="Arial" w:cs="Arial"/>
        </w:rPr>
        <w:t>Operational Programme and is solely a Greater Manchester fund.</w:t>
      </w:r>
      <w:r>
        <w:rPr>
          <w:rFonts w:ascii="Arial" w:hAnsi="Arial" w:cs="Arial"/>
        </w:rPr>
        <w:t xml:space="preserve"> </w:t>
      </w:r>
      <w:r w:rsidRPr="0007572B">
        <w:rPr>
          <w:rFonts w:ascii="Arial" w:hAnsi="Arial" w:cs="Arial"/>
          <w:bCs/>
          <w:lang w:eastAsia="en-GB"/>
        </w:rPr>
        <w:t>The accounts included in the 2</w:t>
      </w:r>
      <w:r w:rsidR="00E37468">
        <w:rPr>
          <w:rFonts w:ascii="Arial" w:hAnsi="Arial" w:cs="Arial"/>
          <w:bCs/>
          <w:lang w:eastAsia="en-GB"/>
        </w:rPr>
        <w:t>3</w:t>
      </w:r>
      <w:r w:rsidRPr="0007572B">
        <w:rPr>
          <w:rFonts w:ascii="Arial" w:hAnsi="Arial" w:cs="Arial"/>
          <w:bCs/>
          <w:lang w:eastAsia="en-GB"/>
        </w:rPr>
        <w:t>/2</w:t>
      </w:r>
      <w:r w:rsidR="00E37468">
        <w:rPr>
          <w:rFonts w:ascii="Arial" w:hAnsi="Arial" w:cs="Arial"/>
          <w:bCs/>
          <w:lang w:eastAsia="en-GB"/>
        </w:rPr>
        <w:t>4</w:t>
      </w:r>
      <w:r w:rsidRPr="0007572B">
        <w:rPr>
          <w:rFonts w:ascii="Arial" w:hAnsi="Arial" w:cs="Arial"/>
          <w:bCs/>
          <w:lang w:eastAsia="en-GB"/>
        </w:rPr>
        <w:t xml:space="preserve"> group accounts are for the </w:t>
      </w:r>
      <w:r>
        <w:rPr>
          <w:rFonts w:ascii="Arial" w:hAnsi="Arial" w:cs="Arial"/>
          <w:bCs/>
          <w:lang w:eastAsia="en-GB"/>
        </w:rPr>
        <w:t xml:space="preserve">period ending </w:t>
      </w:r>
      <w:r w:rsidRPr="0007572B">
        <w:rPr>
          <w:rFonts w:ascii="Arial" w:hAnsi="Arial" w:cs="Arial"/>
          <w:bCs/>
          <w:lang w:eastAsia="en-GB"/>
        </w:rPr>
        <w:t xml:space="preserve">31 </w:t>
      </w:r>
      <w:r>
        <w:rPr>
          <w:rFonts w:ascii="Arial" w:hAnsi="Arial" w:cs="Arial"/>
          <w:bCs/>
          <w:lang w:eastAsia="en-GB"/>
        </w:rPr>
        <w:t>March</w:t>
      </w:r>
      <w:r w:rsidRPr="0007572B">
        <w:rPr>
          <w:rFonts w:ascii="Arial" w:hAnsi="Arial" w:cs="Arial"/>
          <w:bCs/>
          <w:lang w:eastAsia="en-GB"/>
        </w:rPr>
        <w:t xml:space="preserve"> </w:t>
      </w:r>
      <w:r>
        <w:rPr>
          <w:rFonts w:ascii="Arial" w:hAnsi="Arial" w:cs="Arial"/>
          <w:bCs/>
          <w:lang w:eastAsia="en-GB"/>
        </w:rPr>
        <w:t>202</w:t>
      </w:r>
      <w:r w:rsidR="00E37468">
        <w:rPr>
          <w:rFonts w:ascii="Arial" w:hAnsi="Arial" w:cs="Arial"/>
          <w:bCs/>
          <w:lang w:eastAsia="en-GB"/>
        </w:rPr>
        <w:t>4</w:t>
      </w:r>
      <w:r w:rsidRPr="0007572B">
        <w:rPr>
          <w:rFonts w:ascii="Arial" w:hAnsi="Arial" w:cs="Arial"/>
          <w:bCs/>
          <w:lang w:eastAsia="en-GB"/>
        </w:rPr>
        <w:t>.</w:t>
      </w:r>
    </w:p>
    <w:p w14:paraId="4C084E28" w14:textId="75AB3D94" w:rsidR="005B26A1" w:rsidRDefault="005B26A1" w:rsidP="006F1659">
      <w:pPr>
        <w:spacing w:line="360" w:lineRule="auto"/>
        <w:rPr>
          <w:rFonts w:ascii="Arial" w:hAnsi="Arial" w:cs="Arial"/>
          <w:bCs/>
          <w:lang w:eastAsia="en-GB"/>
        </w:rPr>
      </w:pPr>
    </w:p>
    <w:p w14:paraId="002F1059" w14:textId="77777777" w:rsidR="005B26A1" w:rsidRDefault="005B26A1" w:rsidP="006F1659">
      <w:pPr>
        <w:spacing w:line="360" w:lineRule="auto"/>
        <w:rPr>
          <w:rFonts w:ascii="Arial" w:hAnsi="Arial" w:cs="Arial"/>
        </w:rPr>
      </w:pPr>
      <w:r w:rsidRPr="00230784">
        <w:rPr>
          <w:rFonts w:ascii="Arial" w:hAnsi="Arial" w:cs="Arial"/>
        </w:rPr>
        <w:t xml:space="preserve">All intra-group trading, balances and unrealised gains and losses as at the end of the period are eliminated in full. </w:t>
      </w:r>
    </w:p>
    <w:p w14:paraId="389432DE" w14:textId="77777777" w:rsidR="005B26A1" w:rsidRPr="0007572B" w:rsidRDefault="005B26A1" w:rsidP="006F1659">
      <w:pPr>
        <w:spacing w:line="360" w:lineRule="auto"/>
        <w:rPr>
          <w:rFonts w:ascii="Arial" w:hAnsi="Arial" w:cs="Arial"/>
        </w:rPr>
      </w:pPr>
    </w:p>
    <w:p w14:paraId="738D17D8" w14:textId="77777777" w:rsidR="00795BE0" w:rsidRPr="0007572B" w:rsidRDefault="00795BE0" w:rsidP="006F1659">
      <w:pPr>
        <w:pStyle w:val="Heading4bold"/>
        <w:spacing w:line="360" w:lineRule="auto"/>
        <w:rPr>
          <w:lang w:val="en-US"/>
        </w:rPr>
      </w:pPr>
      <w:r w:rsidRPr="0007572B">
        <w:rPr>
          <w:lang w:val="en-US"/>
        </w:rPr>
        <w:t>NW Evergreen Holdings Limited Partnership (NWEH)</w:t>
      </w:r>
    </w:p>
    <w:p w14:paraId="06D8C19E" w14:textId="66D94146" w:rsidR="00795BE0" w:rsidRDefault="00795BE0" w:rsidP="006F1659">
      <w:pPr>
        <w:spacing w:line="360" w:lineRule="auto"/>
        <w:rPr>
          <w:rFonts w:ascii="Arial" w:hAnsi="Arial" w:cs="Arial"/>
          <w:bCs/>
          <w:lang w:eastAsia="en-GB"/>
        </w:rPr>
      </w:pPr>
      <w:r w:rsidRPr="0007572B">
        <w:rPr>
          <w:rFonts w:ascii="Arial" w:hAnsi="Arial" w:cs="Arial"/>
          <w:color w:val="000000"/>
          <w:lang w:val="en-US"/>
        </w:rPr>
        <w:t>NWEH is to continue to be included in the Authority’s group accounts. In September 2016 the Authority established NWEH to act as a holding fund for earlier tranches of ERDF funding</w:t>
      </w:r>
      <w:r>
        <w:rPr>
          <w:rFonts w:ascii="Arial" w:hAnsi="Arial" w:cs="Arial"/>
          <w:color w:val="000000"/>
          <w:lang w:val="en-US"/>
        </w:rPr>
        <w:t xml:space="preserve"> </w:t>
      </w:r>
      <w:r w:rsidRPr="0007572B">
        <w:rPr>
          <w:rFonts w:ascii="Arial" w:hAnsi="Arial" w:cs="Arial"/>
          <w:bCs/>
          <w:lang w:eastAsia="en-GB"/>
        </w:rPr>
        <w:t>to support investment opportunities in properties in the North West</w:t>
      </w:r>
      <w:r w:rsidRPr="0007572B">
        <w:rPr>
          <w:rFonts w:ascii="Arial" w:hAnsi="Arial" w:cs="Arial"/>
          <w:color w:val="000000"/>
          <w:lang w:val="en-US"/>
        </w:rPr>
        <w:t xml:space="preserve">. The Fund has received significant funding from ERDF and will invest in sub funds that provide opportunities to identify, research and negotiate investment opportunities in properties in the North West of England. </w:t>
      </w:r>
      <w:r w:rsidRPr="0007572B">
        <w:rPr>
          <w:rFonts w:ascii="Arial" w:hAnsi="Arial" w:cs="Arial"/>
          <w:bCs/>
          <w:lang w:eastAsia="en-GB"/>
        </w:rPr>
        <w:t>The accounts included in the 2</w:t>
      </w:r>
      <w:r w:rsidR="00E37468">
        <w:rPr>
          <w:rFonts w:ascii="Arial" w:hAnsi="Arial" w:cs="Arial"/>
          <w:bCs/>
          <w:lang w:eastAsia="en-GB"/>
        </w:rPr>
        <w:t>3</w:t>
      </w:r>
      <w:r w:rsidRPr="0007572B">
        <w:rPr>
          <w:rFonts w:ascii="Arial" w:hAnsi="Arial" w:cs="Arial"/>
          <w:bCs/>
          <w:lang w:eastAsia="en-GB"/>
        </w:rPr>
        <w:t>/2</w:t>
      </w:r>
      <w:r w:rsidR="00E37468">
        <w:rPr>
          <w:rFonts w:ascii="Arial" w:hAnsi="Arial" w:cs="Arial"/>
          <w:bCs/>
          <w:lang w:eastAsia="en-GB"/>
        </w:rPr>
        <w:t>4</w:t>
      </w:r>
      <w:r w:rsidRPr="0007572B">
        <w:rPr>
          <w:rFonts w:ascii="Arial" w:hAnsi="Arial" w:cs="Arial"/>
          <w:bCs/>
          <w:lang w:eastAsia="en-GB"/>
        </w:rPr>
        <w:t xml:space="preserve"> group accounts are for the </w:t>
      </w:r>
      <w:r>
        <w:rPr>
          <w:rFonts w:ascii="Arial" w:hAnsi="Arial" w:cs="Arial"/>
          <w:bCs/>
          <w:lang w:eastAsia="en-GB"/>
        </w:rPr>
        <w:t>period ending</w:t>
      </w:r>
      <w:r w:rsidRPr="0007572B">
        <w:rPr>
          <w:rFonts w:ascii="Arial" w:hAnsi="Arial" w:cs="Arial"/>
          <w:bCs/>
          <w:lang w:eastAsia="en-GB"/>
        </w:rPr>
        <w:t xml:space="preserve"> 31 </w:t>
      </w:r>
      <w:r>
        <w:rPr>
          <w:rFonts w:ascii="Arial" w:hAnsi="Arial" w:cs="Arial"/>
          <w:bCs/>
          <w:lang w:eastAsia="en-GB"/>
        </w:rPr>
        <w:t>March 202</w:t>
      </w:r>
      <w:r w:rsidR="00E37468">
        <w:rPr>
          <w:rFonts w:ascii="Arial" w:hAnsi="Arial" w:cs="Arial"/>
          <w:bCs/>
          <w:lang w:eastAsia="en-GB"/>
        </w:rPr>
        <w:t>4</w:t>
      </w:r>
      <w:r w:rsidRPr="0007572B">
        <w:rPr>
          <w:rFonts w:ascii="Arial" w:hAnsi="Arial" w:cs="Arial"/>
          <w:bCs/>
          <w:lang w:eastAsia="en-GB"/>
        </w:rPr>
        <w:t>.</w:t>
      </w:r>
    </w:p>
    <w:p w14:paraId="44887F86" w14:textId="77777777" w:rsidR="00795BE0" w:rsidRPr="0071193A" w:rsidRDefault="00795BE0" w:rsidP="006F1659">
      <w:pPr>
        <w:spacing w:line="360" w:lineRule="auto"/>
        <w:rPr>
          <w:rFonts w:ascii="Arial" w:hAnsi="Arial" w:cs="Arial"/>
          <w:color w:val="000000"/>
          <w:lang w:val="en-US"/>
        </w:rPr>
      </w:pPr>
    </w:p>
    <w:p w14:paraId="43910934" w14:textId="77777777" w:rsidR="00795BE0" w:rsidRPr="0007572B" w:rsidRDefault="00795BE0" w:rsidP="006F1659">
      <w:pPr>
        <w:pStyle w:val="Heading4bold"/>
        <w:spacing w:line="360" w:lineRule="auto"/>
        <w:rPr>
          <w:lang w:val="en-US"/>
        </w:rPr>
      </w:pPr>
      <w:r w:rsidRPr="0007572B">
        <w:rPr>
          <w:lang w:val="en-US"/>
        </w:rPr>
        <w:t>Greater Manchester Fund of Funds Limited Partnership (FoFLP)</w:t>
      </w:r>
    </w:p>
    <w:p w14:paraId="2E1ADB58" w14:textId="03212700" w:rsidR="00795BE0" w:rsidRPr="0007572B" w:rsidRDefault="00795BE0" w:rsidP="006F1659">
      <w:pPr>
        <w:spacing w:line="360" w:lineRule="auto"/>
        <w:rPr>
          <w:rFonts w:ascii="Arial" w:hAnsi="Arial" w:cs="Arial"/>
          <w:color w:val="000000"/>
          <w:lang w:val="en-US"/>
        </w:rPr>
      </w:pPr>
      <w:r w:rsidRPr="0007572B">
        <w:rPr>
          <w:rFonts w:ascii="Arial" w:hAnsi="Arial" w:cs="Arial"/>
          <w:color w:val="000000"/>
          <w:lang w:val="en-US"/>
        </w:rPr>
        <w:t>In November 2016 the Authority established FoFLP to act as a holding fund for ERDF funding</w:t>
      </w:r>
      <w:r w:rsidRPr="0007572B">
        <w:rPr>
          <w:rFonts w:ascii="Arial" w:hAnsi="Arial" w:cs="Arial"/>
          <w:bCs/>
          <w:lang w:eastAsia="en-GB"/>
        </w:rPr>
        <w:t>.</w:t>
      </w:r>
      <w:r w:rsidRPr="0007572B">
        <w:rPr>
          <w:rFonts w:ascii="Arial" w:hAnsi="Arial" w:cs="Arial"/>
          <w:color w:val="000000"/>
          <w:lang w:val="en-US"/>
        </w:rPr>
        <w:t xml:space="preserve"> FoFLP will invest in sub funds that seek to support the shift towards a low carbon economy and for research and innovation.</w:t>
      </w:r>
      <w:r>
        <w:rPr>
          <w:rFonts w:ascii="Arial" w:hAnsi="Arial" w:cs="Arial"/>
          <w:color w:val="000000"/>
          <w:lang w:val="en-US"/>
        </w:rPr>
        <w:t xml:space="preserve"> </w:t>
      </w:r>
      <w:r w:rsidRPr="0007572B">
        <w:rPr>
          <w:rFonts w:ascii="Arial" w:hAnsi="Arial" w:cs="Arial"/>
          <w:bCs/>
          <w:lang w:eastAsia="en-GB"/>
        </w:rPr>
        <w:t>The accounts included in the 2</w:t>
      </w:r>
      <w:r w:rsidR="00E37468">
        <w:rPr>
          <w:rFonts w:ascii="Arial" w:hAnsi="Arial" w:cs="Arial"/>
          <w:bCs/>
          <w:lang w:eastAsia="en-GB"/>
        </w:rPr>
        <w:t>3</w:t>
      </w:r>
      <w:r w:rsidRPr="0007572B">
        <w:rPr>
          <w:rFonts w:ascii="Arial" w:hAnsi="Arial" w:cs="Arial"/>
          <w:bCs/>
          <w:lang w:eastAsia="en-GB"/>
        </w:rPr>
        <w:t>/2</w:t>
      </w:r>
      <w:r w:rsidR="00E37468">
        <w:rPr>
          <w:rFonts w:ascii="Arial" w:hAnsi="Arial" w:cs="Arial"/>
          <w:bCs/>
          <w:lang w:eastAsia="en-GB"/>
        </w:rPr>
        <w:t>4</w:t>
      </w:r>
      <w:r w:rsidRPr="0007572B">
        <w:rPr>
          <w:rFonts w:ascii="Arial" w:hAnsi="Arial" w:cs="Arial"/>
          <w:bCs/>
          <w:lang w:eastAsia="en-GB"/>
        </w:rPr>
        <w:t xml:space="preserve"> group accounts are for the </w:t>
      </w:r>
      <w:r>
        <w:rPr>
          <w:rFonts w:ascii="Arial" w:hAnsi="Arial" w:cs="Arial"/>
          <w:bCs/>
          <w:lang w:eastAsia="en-GB"/>
        </w:rPr>
        <w:t xml:space="preserve">period ending </w:t>
      </w:r>
      <w:r w:rsidRPr="0007572B">
        <w:rPr>
          <w:rFonts w:ascii="Arial" w:hAnsi="Arial" w:cs="Arial"/>
          <w:bCs/>
          <w:lang w:eastAsia="en-GB"/>
        </w:rPr>
        <w:t xml:space="preserve">31 </w:t>
      </w:r>
      <w:r>
        <w:rPr>
          <w:rFonts w:ascii="Arial" w:hAnsi="Arial" w:cs="Arial"/>
          <w:bCs/>
          <w:lang w:eastAsia="en-GB"/>
        </w:rPr>
        <w:t>March</w:t>
      </w:r>
      <w:r w:rsidRPr="0007572B">
        <w:rPr>
          <w:rFonts w:ascii="Arial" w:hAnsi="Arial" w:cs="Arial"/>
          <w:bCs/>
          <w:lang w:eastAsia="en-GB"/>
        </w:rPr>
        <w:t xml:space="preserve"> </w:t>
      </w:r>
      <w:r>
        <w:rPr>
          <w:rFonts w:ascii="Arial" w:hAnsi="Arial" w:cs="Arial"/>
          <w:bCs/>
          <w:lang w:eastAsia="en-GB"/>
        </w:rPr>
        <w:t>202</w:t>
      </w:r>
      <w:r w:rsidR="00E37468">
        <w:rPr>
          <w:rFonts w:ascii="Arial" w:hAnsi="Arial" w:cs="Arial"/>
          <w:bCs/>
          <w:lang w:eastAsia="en-GB"/>
        </w:rPr>
        <w:t>4</w:t>
      </w:r>
      <w:r w:rsidRPr="0007572B">
        <w:rPr>
          <w:rFonts w:ascii="Arial" w:hAnsi="Arial" w:cs="Arial"/>
          <w:bCs/>
          <w:lang w:eastAsia="en-GB"/>
        </w:rPr>
        <w:t>.</w:t>
      </w:r>
    </w:p>
    <w:p w14:paraId="575D956F" w14:textId="77777777" w:rsidR="00795BE0" w:rsidRPr="00230784" w:rsidRDefault="00795BE0" w:rsidP="006F1659">
      <w:pPr>
        <w:spacing w:line="360" w:lineRule="auto"/>
        <w:rPr>
          <w:rFonts w:ascii="Arial" w:hAnsi="Arial" w:cs="Arial"/>
          <w:color w:val="000000"/>
          <w:lang w:val="en-US"/>
        </w:rPr>
      </w:pPr>
    </w:p>
    <w:p w14:paraId="3C3AB4B1" w14:textId="77777777" w:rsidR="00795BE0" w:rsidRDefault="00795BE0" w:rsidP="006F1659">
      <w:pPr>
        <w:spacing w:line="360" w:lineRule="auto"/>
        <w:rPr>
          <w:rFonts w:ascii="Arial" w:hAnsi="Arial" w:cs="Arial"/>
        </w:rPr>
      </w:pPr>
      <w:r w:rsidRPr="00230784">
        <w:rPr>
          <w:rFonts w:ascii="Arial" w:hAnsi="Arial" w:cs="Arial"/>
        </w:rPr>
        <w:t xml:space="preserve">All intra-group trading, balances and unrealised gains and losses as at the end of the period are eliminated in full. </w:t>
      </w:r>
    </w:p>
    <w:p w14:paraId="3332BD53" w14:textId="77777777" w:rsidR="00795BE0" w:rsidRPr="0007572B" w:rsidRDefault="00795BE0" w:rsidP="006F1659">
      <w:pPr>
        <w:pStyle w:val="Heading3"/>
        <w:spacing w:line="360" w:lineRule="auto"/>
      </w:pPr>
      <w:bookmarkStart w:id="234" w:name="_Toc92894919"/>
      <w:bookmarkStart w:id="235" w:name="_Toc92895223"/>
      <w:bookmarkStart w:id="236" w:name="_Toc109922657"/>
      <w:r w:rsidRPr="0007572B">
        <w:t>Basis of Preparation of the Group Accounts</w:t>
      </w:r>
      <w:bookmarkEnd w:id="234"/>
      <w:bookmarkEnd w:id="235"/>
      <w:bookmarkEnd w:id="236"/>
    </w:p>
    <w:p w14:paraId="3C95D685" w14:textId="34C9AA79" w:rsidR="00795BE0" w:rsidRPr="0007572B" w:rsidRDefault="00795BE0" w:rsidP="006F1659">
      <w:pPr>
        <w:spacing w:line="360" w:lineRule="auto"/>
        <w:rPr>
          <w:rFonts w:ascii="Arial" w:hAnsi="Arial" w:cs="Arial"/>
        </w:rPr>
      </w:pPr>
      <w:r w:rsidRPr="0007572B">
        <w:rPr>
          <w:rFonts w:ascii="Arial" w:hAnsi="Arial" w:cs="Arial"/>
        </w:rPr>
        <w:t xml:space="preserve">The group accounts have been prepared on a historical cost basis, except for certain property assets that are measured at </w:t>
      </w:r>
      <w:r w:rsidR="001E1A08">
        <w:rPr>
          <w:rFonts w:ascii="Arial" w:hAnsi="Arial" w:cs="Arial"/>
        </w:rPr>
        <w:t>current</w:t>
      </w:r>
      <w:r w:rsidRPr="0007572B">
        <w:rPr>
          <w:rFonts w:ascii="Arial" w:hAnsi="Arial" w:cs="Arial"/>
        </w:rPr>
        <w:t xml:space="preserve"> value, in accordance with the Code. The group accounts have been prepared on a going concern basis.</w:t>
      </w:r>
    </w:p>
    <w:p w14:paraId="5B537D16" w14:textId="77777777" w:rsidR="00795BE0" w:rsidRPr="00950EAF" w:rsidRDefault="00795BE0" w:rsidP="006F1659">
      <w:pPr>
        <w:pStyle w:val="Heading3"/>
        <w:spacing w:line="360" w:lineRule="auto"/>
      </w:pPr>
      <w:bookmarkStart w:id="237" w:name="_Toc92894920"/>
      <w:bookmarkStart w:id="238" w:name="_Toc92895224"/>
      <w:bookmarkStart w:id="239" w:name="_Toc109922658"/>
      <w:r w:rsidRPr="00950EAF">
        <w:t>Statement of Compliance with IFRS</w:t>
      </w:r>
      <w:bookmarkEnd w:id="237"/>
      <w:bookmarkEnd w:id="238"/>
      <w:bookmarkEnd w:id="239"/>
    </w:p>
    <w:p w14:paraId="2CF2ADDA" w14:textId="77777777" w:rsidR="00795BE0" w:rsidRPr="0007572B" w:rsidRDefault="00795BE0" w:rsidP="006F1659">
      <w:pPr>
        <w:spacing w:line="360" w:lineRule="auto"/>
        <w:rPr>
          <w:rFonts w:ascii="Arial" w:hAnsi="Arial" w:cs="Arial"/>
        </w:rPr>
      </w:pPr>
      <w:r w:rsidRPr="0007572B">
        <w:rPr>
          <w:rFonts w:ascii="Arial" w:hAnsi="Arial" w:cs="Arial"/>
        </w:rPr>
        <w:t>In accordance with the CIPFA Code of Practice on Local Authority Accounting in the United Kingdom, TfGM has adopted all aspects of the Code other than as follows:</w:t>
      </w:r>
    </w:p>
    <w:p w14:paraId="75045D82" w14:textId="470E1BF5" w:rsidR="00795BE0" w:rsidRDefault="00795BE0" w:rsidP="006F1659">
      <w:pPr>
        <w:spacing w:line="360" w:lineRule="auto"/>
        <w:rPr>
          <w:rFonts w:ascii="Arial" w:hAnsi="Arial" w:cs="Arial"/>
        </w:rPr>
      </w:pPr>
    </w:p>
    <w:p w14:paraId="03535E93" w14:textId="77777777" w:rsidR="00FD2C8C" w:rsidRPr="0007572B" w:rsidRDefault="00FD2C8C" w:rsidP="006F1659">
      <w:pPr>
        <w:spacing w:line="360" w:lineRule="auto"/>
        <w:rPr>
          <w:rFonts w:ascii="Arial" w:hAnsi="Arial" w:cs="Arial"/>
        </w:rPr>
      </w:pPr>
    </w:p>
    <w:p w14:paraId="438431D9" w14:textId="77777777" w:rsidR="00795BE0" w:rsidRPr="00A0464D" w:rsidRDefault="00795BE0" w:rsidP="006F1659">
      <w:pPr>
        <w:numPr>
          <w:ilvl w:val="0"/>
          <w:numId w:val="58"/>
        </w:numPr>
        <w:spacing w:line="360" w:lineRule="auto"/>
        <w:rPr>
          <w:rFonts w:ascii="Arial" w:hAnsi="Arial" w:cs="Arial"/>
        </w:rPr>
      </w:pPr>
      <w:r w:rsidRPr="00A0464D">
        <w:rPr>
          <w:rFonts w:ascii="Arial" w:hAnsi="Arial" w:cs="Arial"/>
        </w:rPr>
        <w:t xml:space="preserve">Deregulation Reserve. IFRS 5 would treat the deregulation of bus services in 1986 as a discontinued operation, leading to the write off of any costs connected with deregulation. However, the Transport Act of 1985 allowed any costs incurred on deregulation to be transferred to a specific reserve, called the ‘Deregulation </w:t>
      </w:r>
      <w:r w:rsidRPr="00A0464D">
        <w:rPr>
          <w:rFonts w:ascii="Arial" w:hAnsi="Arial" w:cs="Arial"/>
        </w:rPr>
        <w:lastRenderedPageBreak/>
        <w:t>Reserve’. TfGM has adopted a policy of amortising the Deregulation Reserve over 30 years.</w:t>
      </w:r>
    </w:p>
    <w:p w14:paraId="417921C8" w14:textId="77777777" w:rsidR="00795BE0" w:rsidRPr="0007572B" w:rsidRDefault="00795BE0" w:rsidP="006F1659">
      <w:pPr>
        <w:spacing w:line="360" w:lineRule="auto"/>
        <w:jc w:val="both"/>
        <w:rPr>
          <w:rFonts w:ascii="Arial" w:hAnsi="Arial" w:cs="Arial"/>
          <w:sz w:val="22"/>
          <w:szCs w:val="22"/>
        </w:rPr>
      </w:pPr>
    </w:p>
    <w:p w14:paraId="5F11C83A" w14:textId="77777777" w:rsidR="00795BE0" w:rsidRPr="0007572B" w:rsidRDefault="00795BE0" w:rsidP="006F1659">
      <w:pPr>
        <w:spacing w:after="120" w:line="360" w:lineRule="auto"/>
        <w:jc w:val="both"/>
        <w:rPr>
          <w:rFonts w:ascii="Arial" w:hAnsi="Arial" w:cs="Arial"/>
          <w:sz w:val="22"/>
        </w:rPr>
      </w:pPr>
    </w:p>
    <w:p w14:paraId="483B395A" w14:textId="77777777" w:rsidR="00795BE0" w:rsidRPr="0007572B" w:rsidRDefault="00795BE0" w:rsidP="006F1659">
      <w:pPr>
        <w:spacing w:line="360" w:lineRule="auto"/>
        <w:rPr>
          <w:rFonts w:ascii="Arial" w:hAnsi="Arial" w:cs="Arial"/>
          <w:sz w:val="22"/>
        </w:rPr>
        <w:sectPr w:rsidR="00795BE0" w:rsidRPr="0007572B" w:rsidSect="004833A2">
          <w:headerReference w:type="default" r:id="rId116"/>
          <w:pgSz w:w="11906" w:h="16838"/>
          <w:pgMar w:top="946" w:right="1416" w:bottom="1440" w:left="1080" w:header="283" w:footer="567" w:gutter="0"/>
          <w:cols w:space="708"/>
          <w:docGrid w:linePitch="360"/>
        </w:sectPr>
      </w:pPr>
    </w:p>
    <w:p w14:paraId="23141B32" w14:textId="77777777" w:rsidR="00795BE0" w:rsidRPr="0007572B" w:rsidRDefault="00795BE0" w:rsidP="006F1659">
      <w:pPr>
        <w:spacing w:line="360" w:lineRule="auto"/>
        <w:jc w:val="center"/>
        <w:rPr>
          <w:rFonts w:ascii="Arial" w:hAnsi="Arial" w:cs="Arial"/>
          <w:b/>
          <w:sz w:val="40"/>
          <w:szCs w:val="40"/>
        </w:rPr>
      </w:pPr>
    </w:p>
    <w:p w14:paraId="55641D69" w14:textId="77777777" w:rsidR="00795BE0" w:rsidRPr="0007572B" w:rsidRDefault="00795BE0" w:rsidP="006F1659">
      <w:pPr>
        <w:spacing w:line="360" w:lineRule="auto"/>
        <w:jc w:val="center"/>
        <w:rPr>
          <w:rFonts w:ascii="Arial" w:hAnsi="Arial" w:cs="Arial"/>
          <w:b/>
          <w:sz w:val="40"/>
          <w:szCs w:val="40"/>
        </w:rPr>
      </w:pPr>
    </w:p>
    <w:p w14:paraId="7CC93396" w14:textId="77777777" w:rsidR="00795BE0" w:rsidRPr="0007572B" w:rsidRDefault="00795BE0" w:rsidP="006F1659">
      <w:pPr>
        <w:spacing w:line="360" w:lineRule="auto"/>
        <w:jc w:val="center"/>
        <w:rPr>
          <w:rFonts w:ascii="Arial" w:hAnsi="Arial" w:cs="Arial"/>
          <w:b/>
          <w:sz w:val="40"/>
          <w:szCs w:val="40"/>
        </w:rPr>
      </w:pPr>
    </w:p>
    <w:p w14:paraId="4DCCF7A7" w14:textId="77777777" w:rsidR="00795BE0" w:rsidRPr="0007572B" w:rsidRDefault="00795BE0" w:rsidP="006F1659">
      <w:pPr>
        <w:spacing w:line="360" w:lineRule="auto"/>
        <w:jc w:val="center"/>
        <w:rPr>
          <w:rFonts w:ascii="Arial" w:hAnsi="Arial" w:cs="Arial"/>
          <w:b/>
          <w:sz w:val="40"/>
          <w:szCs w:val="40"/>
        </w:rPr>
      </w:pPr>
    </w:p>
    <w:p w14:paraId="4B45ACBD" w14:textId="77777777" w:rsidR="00795BE0" w:rsidRPr="0007572B" w:rsidRDefault="00795BE0" w:rsidP="006F1659">
      <w:pPr>
        <w:pStyle w:val="Heading1"/>
        <w:spacing w:line="360" w:lineRule="auto"/>
        <w:jc w:val="center"/>
      </w:pPr>
      <w:bookmarkStart w:id="240" w:name="_Toc92895225"/>
      <w:bookmarkStart w:id="241" w:name="_Toc109922659"/>
      <w:r w:rsidRPr="0007572B">
        <w:t>Greater Manchester Combined Authority</w:t>
      </w:r>
      <w:r>
        <w:t xml:space="preserve"> – Group Financial Statements</w:t>
      </w:r>
      <w:bookmarkEnd w:id="240"/>
      <w:bookmarkEnd w:id="241"/>
    </w:p>
    <w:p w14:paraId="4B00BE27" w14:textId="77777777" w:rsidR="00795BE0" w:rsidRPr="0007572B" w:rsidRDefault="00795BE0" w:rsidP="006F1659">
      <w:pPr>
        <w:spacing w:line="360" w:lineRule="auto"/>
        <w:jc w:val="center"/>
        <w:rPr>
          <w:rFonts w:ascii="Arial" w:hAnsi="Arial" w:cs="Arial"/>
          <w:b/>
          <w:sz w:val="40"/>
          <w:szCs w:val="40"/>
        </w:rPr>
      </w:pPr>
    </w:p>
    <w:p w14:paraId="768BC2CB" w14:textId="77777777" w:rsidR="00795BE0" w:rsidRPr="0007572B" w:rsidRDefault="00795BE0" w:rsidP="006F1659">
      <w:pPr>
        <w:spacing w:line="360" w:lineRule="auto"/>
        <w:jc w:val="center"/>
        <w:rPr>
          <w:rFonts w:ascii="Arial" w:hAnsi="Arial" w:cs="Arial"/>
          <w:b/>
          <w:sz w:val="40"/>
          <w:szCs w:val="40"/>
        </w:rPr>
      </w:pPr>
    </w:p>
    <w:p w14:paraId="6ABCE3C6" w14:textId="77777777" w:rsidR="00795BE0" w:rsidRPr="0007572B" w:rsidRDefault="00795BE0" w:rsidP="006F1659">
      <w:pPr>
        <w:spacing w:line="360" w:lineRule="auto"/>
        <w:jc w:val="center"/>
        <w:rPr>
          <w:rFonts w:ascii="Arial" w:hAnsi="Arial" w:cs="Arial"/>
          <w:b/>
          <w:sz w:val="40"/>
          <w:szCs w:val="40"/>
        </w:rPr>
      </w:pPr>
    </w:p>
    <w:p w14:paraId="6B7B10D9" w14:textId="77777777" w:rsidR="00795BE0" w:rsidRPr="0007572B" w:rsidRDefault="00795BE0" w:rsidP="006F1659">
      <w:pPr>
        <w:spacing w:line="360" w:lineRule="auto"/>
        <w:jc w:val="center"/>
        <w:rPr>
          <w:rFonts w:ascii="Arial" w:hAnsi="Arial" w:cs="Arial"/>
          <w:b/>
          <w:sz w:val="40"/>
          <w:szCs w:val="40"/>
        </w:rPr>
      </w:pPr>
    </w:p>
    <w:p w14:paraId="6B424094" w14:textId="77777777" w:rsidR="00795BE0" w:rsidRPr="0007572B" w:rsidRDefault="00795BE0" w:rsidP="006F1659">
      <w:pPr>
        <w:spacing w:line="360" w:lineRule="auto"/>
        <w:jc w:val="center"/>
        <w:rPr>
          <w:rFonts w:ascii="Arial" w:hAnsi="Arial" w:cs="Arial"/>
          <w:b/>
          <w:sz w:val="40"/>
          <w:szCs w:val="40"/>
        </w:rPr>
      </w:pPr>
    </w:p>
    <w:p w14:paraId="67B44F65" w14:textId="77777777" w:rsidR="00795BE0" w:rsidRPr="0007572B" w:rsidRDefault="00795BE0" w:rsidP="006F1659">
      <w:pPr>
        <w:spacing w:line="360" w:lineRule="auto"/>
        <w:rPr>
          <w:rFonts w:ascii="Arial" w:hAnsi="Arial" w:cs="Arial"/>
          <w:sz w:val="22"/>
        </w:rPr>
      </w:pPr>
      <w:r w:rsidRPr="0007572B">
        <w:rPr>
          <w:rFonts w:ascii="Arial" w:hAnsi="Arial" w:cs="Arial"/>
          <w:sz w:val="22"/>
        </w:rPr>
        <w:br w:type="page"/>
      </w:r>
    </w:p>
    <w:p w14:paraId="0B56C99C" w14:textId="77777777" w:rsidR="00795BE0" w:rsidRPr="0007572B" w:rsidRDefault="00795BE0" w:rsidP="006F1659">
      <w:pPr>
        <w:pStyle w:val="Heading3green"/>
        <w:spacing w:line="360" w:lineRule="auto"/>
      </w:pPr>
      <w:bookmarkStart w:id="242" w:name="_Toc92895226"/>
      <w:bookmarkStart w:id="243" w:name="_Toc109922660"/>
      <w:r w:rsidRPr="0007572B">
        <w:lastRenderedPageBreak/>
        <w:t>Group Comprehensive Income and Expenditure Statement</w:t>
      </w:r>
      <w:bookmarkEnd w:id="242"/>
      <w:bookmarkEnd w:id="243"/>
    </w:p>
    <w:p w14:paraId="1B811913" w14:textId="77777777" w:rsidR="00795BE0" w:rsidRPr="0007572B" w:rsidRDefault="00795BE0" w:rsidP="006F1659">
      <w:pPr>
        <w:spacing w:line="360" w:lineRule="auto"/>
        <w:jc w:val="both"/>
        <w:rPr>
          <w:rFonts w:ascii="Arial" w:hAnsi="Arial" w:cs="Arial"/>
        </w:rPr>
      </w:pPr>
    </w:p>
    <w:p w14:paraId="42ABB89B" w14:textId="77777777" w:rsidR="00795BE0" w:rsidRDefault="00795BE0" w:rsidP="006F1659">
      <w:pPr>
        <w:spacing w:line="360" w:lineRule="auto"/>
        <w:rPr>
          <w:rFonts w:ascii="Arial" w:hAnsi="Arial" w:cs="Arial"/>
        </w:rPr>
      </w:pPr>
      <w:r w:rsidRPr="0007572B">
        <w:rPr>
          <w:rFonts w:ascii="Arial" w:hAnsi="Arial" w:cs="Arial"/>
        </w:rPr>
        <w:t>This statement shows the Group accounting cost of providing services, rather than the amount set out in legislation that is chargeable to precepts, levies, taxation and grant income. The taxation position is shown in the Movement in Reserves Statement and the Expenditure and Funding Analysis.</w:t>
      </w:r>
    </w:p>
    <w:p w14:paraId="1F26DEEF" w14:textId="77777777" w:rsidR="00D13EB3" w:rsidRDefault="00D13EB3" w:rsidP="006F1659">
      <w:pPr>
        <w:spacing w:line="360" w:lineRule="auto"/>
        <w:rPr>
          <w:rFonts w:ascii="Arial" w:hAnsi="Arial" w:cs="Arial"/>
        </w:rPr>
      </w:pPr>
    </w:p>
    <w:p w14:paraId="46EE580B" w14:textId="36B0EF10" w:rsidR="007871A5" w:rsidRDefault="00961074" w:rsidP="006F1659">
      <w:pPr>
        <w:spacing w:line="360" w:lineRule="auto"/>
        <w:jc w:val="both"/>
        <w:rPr>
          <w:rFonts w:ascii="Arial" w:hAnsi="Arial" w:cs="Arial"/>
        </w:rPr>
      </w:pPr>
      <w:r w:rsidRPr="00961074">
        <w:rPr>
          <w:noProof/>
        </w:rPr>
        <w:drawing>
          <wp:inline distT="0" distB="0" distL="0" distR="0" wp14:anchorId="6C20CB0F" wp14:editId="57157B33">
            <wp:extent cx="5975350" cy="3966845"/>
            <wp:effectExtent l="0" t="0" r="6350" b="0"/>
            <wp:docPr id="43464627"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64627" name="Picture 16">
                      <a:extLst>
                        <a:ext uri="{C183D7F6-B498-43B3-948B-1728B52AA6E4}">
                          <adec:decorative xmlns:adec="http://schemas.microsoft.com/office/drawing/2017/decorative" val="1"/>
                        </a:ext>
                      </a:extLst>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975350" cy="3966845"/>
                    </a:xfrm>
                    <a:prstGeom prst="rect">
                      <a:avLst/>
                    </a:prstGeom>
                    <a:noFill/>
                    <a:ln>
                      <a:noFill/>
                    </a:ln>
                  </pic:spPr>
                </pic:pic>
              </a:graphicData>
            </a:graphic>
          </wp:inline>
        </w:drawing>
      </w:r>
    </w:p>
    <w:p w14:paraId="46F7495A" w14:textId="265AA5F9" w:rsidR="00795BE0" w:rsidRDefault="00795BE0" w:rsidP="006F1659">
      <w:pPr>
        <w:spacing w:line="360" w:lineRule="auto"/>
        <w:jc w:val="both"/>
        <w:rPr>
          <w:rFonts w:ascii="Arial" w:hAnsi="Arial" w:cs="Arial"/>
        </w:rPr>
      </w:pPr>
    </w:p>
    <w:p w14:paraId="17C5E248" w14:textId="77777777" w:rsidR="00795BE0" w:rsidRPr="0007572B" w:rsidRDefault="00795BE0" w:rsidP="006F1659">
      <w:pPr>
        <w:spacing w:line="360" w:lineRule="auto"/>
        <w:jc w:val="both"/>
        <w:rPr>
          <w:rFonts w:ascii="Arial" w:hAnsi="Arial" w:cs="Arial"/>
          <w:b/>
        </w:rPr>
      </w:pPr>
      <w:r w:rsidRPr="0007572B">
        <w:rPr>
          <w:rFonts w:ascii="Arial" w:hAnsi="Arial" w:cs="Arial"/>
          <w:noProof/>
          <w:sz w:val="28"/>
          <w:szCs w:val="28"/>
          <w:lang w:eastAsia="en-GB"/>
        </w:rPr>
        <w:drawing>
          <wp:inline distT="0" distB="0" distL="0" distR="0" wp14:anchorId="24E705D5" wp14:editId="4DD78DD3">
            <wp:extent cx="1117600" cy="614680"/>
            <wp:effectExtent l="0" t="0" r="6350" b="0"/>
            <wp:docPr id="59" name="Picture 59" descr="Signature of Steve Wilson, Greater Manchester Combined Authority Treasur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Signature of Steve Wilson, Greater Manchester Combined Authority Treasurer "/>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117600" cy="614680"/>
                    </a:xfrm>
                    <a:prstGeom prst="rect">
                      <a:avLst/>
                    </a:prstGeom>
                    <a:noFill/>
                    <a:ln>
                      <a:noFill/>
                    </a:ln>
                  </pic:spPr>
                </pic:pic>
              </a:graphicData>
            </a:graphic>
          </wp:inline>
        </w:drawing>
      </w:r>
    </w:p>
    <w:p w14:paraId="1D869CCE" w14:textId="77777777" w:rsidR="00795BE0" w:rsidRPr="0007572B" w:rsidRDefault="00795BE0" w:rsidP="006F1659">
      <w:pPr>
        <w:spacing w:line="360" w:lineRule="auto"/>
        <w:jc w:val="both"/>
        <w:rPr>
          <w:rFonts w:ascii="Arial" w:hAnsi="Arial" w:cs="Arial"/>
          <w:b/>
        </w:rPr>
      </w:pPr>
      <w:r w:rsidRPr="0007572B">
        <w:rPr>
          <w:rFonts w:ascii="Arial" w:hAnsi="Arial" w:cs="Arial"/>
          <w:b/>
        </w:rPr>
        <w:t>Steve Wilson</w:t>
      </w:r>
    </w:p>
    <w:p w14:paraId="503A4A99" w14:textId="77777777" w:rsidR="00795BE0" w:rsidRPr="0007572B" w:rsidRDefault="00795BE0" w:rsidP="006F1659">
      <w:pPr>
        <w:spacing w:line="360" w:lineRule="auto"/>
        <w:jc w:val="both"/>
        <w:rPr>
          <w:rFonts w:ascii="Arial" w:hAnsi="Arial" w:cs="Arial"/>
          <w:b/>
        </w:rPr>
      </w:pPr>
      <w:r w:rsidRPr="0007572B">
        <w:rPr>
          <w:rFonts w:ascii="Arial" w:hAnsi="Arial" w:cs="Arial"/>
          <w:b/>
        </w:rPr>
        <w:t>Greater Manchester Combined Authority Treasurer</w:t>
      </w:r>
    </w:p>
    <w:p w14:paraId="674CBF86" w14:textId="5A6E30FE" w:rsidR="00795BE0" w:rsidRPr="0007572B" w:rsidRDefault="00795BE0" w:rsidP="006F1659">
      <w:pPr>
        <w:spacing w:line="360" w:lineRule="auto"/>
        <w:jc w:val="both"/>
        <w:rPr>
          <w:rFonts w:ascii="Arial" w:hAnsi="Arial" w:cs="Arial"/>
        </w:rPr>
      </w:pPr>
      <w:r w:rsidRPr="0007572B">
        <w:rPr>
          <w:rFonts w:ascii="Arial" w:hAnsi="Arial" w:cs="Arial"/>
          <w:b/>
        </w:rPr>
        <w:t xml:space="preserve">Date: </w:t>
      </w:r>
      <w:r w:rsidR="003B46BF">
        <w:rPr>
          <w:rFonts w:ascii="Arial" w:hAnsi="Arial" w:cs="Arial"/>
          <w:b/>
        </w:rPr>
        <w:t xml:space="preserve">31 </w:t>
      </w:r>
      <w:r w:rsidR="003B46BF" w:rsidRPr="003B46BF">
        <w:rPr>
          <w:rFonts w:ascii="Arial" w:hAnsi="Arial" w:cs="Arial"/>
          <w:b/>
        </w:rPr>
        <w:t>J</w:t>
      </w:r>
      <w:r w:rsidR="00A0464D" w:rsidRPr="003B46BF">
        <w:rPr>
          <w:rFonts w:ascii="Arial" w:hAnsi="Arial" w:cs="Arial"/>
          <w:b/>
        </w:rPr>
        <w:t>uly</w:t>
      </w:r>
      <w:r w:rsidR="00A66F7E" w:rsidRPr="003B46BF">
        <w:rPr>
          <w:rFonts w:ascii="Arial" w:hAnsi="Arial" w:cs="Arial"/>
          <w:b/>
        </w:rPr>
        <w:t xml:space="preserve"> </w:t>
      </w:r>
      <w:r w:rsidRPr="003B46BF">
        <w:rPr>
          <w:rFonts w:ascii="Arial" w:hAnsi="Arial" w:cs="Arial"/>
          <w:b/>
        </w:rPr>
        <w:t>202</w:t>
      </w:r>
      <w:r w:rsidR="00E37468">
        <w:rPr>
          <w:rFonts w:ascii="Arial" w:hAnsi="Arial" w:cs="Arial"/>
          <w:b/>
        </w:rPr>
        <w:t>4</w:t>
      </w:r>
    </w:p>
    <w:p w14:paraId="065C5FC2" w14:textId="77777777" w:rsidR="00795BE0" w:rsidRPr="0007572B" w:rsidRDefault="00795BE0" w:rsidP="006F1659">
      <w:pPr>
        <w:spacing w:line="360" w:lineRule="auto"/>
        <w:jc w:val="both"/>
        <w:rPr>
          <w:rFonts w:ascii="Arial" w:hAnsi="Arial" w:cs="Arial"/>
          <w:b/>
          <w:sz w:val="22"/>
          <w:szCs w:val="22"/>
        </w:rPr>
      </w:pPr>
    </w:p>
    <w:p w14:paraId="20D2546B" w14:textId="77777777" w:rsidR="00795BE0" w:rsidRPr="0007572B" w:rsidRDefault="00795BE0" w:rsidP="006F1659">
      <w:pPr>
        <w:spacing w:line="360" w:lineRule="auto"/>
        <w:jc w:val="both"/>
        <w:rPr>
          <w:rFonts w:ascii="Arial" w:hAnsi="Arial" w:cs="Arial"/>
          <w:b/>
          <w:sz w:val="22"/>
          <w:szCs w:val="22"/>
        </w:rPr>
      </w:pPr>
    </w:p>
    <w:p w14:paraId="3FFD5687" w14:textId="77777777" w:rsidR="00795BE0" w:rsidRPr="0007572B" w:rsidRDefault="00795BE0" w:rsidP="006F1659">
      <w:pPr>
        <w:spacing w:line="360" w:lineRule="auto"/>
        <w:rPr>
          <w:rFonts w:ascii="Arial" w:hAnsi="Arial" w:cs="Arial"/>
          <w:sz w:val="22"/>
        </w:rPr>
      </w:pPr>
    </w:p>
    <w:p w14:paraId="74ED41B8" w14:textId="77777777" w:rsidR="00795BE0" w:rsidRPr="0007572B" w:rsidRDefault="00795BE0" w:rsidP="006F1659">
      <w:pPr>
        <w:spacing w:line="360" w:lineRule="auto"/>
        <w:rPr>
          <w:rFonts w:ascii="Arial" w:hAnsi="Arial" w:cs="Arial"/>
          <w:sz w:val="22"/>
        </w:rPr>
      </w:pPr>
    </w:p>
    <w:p w14:paraId="4CFF3763" w14:textId="77777777" w:rsidR="00795BE0" w:rsidRPr="0007572B" w:rsidRDefault="00795BE0" w:rsidP="006F1659">
      <w:pPr>
        <w:spacing w:line="360" w:lineRule="auto"/>
        <w:rPr>
          <w:rFonts w:ascii="Arial" w:hAnsi="Arial" w:cs="Arial"/>
          <w:sz w:val="22"/>
        </w:rPr>
        <w:sectPr w:rsidR="00795BE0" w:rsidRPr="0007572B" w:rsidSect="004833A2">
          <w:pgSz w:w="11906" w:h="16838"/>
          <w:pgMar w:top="946" w:right="1416" w:bottom="1440" w:left="1080" w:header="283" w:footer="567" w:gutter="0"/>
          <w:cols w:space="708"/>
          <w:docGrid w:linePitch="360"/>
        </w:sectPr>
      </w:pPr>
    </w:p>
    <w:p w14:paraId="75FCC16E" w14:textId="77777777" w:rsidR="00795BE0" w:rsidRPr="0007572B" w:rsidRDefault="00795BE0" w:rsidP="006F1659">
      <w:pPr>
        <w:pStyle w:val="Heading3green"/>
        <w:spacing w:line="360" w:lineRule="auto"/>
      </w:pPr>
      <w:bookmarkStart w:id="244" w:name="_Toc92895227"/>
      <w:bookmarkStart w:id="245" w:name="_Toc109922661"/>
      <w:r w:rsidRPr="0007572B">
        <w:lastRenderedPageBreak/>
        <w:t>Group Movement in Reserves Statement</w:t>
      </w:r>
      <w:bookmarkEnd w:id="244"/>
      <w:bookmarkEnd w:id="245"/>
    </w:p>
    <w:p w14:paraId="7C958B73" w14:textId="77777777" w:rsidR="00795BE0" w:rsidRPr="0007572B" w:rsidRDefault="00795BE0" w:rsidP="006F1659">
      <w:pPr>
        <w:spacing w:line="360" w:lineRule="auto"/>
        <w:jc w:val="both"/>
        <w:rPr>
          <w:rFonts w:ascii="Arial" w:hAnsi="Arial" w:cs="Arial"/>
        </w:rPr>
      </w:pPr>
    </w:p>
    <w:p w14:paraId="1013A999" w14:textId="77777777" w:rsidR="00795BE0" w:rsidRPr="0007572B" w:rsidRDefault="00795BE0" w:rsidP="006F1659">
      <w:pPr>
        <w:spacing w:line="360" w:lineRule="auto"/>
        <w:rPr>
          <w:rFonts w:ascii="Arial" w:hAnsi="Arial" w:cs="Arial"/>
          <w:b/>
        </w:rPr>
      </w:pPr>
      <w:r w:rsidRPr="0007572B">
        <w:rPr>
          <w:rFonts w:ascii="Arial" w:hAnsi="Arial" w:cs="Arial"/>
        </w:rPr>
        <w:t>This statement shows the movement in year on the different reserves held by the Authority Group. This is analysed into usable and unusable reserves. Usable reserves can be utilised to fund services whereas unusable reserves are accounting reserves held to reconcile the position between the accounting cost of services and the cost set out in legislation that is chargeable to precepts and taxation</w:t>
      </w:r>
      <w:r w:rsidRPr="0007572B">
        <w:rPr>
          <w:rFonts w:ascii="Arial" w:hAnsi="Arial" w:cs="Arial"/>
          <w:b/>
        </w:rPr>
        <w:t>.</w:t>
      </w:r>
    </w:p>
    <w:p w14:paraId="5D5E1EEF" w14:textId="77777777" w:rsidR="00795BE0" w:rsidRPr="0007572B" w:rsidRDefault="00795BE0" w:rsidP="006F1659">
      <w:pPr>
        <w:spacing w:line="360" w:lineRule="auto"/>
        <w:jc w:val="both"/>
        <w:rPr>
          <w:rFonts w:ascii="Arial" w:hAnsi="Arial" w:cs="Arial"/>
        </w:rPr>
      </w:pPr>
      <w:r w:rsidRPr="0007572B">
        <w:rPr>
          <w:rFonts w:ascii="Arial" w:hAnsi="Arial" w:cs="Arial"/>
        </w:rPr>
        <w:t>Further details of usable reserves can be found in the relevant associated notes.</w:t>
      </w:r>
    </w:p>
    <w:p w14:paraId="1714154A" w14:textId="489742DA" w:rsidR="00795BE0" w:rsidRDefault="00795BE0" w:rsidP="006F1659">
      <w:pPr>
        <w:spacing w:line="360" w:lineRule="auto"/>
        <w:jc w:val="both"/>
        <w:rPr>
          <w:rFonts w:ascii="Arial" w:hAnsi="Arial" w:cs="Arial"/>
          <w:b/>
        </w:rPr>
      </w:pPr>
    </w:p>
    <w:p w14:paraId="33352770" w14:textId="60DD21E2" w:rsidR="00D13EB3" w:rsidRPr="0007572B" w:rsidRDefault="003F11FE" w:rsidP="006F1659">
      <w:pPr>
        <w:spacing w:line="360" w:lineRule="auto"/>
        <w:jc w:val="both"/>
        <w:rPr>
          <w:rFonts w:ascii="Arial" w:hAnsi="Arial" w:cs="Arial"/>
          <w:b/>
        </w:rPr>
      </w:pPr>
      <w:r w:rsidRPr="003F11FE">
        <w:rPr>
          <w:noProof/>
        </w:rPr>
        <w:drawing>
          <wp:inline distT="0" distB="0" distL="0" distR="0" wp14:anchorId="6B2DF686" wp14:editId="13DE0E09">
            <wp:extent cx="9177020" cy="2986405"/>
            <wp:effectExtent l="0" t="0" r="5080" b="4445"/>
            <wp:docPr id="202647224"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47224" name="Picture 17">
                      <a:extLst>
                        <a:ext uri="{C183D7F6-B498-43B3-948B-1728B52AA6E4}">
                          <adec:decorative xmlns:adec="http://schemas.microsoft.com/office/drawing/2017/decorative" val="1"/>
                        </a:ext>
                      </a:extLst>
                    </pic:cNvPr>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9177020" cy="2986405"/>
                    </a:xfrm>
                    <a:prstGeom prst="rect">
                      <a:avLst/>
                    </a:prstGeom>
                    <a:noFill/>
                    <a:ln>
                      <a:noFill/>
                    </a:ln>
                  </pic:spPr>
                </pic:pic>
              </a:graphicData>
            </a:graphic>
          </wp:inline>
        </w:drawing>
      </w:r>
    </w:p>
    <w:p w14:paraId="78817851" w14:textId="77777777" w:rsidR="00795BE0" w:rsidRPr="0007572B" w:rsidRDefault="00795BE0" w:rsidP="006F1659">
      <w:pPr>
        <w:spacing w:line="360" w:lineRule="auto"/>
        <w:jc w:val="both"/>
        <w:rPr>
          <w:rFonts w:ascii="Arial" w:hAnsi="Arial" w:cs="Arial"/>
          <w:b/>
          <w:sz w:val="22"/>
          <w:szCs w:val="22"/>
        </w:rPr>
      </w:pPr>
    </w:p>
    <w:p w14:paraId="19F1C3B9" w14:textId="77777777" w:rsidR="00795BE0" w:rsidRPr="0007572B" w:rsidRDefault="00795BE0" w:rsidP="006F1659">
      <w:pPr>
        <w:spacing w:line="360" w:lineRule="auto"/>
        <w:rPr>
          <w:rFonts w:ascii="Arial" w:hAnsi="Arial" w:cs="Arial"/>
          <w:sz w:val="22"/>
        </w:rPr>
        <w:sectPr w:rsidR="00795BE0" w:rsidRPr="0007572B" w:rsidSect="004833A2">
          <w:pgSz w:w="16838" w:h="11906" w:orient="landscape"/>
          <w:pgMar w:top="1080" w:right="946" w:bottom="1416" w:left="1440" w:header="283" w:footer="567" w:gutter="0"/>
          <w:cols w:space="708"/>
          <w:docGrid w:linePitch="360"/>
        </w:sectPr>
      </w:pPr>
    </w:p>
    <w:p w14:paraId="6AEE5344" w14:textId="77777777" w:rsidR="00795BE0" w:rsidRPr="0007572B" w:rsidRDefault="00795BE0" w:rsidP="006F1659">
      <w:pPr>
        <w:pStyle w:val="Heading3green"/>
        <w:spacing w:line="360" w:lineRule="auto"/>
      </w:pPr>
      <w:bookmarkStart w:id="246" w:name="_Toc92895228"/>
      <w:bookmarkStart w:id="247" w:name="_Toc109922662"/>
      <w:r w:rsidRPr="0007572B">
        <w:lastRenderedPageBreak/>
        <w:t>Group Balance Sheet</w:t>
      </w:r>
      <w:bookmarkEnd w:id="246"/>
      <w:bookmarkEnd w:id="247"/>
    </w:p>
    <w:p w14:paraId="53FD4758" w14:textId="77777777" w:rsidR="00795BE0" w:rsidRPr="0007572B" w:rsidRDefault="00795BE0" w:rsidP="006F1659">
      <w:pPr>
        <w:spacing w:line="360" w:lineRule="auto"/>
        <w:jc w:val="both"/>
        <w:rPr>
          <w:rFonts w:ascii="Arial" w:hAnsi="Arial" w:cs="Arial"/>
        </w:rPr>
      </w:pPr>
    </w:p>
    <w:p w14:paraId="36A6EDAF" w14:textId="77777777" w:rsidR="00795BE0" w:rsidRPr="0007572B" w:rsidRDefault="00795BE0" w:rsidP="006F1659">
      <w:pPr>
        <w:spacing w:line="360" w:lineRule="auto"/>
        <w:rPr>
          <w:rFonts w:ascii="Arial" w:hAnsi="Arial" w:cs="Arial"/>
          <w:b/>
        </w:rPr>
      </w:pPr>
      <w:r w:rsidRPr="0007572B">
        <w:rPr>
          <w:rFonts w:ascii="Arial" w:hAnsi="Arial" w:cs="Arial"/>
        </w:rPr>
        <w:t>The Balance Sheet shows the value of assets and liabilities recognised by the Authority Group. The net assets/liabilities are matched by the usable and unusable reserves held. Usable reserves can be utilised to fund services whereas unusable reserves are accounting reserves held to reconcile the position between the accounting cost of services and the cost set out in legislation that is chargeable to precepts and taxation</w:t>
      </w:r>
      <w:r w:rsidRPr="0007572B">
        <w:rPr>
          <w:rFonts w:ascii="Arial" w:hAnsi="Arial" w:cs="Arial"/>
          <w:b/>
        </w:rPr>
        <w:t>.</w:t>
      </w:r>
    </w:p>
    <w:p w14:paraId="3CF92FEF" w14:textId="4051EC5B" w:rsidR="00795BE0" w:rsidRDefault="00795BE0" w:rsidP="006F1659">
      <w:pPr>
        <w:spacing w:line="360" w:lineRule="auto"/>
        <w:jc w:val="both"/>
        <w:rPr>
          <w:rFonts w:ascii="Arial" w:hAnsi="Arial" w:cs="Arial"/>
        </w:rPr>
      </w:pPr>
      <w:r w:rsidRPr="0007572B">
        <w:rPr>
          <w:rFonts w:ascii="Arial" w:hAnsi="Arial" w:cs="Arial"/>
        </w:rPr>
        <w:t>Further details of balance sheet items can be found in the relevant associated notes.</w:t>
      </w:r>
    </w:p>
    <w:p w14:paraId="7656D73F" w14:textId="77777777" w:rsidR="00D13EB3" w:rsidRDefault="00D13EB3" w:rsidP="006F1659">
      <w:pPr>
        <w:spacing w:line="360" w:lineRule="auto"/>
        <w:jc w:val="both"/>
        <w:rPr>
          <w:rFonts w:ascii="Arial" w:hAnsi="Arial" w:cs="Arial"/>
        </w:rPr>
      </w:pPr>
    </w:p>
    <w:p w14:paraId="601EA333" w14:textId="310FABF1" w:rsidR="00795BE0" w:rsidRPr="0007572B" w:rsidRDefault="003F11FE" w:rsidP="006F1659">
      <w:pPr>
        <w:spacing w:line="360" w:lineRule="auto"/>
        <w:jc w:val="both"/>
        <w:rPr>
          <w:rFonts w:ascii="Arial" w:hAnsi="Arial" w:cs="Arial"/>
          <w:b/>
        </w:rPr>
      </w:pPr>
      <w:r w:rsidRPr="003F11FE">
        <w:rPr>
          <w:noProof/>
        </w:rPr>
        <w:drawing>
          <wp:inline distT="0" distB="0" distL="0" distR="0" wp14:anchorId="5D077855" wp14:editId="6E243EF9">
            <wp:extent cx="4773529" cy="5213350"/>
            <wp:effectExtent l="0" t="0" r="8255" b="6350"/>
            <wp:docPr id="146156187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561873" name="Picture 18">
                      <a:extLst>
                        <a:ext uri="{C183D7F6-B498-43B3-948B-1728B52AA6E4}">
                          <adec:decorative xmlns:adec="http://schemas.microsoft.com/office/drawing/2017/decorative" val="1"/>
                        </a:ext>
                      </a:extLst>
                    </pic:cNvPr>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780096" cy="5220522"/>
                    </a:xfrm>
                    <a:prstGeom prst="rect">
                      <a:avLst/>
                    </a:prstGeom>
                    <a:noFill/>
                    <a:ln>
                      <a:noFill/>
                    </a:ln>
                  </pic:spPr>
                </pic:pic>
              </a:graphicData>
            </a:graphic>
          </wp:inline>
        </w:drawing>
      </w:r>
    </w:p>
    <w:p w14:paraId="1267C195" w14:textId="77777777" w:rsidR="00795BE0" w:rsidRPr="0007572B" w:rsidRDefault="00795BE0" w:rsidP="006F1659">
      <w:pPr>
        <w:spacing w:line="360" w:lineRule="auto"/>
        <w:jc w:val="both"/>
        <w:rPr>
          <w:rFonts w:ascii="Arial" w:hAnsi="Arial" w:cs="Arial"/>
          <w:b/>
        </w:rPr>
      </w:pPr>
      <w:r w:rsidRPr="0007572B">
        <w:rPr>
          <w:rFonts w:ascii="Arial" w:hAnsi="Arial" w:cs="Arial"/>
          <w:noProof/>
          <w:sz w:val="28"/>
          <w:szCs w:val="28"/>
          <w:lang w:eastAsia="en-GB"/>
        </w:rPr>
        <w:drawing>
          <wp:inline distT="0" distB="0" distL="0" distR="0" wp14:anchorId="6168C280" wp14:editId="0AFA8318">
            <wp:extent cx="1117600" cy="614680"/>
            <wp:effectExtent l="0" t="0" r="6350" b="0"/>
            <wp:docPr id="15" name="Picture 15" descr="Signature of Steve Wilson, Greater Manchester Combined Authority Treasur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 of Steve Wilson, Greater Manchester Combined Authority Treasurer "/>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117600" cy="614680"/>
                    </a:xfrm>
                    <a:prstGeom prst="rect">
                      <a:avLst/>
                    </a:prstGeom>
                    <a:noFill/>
                    <a:ln>
                      <a:noFill/>
                    </a:ln>
                  </pic:spPr>
                </pic:pic>
              </a:graphicData>
            </a:graphic>
          </wp:inline>
        </w:drawing>
      </w:r>
    </w:p>
    <w:p w14:paraId="317A33BE" w14:textId="77777777" w:rsidR="00795BE0" w:rsidRPr="0007572B" w:rsidRDefault="00795BE0" w:rsidP="006F1659">
      <w:pPr>
        <w:spacing w:line="360" w:lineRule="auto"/>
        <w:jc w:val="both"/>
        <w:rPr>
          <w:rFonts w:ascii="Arial" w:hAnsi="Arial" w:cs="Arial"/>
          <w:b/>
        </w:rPr>
      </w:pPr>
      <w:r w:rsidRPr="0007572B">
        <w:rPr>
          <w:rFonts w:ascii="Arial" w:hAnsi="Arial" w:cs="Arial"/>
          <w:b/>
        </w:rPr>
        <w:t>Steve Wilson</w:t>
      </w:r>
    </w:p>
    <w:p w14:paraId="381FC5DB" w14:textId="77777777" w:rsidR="00795BE0" w:rsidRPr="0007572B" w:rsidRDefault="00795BE0" w:rsidP="006F1659">
      <w:pPr>
        <w:spacing w:line="360" w:lineRule="auto"/>
        <w:jc w:val="both"/>
        <w:rPr>
          <w:rFonts w:ascii="Arial" w:hAnsi="Arial" w:cs="Arial"/>
          <w:b/>
        </w:rPr>
      </w:pPr>
      <w:r w:rsidRPr="0007572B">
        <w:rPr>
          <w:rFonts w:ascii="Arial" w:hAnsi="Arial" w:cs="Arial"/>
          <w:b/>
        </w:rPr>
        <w:t>Greater Manchester Combined Authority Treasurer</w:t>
      </w:r>
    </w:p>
    <w:p w14:paraId="35F6477D" w14:textId="265EB66D" w:rsidR="00795BE0" w:rsidRPr="0007572B" w:rsidRDefault="00795BE0" w:rsidP="006F1659">
      <w:pPr>
        <w:spacing w:line="360" w:lineRule="auto"/>
        <w:rPr>
          <w:rFonts w:ascii="Arial" w:hAnsi="Arial" w:cs="Arial"/>
          <w:b/>
          <w:sz w:val="28"/>
          <w:szCs w:val="28"/>
        </w:rPr>
      </w:pPr>
      <w:r w:rsidRPr="0007572B">
        <w:rPr>
          <w:rFonts w:ascii="Arial" w:hAnsi="Arial" w:cs="Arial"/>
          <w:b/>
        </w:rPr>
        <w:t>Date:</w:t>
      </w:r>
      <w:r>
        <w:rPr>
          <w:rFonts w:ascii="Arial" w:hAnsi="Arial" w:cs="Arial"/>
          <w:b/>
        </w:rPr>
        <w:t xml:space="preserve"> </w:t>
      </w:r>
      <w:r w:rsidRPr="0007572B">
        <w:rPr>
          <w:rFonts w:ascii="Arial" w:hAnsi="Arial" w:cs="Arial"/>
          <w:b/>
        </w:rPr>
        <w:t xml:space="preserve"> </w:t>
      </w:r>
      <w:r w:rsidR="003B46BF" w:rsidRPr="003B46BF">
        <w:rPr>
          <w:rFonts w:ascii="Arial" w:hAnsi="Arial" w:cs="Arial"/>
          <w:b/>
        </w:rPr>
        <w:t>31</w:t>
      </w:r>
      <w:r w:rsidRPr="003B46BF">
        <w:rPr>
          <w:rFonts w:ascii="Arial" w:hAnsi="Arial" w:cs="Arial"/>
          <w:b/>
        </w:rPr>
        <w:t xml:space="preserve"> </w:t>
      </w:r>
      <w:r w:rsidR="00970BA2" w:rsidRPr="003B46BF">
        <w:rPr>
          <w:rFonts w:ascii="Arial" w:hAnsi="Arial" w:cs="Arial"/>
          <w:b/>
        </w:rPr>
        <w:t>July</w:t>
      </w:r>
      <w:r w:rsidRPr="003B46BF">
        <w:rPr>
          <w:rFonts w:ascii="Arial" w:hAnsi="Arial" w:cs="Arial"/>
          <w:b/>
        </w:rPr>
        <w:t xml:space="preserve"> 202</w:t>
      </w:r>
      <w:r w:rsidR="00E37468">
        <w:rPr>
          <w:rFonts w:ascii="Arial" w:hAnsi="Arial" w:cs="Arial"/>
          <w:b/>
        </w:rPr>
        <w:t>4</w:t>
      </w:r>
      <w:r w:rsidRPr="0007572B">
        <w:rPr>
          <w:rFonts w:ascii="Arial" w:hAnsi="Arial" w:cs="Arial"/>
          <w:b/>
          <w:sz w:val="28"/>
          <w:szCs w:val="28"/>
        </w:rPr>
        <w:br w:type="page"/>
      </w:r>
    </w:p>
    <w:p w14:paraId="44215396" w14:textId="77777777" w:rsidR="00795BE0" w:rsidRPr="0007572B" w:rsidRDefault="00795BE0" w:rsidP="006F1659">
      <w:pPr>
        <w:pStyle w:val="Heading3green"/>
        <w:spacing w:line="360" w:lineRule="auto"/>
      </w:pPr>
      <w:bookmarkStart w:id="248" w:name="_Toc92895229"/>
      <w:bookmarkStart w:id="249" w:name="_Toc109922663"/>
      <w:r w:rsidRPr="0007572B">
        <w:lastRenderedPageBreak/>
        <w:t>Group Cash Flow Statement</w:t>
      </w:r>
      <w:bookmarkEnd w:id="248"/>
      <w:bookmarkEnd w:id="249"/>
    </w:p>
    <w:p w14:paraId="4D907EC7" w14:textId="77777777" w:rsidR="00795BE0" w:rsidRPr="0007572B" w:rsidRDefault="00795BE0" w:rsidP="006F1659">
      <w:pPr>
        <w:spacing w:line="360" w:lineRule="auto"/>
        <w:jc w:val="both"/>
        <w:rPr>
          <w:rFonts w:ascii="Arial" w:hAnsi="Arial" w:cs="Arial"/>
        </w:rPr>
      </w:pPr>
    </w:p>
    <w:p w14:paraId="3B5C779A" w14:textId="77777777" w:rsidR="00795BE0" w:rsidRPr="0007572B" w:rsidRDefault="00795BE0" w:rsidP="006F1659">
      <w:pPr>
        <w:spacing w:line="360" w:lineRule="auto"/>
        <w:rPr>
          <w:rFonts w:ascii="Arial" w:hAnsi="Arial" w:cs="Arial"/>
        </w:rPr>
      </w:pPr>
      <w:r w:rsidRPr="0007572B">
        <w:rPr>
          <w:rFonts w:ascii="Arial" w:hAnsi="Arial" w:cs="Arial"/>
        </w:rPr>
        <w:t>The cash flow statement shows the changes in cash and cash equivalents of the Authority Group during the reporting period. The statement shows how the Group generates and uses cash equivalents by classifying cash flows as operating, investing and financing activities. The amount of net cash flows arising from the operating activities is a key indicator of the extent to which the operations of the Group are funded by way of precepts, levies, contributions and grant income. Investing activities represent the extent to which cash outflows have been made for resources which are intended to contribute to future service delivery. Cash flows arising from financing activities are useful in predicting claims on future cash flows by providers of capital (i.e. borrowing) to the Group.</w:t>
      </w:r>
    </w:p>
    <w:p w14:paraId="52EEE511" w14:textId="77777777" w:rsidR="00795BE0" w:rsidRDefault="00795BE0" w:rsidP="006F1659">
      <w:pPr>
        <w:spacing w:line="360" w:lineRule="auto"/>
        <w:jc w:val="both"/>
        <w:rPr>
          <w:noProof/>
        </w:rPr>
      </w:pPr>
    </w:p>
    <w:p w14:paraId="3D432E6B" w14:textId="4FB6CA36" w:rsidR="004E5004" w:rsidRPr="0007572B" w:rsidRDefault="003F11FE" w:rsidP="006F1659">
      <w:pPr>
        <w:spacing w:line="360" w:lineRule="auto"/>
        <w:jc w:val="both"/>
        <w:rPr>
          <w:rFonts w:ascii="Arial" w:hAnsi="Arial" w:cs="Arial"/>
        </w:rPr>
      </w:pPr>
      <w:r w:rsidRPr="003F11FE">
        <w:rPr>
          <w:noProof/>
        </w:rPr>
        <w:drawing>
          <wp:inline distT="0" distB="0" distL="0" distR="0" wp14:anchorId="1CC54E4A" wp14:editId="7F90C26D">
            <wp:extent cx="5975350" cy="2449195"/>
            <wp:effectExtent l="0" t="0" r="6350" b="8255"/>
            <wp:docPr id="779924142"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24142" name="Picture 19">
                      <a:extLst>
                        <a:ext uri="{C183D7F6-B498-43B3-948B-1728B52AA6E4}">
                          <adec:decorative xmlns:adec="http://schemas.microsoft.com/office/drawing/2017/decorative" val="1"/>
                        </a:ext>
                      </a:extLst>
                    </pic:cNvPr>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5975350" cy="2449195"/>
                    </a:xfrm>
                    <a:prstGeom prst="rect">
                      <a:avLst/>
                    </a:prstGeom>
                    <a:noFill/>
                    <a:ln>
                      <a:noFill/>
                    </a:ln>
                  </pic:spPr>
                </pic:pic>
              </a:graphicData>
            </a:graphic>
          </wp:inline>
        </w:drawing>
      </w:r>
    </w:p>
    <w:p w14:paraId="31D69478" w14:textId="77777777" w:rsidR="00795BE0" w:rsidRPr="0007572B" w:rsidRDefault="00795BE0" w:rsidP="006F1659">
      <w:pPr>
        <w:spacing w:line="360" w:lineRule="auto"/>
        <w:jc w:val="both"/>
        <w:rPr>
          <w:rFonts w:ascii="Arial" w:hAnsi="Arial" w:cs="Arial"/>
          <w:b/>
          <w:sz w:val="22"/>
          <w:szCs w:val="22"/>
          <w:highlight w:val="yellow"/>
        </w:rPr>
      </w:pPr>
    </w:p>
    <w:p w14:paraId="100A8A86" w14:textId="77777777" w:rsidR="00795BE0" w:rsidRPr="0007572B" w:rsidRDefault="00795BE0" w:rsidP="006F1659">
      <w:pPr>
        <w:spacing w:line="360" w:lineRule="auto"/>
        <w:rPr>
          <w:rFonts w:ascii="Arial" w:hAnsi="Arial" w:cs="Arial"/>
          <w:sz w:val="22"/>
        </w:rPr>
      </w:pPr>
      <w:r w:rsidRPr="0007572B">
        <w:rPr>
          <w:rFonts w:ascii="Arial" w:hAnsi="Arial" w:cs="Arial"/>
          <w:sz w:val="22"/>
        </w:rPr>
        <w:br w:type="page"/>
      </w:r>
    </w:p>
    <w:p w14:paraId="7F7102BA" w14:textId="77777777" w:rsidR="00795BE0" w:rsidRPr="0007572B" w:rsidRDefault="00795BE0" w:rsidP="006F1659">
      <w:pPr>
        <w:spacing w:line="360" w:lineRule="auto"/>
        <w:rPr>
          <w:rFonts w:ascii="Arial" w:hAnsi="Arial" w:cs="Arial"/>
          <w:sz w:val="22"/>
        </w:rPr>
      </w:pPr>
    </w:p>
    <w:p w14:paraId="2D82A7C9" w14:textId="77777777" w:rsidR="00795BE0" w:rsidRDefault="00795BE0" w:rsidP="006F1659">
      <w:pPr>
        <w:spacing w:line="360" w:lineRule="auto"/>
        <w:jc w:val="center"/>
        <w:rPr>
          <w:rFonts w:ascii="Arial" w:hAnsi="Arial" w:cs="Arial"/>
          <w:b/>
          <w:sz w:val="40"/>
          <w:szCs w:val="40"/>
        </w:rPr>
      </w:pPr>
    </w:p>
    <w:p w14:paraId="086B9A92" w14:textId="77777777" w:rsidR="00795BE0" w:rsidRDefault="00795BE0" w:rsidP="006F1659">
      <w:pPr>
        <w:spacing w:line="360" w:lineRule="auto"/>
        <w:jc w:val="center"/>
        <w:rPr>
          <w:rFonts w:ascii="Arial" w:hAnsi="Arial" w:cs="Arial"/>
          <w:b/>
          <w:sz w:val="40"/>
          <w:szCs w:val="40"/>
        </w:rPr>
      </w:pPr>
    </w:p>
    <w:p w14:paraId="231590A2" w14:textId="77777777" w:rsidR="00795BE0" w:rsidRDefault="00795BE0" w:rsidP="006F1659">
      <w:pPr>
        <w:spacing w:line="360" w:lineRule="auto"/>
        <w:jc w:val="center"/>
        <w:rPr>
          <w:rFonts w:ascii="Arial" w:hAnsi="Arial" w:cs="Arial"/>
          <w:b/>
          <w:sz w:val="40"/>
          <w:szCs w:val="40"/>
        </w:rPr>
      </w:pPr>
    </w:p>
    <w:p w14:paraId="0D5A562B" w14:textId="77777777" w:rsidR="00795BE0" w:rsidRDefault="00795BE0" w:rsidP="006F1659">
      <w:pPr>
        <w:spacing w:line="360" w:lineRule="auto"/>
        <w:jc w:val="center"/>
        <w:rPr>
          <w:rFonts w:ascii="Arial" w:hAnsi="Arial" w:cs="Arial"/>
          <w:b/>
          <w:sz w:val="40"/>
          <w:szCs w:val="40"/>
        </w:rPr>
      </w:pPr>
    </w:p>
    <w:p w14:paraId="5DA875C1" w14:textId="77777777" w:rsidR="00795BE0" w:rsidRPr="0007572B" w:rsidRDefault="00795BE0" w:rsidP="006F1659">
      <w:pPr>
        <w:spacing w:line="360" w:lineRule="auto"/>
        <w:jc w:val="center"/>
        <w:rPr>
          <w:rFonts w:ascii="Arial" w:hAnsi="Arial" w:cs="Arial"/>
          <w:b/>
          <w:sz w:val="40"/>
          <w:szCs w:val="40"/>
        </w:rPr>
      </w:pPr>
    </w:p>
    <w:p w14:paraId="22BA478E" w14:textId="77777777" w:rsidR="00795BE0" w:rsidRPr="0007572B" w:rsidRDefault="00795BE0" w:rsidP="006F1659">
      <w:pPr>
        <w:spacing w:line="360" w:lineRule="auto"/>
        <w:jc w:val="center"/>
        <w:rPr>
          <w:rFonts w:ascii="Arial" w:hAnsi="Arial" w:cs="Arial"/>
          <w:b/>
          <w:sz w:val="40"/>
          <w:szCs w:val="40"/>
        </w:rPr>
      </w:pPr>
    </w:p>
    <w:p w14:paraId="5F57CF47" w14:textId="77777777" w:rsidR="00795BE0" w:rsidRPr="0007572B" w:rsidRDefault="00795BE0" w:rsidP="006F1659">
      <w:pPr>
        <w:pStyle w:val="Heading1"/>
        <w:spacing w:line="360" w:lineRule="auto"/>
        <w:jc w:val="center"/>
      </w:pPr>
      <w:bookmarkStart w:id="250" w:name="_Toc92895230"/>
      <w:bookmarkStart w:id="251" w:name="_Toc109922664"/>
      <w:r>
        <w:t>Notes to the Group Financial Statements</w:t>
      </w:r>
      <w:bookmarkEnd w:id="250"/>
      <w:bookmarkEnd w:id="251"/>
    </w:p>
    <w:p w14:paraId="46B7B594" w14:textId="77777777" w:rsidR="00795BE0" w:rsidRDefault="00795BE0" w:rsidP="006F1659">
      <w:pPr>
        <w:spacing w:line="360" w:lineRule="auto"/>
        <w:jc w:val="center"/>
        <w:rPr>
          <w:rFonts w:ascii="Arial" w:hAnsi="Arial" w:cs="Arial"/>
          <w:b/>
          <w:sz w:val="40"/>
          <w:szCs w:val="40"/>
        </w:rPr>
      </w:pPr>
    </w:p>
    <w:p w14:paraId="10BDBFFE" w14:textId="77777777" w:rsidR="00795BE0" w:rsidRPr="0007572B" w:rsidRDefault="00795BE0" w:rsidP="006F1659">
      <w:pPr>
        <w:spacing w:line="360" w:lineRule="auto"/>
        <w:jc w:val="center"/>
        <w:rPr>
          <w:rFonts w:ascii="Arial" w:hAnsi="Arial" w:cs="Arial"/>
          <w:b/>
          <w:sz w:val="40"/>
          <w:szCs w:val="40"/>
        </w:rPr>
      </w:pPr>
    </w:p>
    <w:p w14:paraId="5A7B22DA" w14:textId="77777777" w:rsidR="00795BE0" w:rsidRPr="0007572B" w:rsidRDefault="00795BE0" w:rsidP="006F1659">
      <w:pPr>
        <w:spacing w:line="360" w:lineRule="auto"/>
        <w:rPr>
          <w:rFonts w:ascii="Arial" w:hAnsi="Arial" w:cs="Arial"/>
          <w:sz w:val="22"/>
        </w:rPr>
      </w:pPr>
    </w:p>
    <w:p w14:paraId="40F4EC26" w14:textId="77777777" w:rsidR="00795BE0" w:rsidRPr="0007572B" w:rsidRDefault="00795BE0" w:rsidP="006F1659">
      <w:pPr>
        <w:spacing w:line="360" w:lineRule="auto"/>
        <w:rPr>
          <w:rFonts w:ascii="Arial" w:hAnsi="Arial" w:cs="Arial"/>
          <w:sz w:val="22"/>
        </w:rPr>
        <w:sectPr w:rsidR="00795BE0" w:rsidRPr="0007572B" w:rsidSect="004833A2">
          <w:pgSz w:w="11906" w:h="16838"/>
          <w:pgMar w:top="946" w:right="1416" w:bottom="1440" w:left="1080" w:header="283" w:footer="567" w:gutter="0"/>
          <w:cols w:space="708"/>
          <w:docGrid w:linePitch="360"/>
        </w:sectPr>
      </w:pPr>
    </w:p>
    <w:p w14:paraId="0F143750" w14:textId="77777777" w:rsidR="00795BE0" w:rsidRPr="0007572B" w:rsidRDefault="00795BE0" w:rsidP="006F1659">
      <w:pPr>
        <w:pStyle w:val="Heading3greennumbered"/>
        <w:spacing w:line="360" w:lineRule="auto"/>
      </w:pPr>
      <w:bookmarkStart w:id="252" w:name="_Toc92894927"/>
      <w:bookmarkStart w:id="253" w:name="_Toc92895231"/>
      <w:bookmarkStart w:id="254" w:name="_Toc109922665"/>
      <w:r w:rsidRPr="0007572B">
        <w:lastRenderedPageBreak/>
        <w:t>36 Group Accounting Policies</w:t>
      </w:r>
      <w:bookmarkEnd w:id="252"/>
      <w:bookmarkEnd w:id="253"/>
      <w:bookmarkEnd w:id="254"/>
      <w:r w:rsidRPr="0007572B">
        <w:t xml:space="preserve"> </w:t>
      </w:r>
    </w:p>
    <w:p w14:paraId="159AB2CF" w14:textId="77777777" w:rsidR="00795BE0" w:rsidRDefault="00795BE0" w:rsidP="009A1A83"/>
    <w:p w14:paraId="6ACA7242" w14:textId="77777777" w:rsidR="00795BE0" w:rsidRPr="0007572B" w:rsidRDefault="00795BE0" w:rsidP="006F1659">
      <w:pPr>
        <w:pStyle w:val="Heading4bold"/>
        <w:spacing w:line="360" w:lineRule="auto"/>
      </w:pPr>
      <w:r w:rsidRPr="0007572B">
        <w:t>36.1 Consolidation Method</w:t>
      </w:r>
    </w:p>
    <w:p w14:paraId="738E3D9E" w14:textId="77777777" w:rsidR="00795BE0" w:rsidRDefault="00795BE0" w:rsidP="006F1659">
      <w:pPr>
        <w:spacing w:line="360" w:lineRule="auto"/>
        <w:rPr>
          <w:rFonts w:ascii="Arial" w:hAnsi="Arial" w:cs="Arial"/>
        </w:rPr>
      </w:pPr>
      <w:r w:rsidRPr="0007572B">
        <w:rPr>
          <w:rFonts w:ascii="Arial" w:hAnsi="Arial" w:cs="Arial"/>
        </w:rPr>
        <w:t xml:space="preserve">The Accounts of all subsidiary group entities are consolidated on a line by line basis with corresponding consolidation adjustments to remove inter group transactions and balances. </w:t>
      </w:r>
    </w:p>
    <w:p w14:paraId="32DEC91D" w14:textId="77777777" w:rsidR="00795BE0" w:rsidRPr="0007572B" w:rsidRDefault="00795BE0" w:rsidP="006F1659">
      <w:pPr>
        <w:spacing w:line="360" w:lineRule="auto"/>
        <w:rPr>
          <w:rFonts w:ascii="Arial" w:hAnsi="Arial" w:cs="Arial"/>
        </w:rPr>
      </w:pPr>
    </w:p>
    <w:p w14:paraId="27D63AF9" w14:textId="77777777" w:rsidR="00795BE0" w:rsidRPr="00353B6F" w:rsidRDefault="00795BE0" w:rsidP="006F1659">
      <w:pPr>
        <w:pStyle w:val="8TfGMStandardDocumentText"/>
        <w:spacing w:line="360" w:lineRule="auto"/>
        <w:jc w:val="left"/>
        <w:rPr>
          <w:rFonts w:ascii="Arial" w:eastAsiaTheme="minorHAnsi" w:hAnsi="Arial"/>
          <w:sz w:val="24"/>
          <w:szCs w:val="22"/>
        </w:rPr>
      </w:pPr>
      <w:r w:rsidRPr="00353B6F">
        <w:rPr>
          <w:rFonts w:ascii="Arial" w:hAnsi="Arial"/>
          <w:sz w:val="24"/>
          <w:szCs w:val="22"/>
        </w:rPr>
        <w:t xml:space="preserve">The </w:t>
      </w:r>
      <w:r w:rsidRPr="00353B6F">
        <w:rPr>
          <w:rFonts w:ascii="Arial" w:eastAsiaTheme="minorHAnsi" w:hAnsi="Arial"/>
          <w:sz w:val="24"/>
          <w:szCs w:val="22"/>
        </w:rPr>
        <w:t>accounting policies of the group entities are consistent with the Authority. The following accounting policies are in addition to the single entity policies detailed in note 1 of these statements.</w:t>
      </w:r>
    </w:p>
    <w:p w14:paraId="60A12956" w14:textId="77777777" w:rsidR="00795BE0" w:rsidRPr="00CB14E2" w:rsidRDefault="00795BE0" w:rsidP="006F1659">
      <w:pPr>
        <w:pStyle w:val="Heading4bold"/>
        <w:spacing w:line="360" w:lineRule="auto"/>
        <w:rPr>
          <w:rFonts w:eastAsiaTheme="minorHAnsi"/>
        </w:rPr>
      </w:pPr>
      <w:r w:rsidRPr="00CB14E2">
        <w:rPr>
          <w:rFonts w:eastAsiaTheme="minorHAnsi"/>
        </w:rPr>
        <w:t>36.2 Investment properties</w:t>
      </w:r>
    </w:p>
    <w:p w14:paraId="21BBC201" w14:textId="379DBFD2" w:rsidR="00795BE0" w:rsidRPr="00CB14E2" w:rsidRDefault="00795BE0" w:rsidP="006F1659">
      <w:pPr>
        <w:pStyle w:val="8TfGMStandardDocumentText"/>
        <w:spacing w:line="360" w:lineRule="auto"/>
        <w:jc w:val="left"/>
        <w:rPr>
          <w:rFonts w:ascii="Arial" w:eastAsia="Times New Roman" w:hAnsi="Arial"/>
          <w:sz w:val="24"/>
          <w:lang w:eastAsia="en-US"/>
        </w:rPr>
      </w:pPr>
      <w:r w:rsidRPr="00CB14E2">
        <w:rPr>
          <w:rFonts w:ascii="Arial" w:eastAsia="Times New Roman" w:hAnsi="Arial"/>
          <w:sz w:val="24"/>
          <w:lang w:eastAsia="en-US"/>
        </w:rPr>
        <w:t>Investment properties are initially recognised at cost, including direct transaction costs. They are subsequently revalued annually in accordance with the fair value model, reflecting market conditions at the balance sheet date. Where a fair value cannot be obtained the cost model will be used in IAS 16. Any surplus or deficit arising from any change in fair value is recognised in the Comprehensive Income and Expenditure Statement in the period in which it arises.</w:t>
      </w:r>
    </w:p>
    <w:p w14:paraId="3B0E5A35" w14:textId="0DD140F7" w:rsidR="00795BE0" w:rsidRDefault="00795BE0" w:rsidP="006F1659">
      <w:pPr>
        <w:pStyle w:val="8TfGMStandardDocumentText"/>
        <w:spacing w:line="360" w:lineRule="auto"/>
        <w:jc w:val="left"/>
        <w:rPr>
          <w:rFonts w:ascii="Arial" w:eastAsia="Times New Roman" w:hAnsi="Arial"/>
          <w:sz w:val="24"/>
          <w:lang w:eastAsia="en-US"/>
        </w:rPr>
      </w:pPr>
      <w:r w:rsidRPr="00CB14E2">
        <w:rPr>
          <w:rFonts w:ascii="Arial" w:eastAsia="Times New Roman" w:hAnsi="Arial"/>
          <w:sz w:val="24"/>
          <w:lang w:eastAsia="en-US"/>
        </w:rPr>
        <w:t>Investment properties are not depreciated. They are de-recognised when disposed of, or when no future economic use is expected. The difference between net proceeds and carrying value is recognised in the Comprehensive Income and Expenditure Statement in the period of de-recognition.</w:t>
      </w:r>
    </w:p>
    <w:p w14:paraId="6854B50E" w14:textId="502D8651" w:rsidR="00595F05" w:rsidRPr="00CB14E2" w:rsidRDefault="00595F05" w:rsidP="006F1659">
      <w:pPr>
        <w:pStyle w:val="Heading4bold"/>
        <w:spacing w:line="360" w:lineRule="auto"/>
        <w:rPr>
          <w:rFonts w:eastAsiaTheme="minorHAnsi"/>
        </w:rPr>
      </w:pPr>
      <w:r w:rsidRPr="00CB14E2">
        <w:rPr>
          <w:rFonts w:eastAsiaTheme="minorHAnsi"/>
        </w:rPr>
        <w:t>36.</w:t>
      </w:r>
      <w:r>
        <w:rPr>
          <w:rFonts w:eastAsiaTheme="minorHAnsi"/>
        </w:rPr>
        <w:t>3</w:t>
      </w:r>
      <w:r w:rsidRPr="00CB14E2">
        <w:rPr>
          <w:rFonts w:eastAsiaTheme="minorHAnsi"/>
        </w:rPr>
        <w:t xml:space="preserve"> </w:t>
      </w:r>
      <w:r>
        <w:rPr>
          <w:rFonts w:eastAsiaTheme="minorHAnsi"/>
        </w:rPr>
        <w:t>Infrastructure Assets</w:t>
      </w:r>
    </w:p>
    <w:p w14:paraId="63261153" w14:textId="77777777" w:rsidR="00595F05" w:rsidRPr="00431F6F" w:rsidRDefault="00595F05" w:rsidP="006F1659">
      <w:pPr>
        <w:spacing w:line="360" w:lineRule="auto"/>
        <w:rPr>
          <w:rFonts w:ascii="Arial" w:hAnsi="Arial" w:cs="Arial"/>
        </w:rPr>
      </w:pPr>
      <w:r w:rsidRPr="00431F6F">
        <w:rPr>
          <w:rFonts w:ascii="Arial" w:eastAsiaTheme="minorHAnsi" w:hAnsi="Arial" w:cs="Arial"/>
        </w:rPr>
        <w:t>TfGM’s infrastructure assets are stated at cost less accumulated depreciation. TfGM’s policy is to write off the carrying value of all assets, other than freehold land, on a straight-line basis over their estimated remaining useful lives.</w:t>
      </w:r>
    </w:p>
    <w:p w14:paraId="46738334" w14:textId="77777777" w:rsidR="00595F05" w:rsidRPr="00431F6F" w:rsidRDefault="00595F05" w:rsidP="006F1659">
      <w:pPr>
        <w:pStyle w:val="8TfGMStandardDocumentText"/>
        <w:spacing w:line="360" w:lineRule="auto"/>
        <w:jc w:val="left"/>
        <w:rPr>
          <w:rFonts w:ascii="Arial" w:eastAsiaTheme="minorHAnsi" w:hAnsi="Arial"/>
          <w:sz w:val="24"/>
          <w:lang w:eastAsia="en-US"/>
        </w:rPr>
      </w:pPr>
      <w:r w:rsidRPr="00431F6F">
        <w:rPr>
          <w:rFonts w:ascii="Arial" w:eastAsiaTheme="minorHAnsi" w:hAnsi="Arial"/>
          <w:sz w:val="24"/>
          <w:lang w:eastAsia="en-US"/>
        </w:rPr>
        <w:t>The range of estimated useful lives for infrastructure assets is 3 to 50 years and includes a number of categories of assets relating to the Metrolink network, Interchanges and Bus Stations, the Leigh to Ellenbrook Guided busway and cycle hubs.</w:t>
      </w:r>
    </w:p>
    <w:p w14:paraId="587D4ADD" w14:textId="77777777" w:rsidR="00595F05" w:rsidRPr="00431F6F" w:rsidRDefault="00595F05" w:rsidP="006F1659">
      <w:pPr>
        <w:pStyle w:val="8TfGMStandardDocumentText"/>
        <w:spacing w:line="360" w:lineRule="auto"/>
        <w:rPr>
          <w:rFonts w:ascii="Arial" w:eastAsiaTheme="minorHAnsi" w:hAnsi="Arial"/>
          <w:sz w:val="24"/>
          <w:lang w:eastAsia="en-US"/>
        </w:rPr>
      </w:pPr>
      <w:r w:rsidRPr="00431F6F">
        <w:rPr>
          <w:rFonts w:ascii="Arial" w:eastAsiaTheme="minorHAnsi" w:hAnsi="Arial"/>
          <w:sz w:val="24"/>
          <w:lang w:eastAsia="en-US"/>
        </w:rPr>
        <w:t>Further details of the asset lives within this category are:</w:t>
      </w:r>
    </w:p>
    <w:p w14:paraId="59ADEC7B" w14:textId="74690852" w:rsidR="00595F05" w:rsidRPr="00431F6F" w:rsidRDefault="00595F05" w:rsidP="006F1659">
      <w:pPr>
        <w:pStyle w:val="BodyText"/>
        <w:tabs>
          <w:tab w:val="left" w:pos="851"/>
          <w:tab w:val="left" w:pos="4680"/>
        </w:tabs>
        <w:spacing w:line="360" w:lineRule="auto"/>
        <w:ind w:left="4678" w:hanging="4678"/>
        <w:jc w:val="both"/>
        <w:rPr>
          <w:rFonts w:eastAsiaTheme="minorHAnsi"/>
          <w:sz w:val="24"/>
        </w:rPr>
      </w:pPr>
      <w:r w:rsidRPr="00431F6F">
        <w:rPr>
          <w:rFonts w:eastAsiaTheme="minorHAnsi"/>
          <w:sz w:val="24"/>
        </w:rPr>
        <w:t>Civil structures</w:t>
      </w:r>
      <w:r w:rsidRPr="00431F6F">
        <w:rPr>
          <w:rFonts w:eastAsiaTheme="minorHAnsi"/>
          <w:sz w:val="24"/>
        </w:rPr>
        <w:tab/>
      </w:r>
      <w:r w:rsidR="00BF1014">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25 to 50 years</w:t>
      </w:r>
    </w:p>
    <w:p w14:paraId="00560F9E" w14:textId="4997F524" w:rsidR="00595F05" w:rsidRPr="00431F6F" w:rsidRDefault="00595F05" w:rsidP="006F1659">
      <w:pPr>
        <w:pStyle w:val="BodyText"/>
        <w:tabs>
          <w:tab w:val="left" w:pos="851"/>
          <w:tab w:val="left" w:pos="4680"/>
        </w:tabs>
        <w:spacing w:line="360" w:lineRule="auto"/>
        <w:ind w:left="4678" w:hanging="4678"/>
        <w:jc w:val="both"/>
        <w:rPr>
          <w:rFonts w:eastAsiaTheme="minorHAnsi"/>
          <w:sz w:val="24"/>
        </w:rPr>
      </w:pPr>
      <w:r w:rsidRPr="00431F6F">
        <w:rPr>
          <w:rFonts w:eastAsiaTheme="minorHAnsi"/>
          <w:sz w:val="24"/>
        </w:rPr>
        <w:lastRenderedPageBreak/>
        <w:t xml:space="preserve">Stations and stop infrastructure </w:t>
      </w:r>
      <w:r w:rsidRPr="00431F6F">
        <w:rPr>
          <w:rFonts w:eastAsiaTheme="minorHAnsi"/>
          <w:sz w:val="24"/>
        </w:rPr>
        <w:tab/>
      </w:r>
      <w:r w:rsidR="00BF1014">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10 to 50 years</w:t>
      </w:r>
    </w:p>
    <w:p w14:paraId="00A1C737" w14:textId="1A718700" w:rsidR="00595F05" w:rsidRPr="00431F6F" w:rsidRDefault="00595F05" w:rsidP="006F1659">
      <w:pPr>
        <w:pStyle w:val="BodyText"/>
        <w:tabs>
          <w:tab w:val="left" w:pos="851"/>
          <w:tab w:val="left" w:pos="4680"/>
        </w:tabs>
        <w:spacing w:line="360" w:lineRule="auto"/>
        <w:ind w:left="4678" w:hanging="4678"/>
        <w:jc w:val="both"/>
        <w:rPr>
          <w:rFonts w:eastAsiaTheme="minorHAnsi"/>
          <w:sz w:val="24"/>
        </w:rPr>
      </w:pPr>
      <w:r w:rsidRPr="00431F6F">
        <w:rPr>
          <w:rFonts w:eastAsiaTheme="minorHAnsi"/>
          <w:sz w:val="24"/>
        </w:rPr>
        <w:t>Track and track bed</w:t>
      </w:r>
      <w:r w:rsidRPr="00431F6F">
        <w:rPr>
          <w:rFonts w:eastAsiaTheme="minorHAnsi"/>
          <w:sz w:val="24"/>
        </w:rPr>
        <w:tab/>
      </w:r>
      <w:r w:rsidR="00BF1014">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20 to 30 years</w:t>
      </w:r>
    </w:p>
    <w:p w14:paraId="59643FE7" w14:textId="77777777" w:rsidR="00595F05" w:rsidRPr="00431F6F" w:rsidRDefault="00595F05" w:rsidP="006F1659">
      <w:pPr>
        <w:pStyle w:val="BodyText"/>
        <w:tabs>
          <w:tab w:val="left" w:pos="851"/>
          <w:tab w:val="left" w:pos="4678"/>
        </w:tabs>
        <w:spacing w:line="360" w:lineRule="auto"/>
        <w:ind w:left="4678" w:hanging="4678"/>
        <w:jc w:val="both"/>
        <w:rPr>
          <w:rFonts w:eastAsiaTheme="minorHAnsi"/>
          <w:sz w:val="24"/>
        </w:rPr>
      </w:pPr>
      <w:r w:rsidRPr="00431F6F">
        <w:rPr>
          <w:rFonts w:eastAsiaTheme="minorHAnsi"/>
          <w:sz w:val="24"/>
        </w:rPr>
        <w:t>Ticket machines, information points and validators</w:t>
      </w:r>
      <w:r w:rsidRPr="00431F6F">
        <w:rPr>
          <w:rFonts w:eastAsiaTheme="minorHAnsi"/>
          <w:sz w:val="24"/>
        </w:rPr>
        <w:tab/>
        <w:t>5 to 20 years</w:t>
      </w:r>
    </w:p>
    <w:p w14:paraId="75F46E99" w14:textId="329684DF" w:rsidR="00595F05" w:rsidRPr="00431F6F" w:rsidRDefault="00595F05" w:rsidP="006F1659">
      <w:pPr>
        <w:pStyle w:val="BodyText"/>
        <w:tabs>
          <w:tab w:val="left" w:pos="851"/>
          <w:tab w:val="left" w:pos="4678"/>
        </w:tabs>
        <w:spacing w:line="360" w:lineRule="auto"/>
        <w:ind w:left="4678" w:hanging="4678"/>
        <w:jc w:val="both"/>
        <w:rPr>
          <w:rFonts w:eastAsiaTheme="minorHAnsi"/>
          <w:sz w:val="24"/>
        </w:rPr>
      </w:pPr>
      <w:r w:rsidRPr="00431F6F">
        <w:rPr>
          <w:rFonts w:eastAsiaTheme="minorHAnsi"/>
          <w:sz w:val="24"/>
        </w:rPr>
        <w:t>Overhead power lines</w:t>
      </w:r>
      <w:r w:rsidRPr="00431F6F">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20 to 30 years</w:t>
      </w:r>
    </w:p>
    <w:p w14:paraId="3D43D566" w14:textId="28718603" w:rsidR="00595F05" w:rsidRPr="00431F6F" w:rsidRDefault="00595F05" w:rsidP="006F1659">
      <w:pPr>
        <w:pStyle w:val="BodyText"/>
        <w:tabs>
          <w:tab w:val="left" w:pos="851"/>
          <w:tab w:val="left" w:pos="4678"/>
        </w:tabs>
        <w:spacing w:line="360" w:lineRule="auto"/>
        <w:ind w:left="4678" w:hanging="4678"/>
        <w:jc w:val="both"/>
        <w:rPr>
          <w:rFonts w:eastAsiaTheme="minorHAnsi"/>
          <w:sz w:val="24"/>
        </w:rPr>
      </w:pPr>
      <w:r w:rsidRPr="00431F6F">
        <w:rPr>
          <w:rFonts w:eastAsiaTheme="minorHAnsi"/>
          <w:sz w:val="24"/>
        </w:rPr>
        <w:t>Signalling/telecoms</w:t>
      </w:r>
      <w:r w:rsidRPr="00431F6F">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15 to 20 years</w:t>
      </w:r>
    </w:p>
    <w:p w14:paraId="6E5E8098" w14:textId="2696BE75" w:rsidR="00595F05" w:rsidRPr="00431F6F" w:rsidRDefault="00595F05" w:rsidP="006F1659">
      <w:pPr>
        <w:pStyle w:val="BodyText"/>
        <w:tabs>
          <w:tab w:val="left" w:pos="851"/>
          <w:tab w:val="left" w:pos="4680"/>
        </w:tabs>
        <w:spacing w:line="360" w:lineRule="auto"/>
        <w:ind w:left="4678" w:hanging="4678"/>
        <w:jc w:val="both"/>
        <w:rPr>
          <w:rFonts w:eastAsiaTheme="minorHAnsi"/>
          <w:sz w:val="24"/>
        </w:rPr>
      </w:pPr>
      <w:r w:rsidRPr="00431F6F">
        <w:rPr>
          <w:rFonts w:eastAsiaTheme="minorHAnsi"/>
          <w:sz w:val="24"/>
        </w:rPr>
        <w:t>Metrolink trams</w:t>
      </w:r>
      <w:r w:rsidRPr="00431F6F">
        <w:rPr>
          <w:rFonts w:eastAsiaTheme="minorHAnsi"/>
          <w:sz w:val="24"/>
        </w:rPr>
        <w:tab/>
      </w:r>
      <w:r w:rsidR="00BF1014">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30 years</w:t>
      </w:r>
    </w:p>
    <w:p w14:paraId="3A783F8E" w14:textId="6A05D866" w:rsidR="00595F05" w:rsidRPr="00431F6F" w:rsidRDefault="00595F05" w:rsidP="006F1659">
      <w:pPr>
        <w:pStyle w:val="BodyText"/>
        <w:tabs>
          <w:tab w:val="left" w:pos="851"/>
          <w:tab w:val="left" w:pos="4680"/>
        </w:tabs>
        <w:spacing w:line="360" w:lineRule="auto"/>
        <w:ind w:left="4678" w:hanging="4678"/>
        <w:jc w:val="both"/>
        <w:rPr>
          <w:rFonts w:eastAsiaTheme="minorHAnsi"/>
          <w:sz w:val="24"/>
        </w:rPr>
      </w:pPr>
      <w:r w:rsidRPr="00431F6F">
        <w:rPr>
          <w:rFonts w:eastAsiaTheme="minorHAnsi"/>
          <w:sz w:val="24"/>
        </w:rPr>
        <w:t>Metrolink Plant and Equipment</w:t>
      </w:r>
      <w:r w:rsidRPr="00431F6F">
        <w:rPr>
          <w:rFonts w:eastAsiaTheme="minorHAnsi"/>
          <w:sz w:val="24"/>
        </w:rPr>
        <w:tab/>
      </w:r>
      <w:r w:rsidR="00BF1014">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3 to 35 years</w:t>
      </w:r>
    </w:p>
    <w:p w14:paraId="322AF9A3" w14:textId="7EF2F6FF" w:rsidR="00595F05" w:rsidRPr="00431F6F" w:rsidRDefault="00595F05" w:rsidP="006F1659">
      <w:pPr>
        <w:pStyle w:val="BodyText"/>
        <w:tabs>
          <w:tab w:val="left" w:pos="851"/>
          <w:tab w:val="left" w:pos="4680"/>
        </w:tabs>
        <w:spacing w:line="360" w:lineRule="auto"/>
        <w:ind w:left="4678" w:hanging="4678"/>
        <w:jc w:val="both"/>
        <w:rPr>
          <w:rFonts w:eastAsiaTheme="minorHAnsi"/>
          <w:sz w:val="24"/>
        </w:rPr>
      </w:pPr>
      <w:r w:rsidRPr="00431F6F">
        <w:rPr>
          <w:rFonts w:eastAsiaTheme="minorHAnsi"/>
          <w:sz w:val="24"/>
        </w:rPr>
        <w:t>Guided Busway and infrastructure</w:t>
      </w:r>
      <w:r w:rsidRPr="00431F6F">
        <w:rPr>
          <w:rFonts w:eastAsiaTheme="minorHAnsi"/>
          <w:sz w:val="24"/>
        </w:rPr>
        <w:tab/>
      </w:r>
      <w:r w:rsidR="00BF1014">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5 to 50 years</w:t>
      </w:r>
    </w:p>
    <w:p w14:paraId="35B7ADE5" w14:textId="663D07A1" w:rsidR="00595F05" w:rsidRPr="00431F6F" w:rsidRDefault="00595F05" w:rsidP="006F1659">
      <w:pPr>
        <w:pStyle w:val="BodyText"/>
        <w:tabs>
          <w:tab w:val="left" w:pos="851"/>
          <w:tab w:val="left" w:pos="4680"/>
        </w:tabs>
        <w:spacing w:line="360" w:lineRule="auto"/>
        <w:ind w:left="4678" w:hanging="4678"/>
        <w:jc w:val="both"/>
        <w:rPr>
          <w:rFonts w:eastAsiaTheme="minorHAnsi"/>
          <w:sz w:val="24"/>
        </w:rPr>
      </w:pPr>
      <w:r w:rsidRPr="00431F6F">
        <w:rPr>
          <w:rFonts w:eastAsiaTheme="minorHAnsi"/>
          <w:sz w:val="24"/>
        </w:rPr>
        <w:t>Park and Ride and infrastructure</w:t>
      </w:r>
      <w:r w:rsidRPr="00431F6F">
        <w:rPr>
          <w:rFonts w:eastAsiaTheme="minorHAnsi"/>
          <w:sz w:val="24"/>
        </w:rPr>
        <w:tab/>
      </w:r>
      <w:r w:rsidR="00BF1014">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5 to 40 years</w:t>
      </w:r>
    </w:p>
    <w:p w14:paraId="6296EF33" w14:textId="4ADD218D" w:rsidR="00595F05" w:rsidRPr="00431F6F" w:rsidRDefault="00595F05" w:rsidP="006F1659">
      <w:pPr>
        <w:pStyle w:val="BodyText"/>
        <w:tabs>
          <w:tab w:val="left" w:pos="851"/>
          <w:tab w:val="left" w:pos="4680"/>
        </w:tabs>
        <w:spacing w:line="360" w:lineRule="auto"/>
        <w:ind w:left="4678" w:hanging="4678"/>
        <w:jc w:val="both"/>
        <w:rPr>
          <w:rFonts w:eastAsiaTheme="minorHAnsi"/>
          <w:sz w:val="24"/>
        </w:rPr>
      </w:pPr>
      <w:r w:rsidRPr="00431F6F">
        <w:rPr>
          <w:rFonts w:eastAsiaTheme="minorHAnsi"/>
          <w:sz w:val="24"/>
        </w:rPr>
        <w:t>Bus Station and internal fittings</w:t>
      </w:r>
      <w:r w:rsidRPr="00431F6F">
        <w:rPr>
          <w:rFonts w:eastAsiaTheme="minorHAnsi"/>
          <w:sz w:val="24"/>
        </w:rPr>
        <w:tab/>
      </w:r>
      <w:r w:rsidR="00BF1014">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5 to 40 years</w:t>
      </w:r>
    </w:p>
    <w:p w14:paraId="53635C88" w14:textId="6D2A1D45" w:rsidR="00595F05" w:rsidRPr="00431F6F" w:rsidRDefault="00595F05" w:rsidP="006F1659">
      <w:pPr>
        <w:pStyle w:val="BodyText"/>
        <w:tabs>
          <w:tab w:val="left" w:pos="851"/>
          <w:tab w:val="left" w:pos="4680"/>
        </w:tabs>
        <w:spacing w:line="360" w:lineRule="auto"/>
        <w:ind w:left="4678" w:hanging="4678"/>
        <w:jc w:val="both"/>
        <w:rPr>
          <w:rFonts w:eastAsiaTheme="minorHAnsi"/>
          <w:sz w:val="24"/>
        </w:rPr>
      </w:pPr>
      <w:r w:rsidRPr="00431F6F">
        <w:rPr>
          <w:rFonts w:eastAsiaTheme="minorHAnsi"/>
          <w:sz w:val="24"/>
        </w:rPr>
        <w:t>Electric vehicle charging points</w:t>
      </w:r>
      <w:r w:rsidRPr="00431F6F">
        <w:rPr>
          <w:rFonts w:eastAsiaTheme="minorHAnsi"/>
          <w:sz w:val="24"/>
        </w:rPr>
        <w:tab/>
      </w:r>
      <w:r w:rsidR="00BF1014">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10 years</w:t>
      </w:r>
    </w:p>
    <w:p w14:paraId="25E1A18D" w14:textId="00AFE547" w:rsidR="00595F05" w:rsidRPr="00431F6F" w:rsidRDefault="00595F05" w:rsidP="006F1659">
      <w:pPr>
        <w:pStyle w:val="BodyText"/>
        <w:tabs>
          <w:tab w:val="left" w:pos="851"/>
          <w:tab w:val="left" w:pos="4680"/>
        </w:tabs>
        <w:spacing w:line="360" w:lineRule="auto"/>
        <w:ind w:left="4678" w:hanging="4678"/>
        <w:jc w:val="both"/>
        <w:rPr>
          <w:rFonts w:eastAsiaTheme="minorHAnsi"/>
          <w:sz w:val="24"/>
        </w:rPr>
      </w:pPr>
      <w:r w:rsidRPr="00431F6F">
        <w:rPr>
          <w:rFonts w:eastAsiaTheme="minorHAnsi"/>
          <w:sz w:val="24"/>
        </w:rPr>
        <w:t>Bike hire assets and cycle hubs</w:t>
      </w:r>
      <w:r w:rsidRPr="00431F6F">
        <w:rPr>
          <w:rFonts w:eastAsiaTheme="minorHAnsi"/>
          <w:sz w:val="24"/>
        </w:rPr>
        <w:tab/>
      </w:r>
      <w:r w:rsidR="00BF1014">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10 years</w:t>
      </w:r>
    </w:p>
    <w:p w14:paraId="30A785C9" w14:textId="39D4A94A" w:rsidR="00795BE0" w:rsidRPr="0007572B" w:rsidRDefault="00795BE0" w:rsidP="006F1659">
      <w:pPr>
        <w:pStyle w:val="Heading4bold"/>
        <w:spacing w:line="360" w:lineRule="auto"/>
        <w:rPr>
          <w:rFonts w:eastAsiaTheme="minorHAnsi"/>
        </w:rPr>
      </w:pPr>
      <w:r w:rsidRPr="0007572B">
        <w:rPr>
          <w:rFonts w:eastAsiaTheme="minorHAnsi"/>
        </w:rPr>
        <w:t>36.</w:t>
      </w:r>
      <w:r w:rsidR="00595F05">
        <w:rPr>
          <w:rFonts w:eastAsiaTheme="minorHAnsi"/>
        </w:rPr>
        <w:t>4</w:t>
      </w:r>
      <w:r w:rsidRPr="0007572B">
        <w:rPr>
          <w:rFonts w:eastAsiaTheme="minorHAnsi"/>
        </w:rPr>
        <w:t xml:space="preserve"> Inventories</w:t>
      </w:r>
    </w:p>
    <w:p w14:paraId="25C44464" w14:textId="77777777" w:rsidR="00795BE0" w:rsidRDefault="00795BE0" w:rsidP="006F1659">
      <w:pPr>
        <w:spacing w:after="160" w:line="360" w:lineRule="auto"/>
        <w:rPr>
          <w:rFonts w:ascii="Arial" w:eastAsiaTheme="minorHAnsi" w:hAnsi="Arial" w:cs="Arial"/>
        </w:rPr>
      </w:pPr>
      <w:r w:rsidRPr="0007572B">
        <w:rPr>
          <w:rFonts w:ascii="Arial" w:eastAsiaTheme="minorHAnsi" w:hAnsi="Arial" w:cs="Arial"/>
        </w:rPr>
        <w:t>Inventories are carried at the lower of cost (including costs incurred in bringing the inventory to its present location, such as freight) and net realisable value, determined on a first in first out basis.</w:t>
      </w:r>
    </w:p>
    <w:p w14:paraId="75807808" w14:textId="2E6F5918" w:rsidR="00795BE0" w:rsidRPr="0007572B" w:rsidRDefault="00795BE0" w:rsidP="006F1659">
      <w:pPr>
        <w:pStyle w:val="Heading4bold"/>
        <w:spacing w:line="360" w:lineRule="auto"/>
        <w:rPr>
          <w:rFonts w:eastAsiaTheme="minorHAnsi"/>
        </w:rPr>
      </w:pPr>
      <w:r w:rsidRPr="0007572B">
        <w:rPr>
          <w:rFonts w:eastAsiaTheme="minorHAnsi"/>
        </w:rPr>
        <w:t>36.</w:t>
      </w:r>
      <w:r w:rsidR="00595F05">
        <w:rPr>
          <w:rFonts w:eastAsiaTheme="minorHAnsi"/>
        </w:rPr>
        <w:t>5</w:t>
      </w:r>
      <w:r w:rsidRPr="0007572B">
        <w:rPr>
          <w:rFonts w:eastAsiaTheme="minorHAnsi"/>
        </w:rPr>
        <w:t xml:space="preserve"> Passenger Transport Facilities</w:t>
      </w:r>
    </w:p>
    <w:p w14:paraId="5C89C497" w14:textId="5AD412D2" w:rsidR="00795BE0" w:rsidRPr="00961074" w:rsidRDefault="00795BE0" w:rsidP="006F1659">
      <w:pPr>
        <w:spacing w:after="160" w:line="360" w:lineRule="auto"/>
        <w:rPr>
          <w:rFonts w:ascii="Arial" w:eastAsiaTheme="minorHAnsi" w:hAnsi="Arial" w:cs="Arial"/>
        </w:rPr>
      </w:pPr>
      <w:r w:rsidRPr="0007572B">
        <w:rPr>
          <w:rFonts w:ascii="Arial" w:eastAsiaTheme="minorHAnsi" w:hAnsi="Arial" w:cs="Arial"/>
        </w:rPr>
        <w:t>As part of its statutory duties, the Group is responsible for meeting the costs of upgrading public pass</w:t>
      </w:r>
      <w:r w:rsidRPr="00961074">
        <w:rPr>
          <w:rFonts w:ascii="Arial" w:eastAsiaTheme="minorHAnsi" w:hAnsi="Arial" w:cs="Arial"/>
        </w:rPr>
        <w:t>enger transport facilities in the Greater Manchester area, including railway and highways infrastructure. The expenditure incurred is offset by equivalent grants received from the Authority and other parties, which for the year ended 31 March 202</w:t>
      </w:r>
      <w:r w:rsidR="00961074" w:rsidRPr="00961074">
        <w:rPr>
          <w:rFonts w:ascii="Arial" w:eastAsiaTheme="minorHAnsi" w:hAnsi="Arial" w:cs="Arial"/>
        </w:rPr>
        <w:t>4</w:t>
      </w:r>
      <w:r w:rsidRPr="00961074">
        <w:rPr>
          <w:rFonts w:ascii="Arial" w:eastAsiaTheme="minorHAnsi" w:hAnsi="Arial" w:cs="Arial"/>
        </w:rPr>
        <w:t xml:space="preserve"> amounted to £</w:t>
      </w:r>
      <w:r w:rsidR="00961074" w:rsidRPr="00961074">
        <w:rPr>
          <w:rFonts w:ascii="Arial" w:eastAsiaTheme="minorHAnsi" w:hAnsi="Arial" w:cs="Arial"/>
        </w:rPr>
        <w:t>31.6</w:t>
      </w:r>
      <w:r w:rsidRPr="00961074">
        <w:rPr>
          <w:rFonts w:ascii="Arial" w:eastAsiaTheme="minorHAnsi" w:hAnsi="Arial" w:cs="Arial"/>
        </w:rPr>
        <w:t>m (202</w:t>
      </w:r>
      <w:r w:rsidR="00961074" w:rsidRPr="00961074">
        <w:rPr>
          <w:rFonts w:ascii="Arial" w:eastAsiaTheme="minorHAnsi" w:hAnsi="Arial" w:cs="Arial"/>
        </w:rPr>
        <w:t>2</w:t>
      </w:r>
      <w:r w:rsidRPr="00961074">
        <w:rPr>
          <w:rFonts w:ascii="Arial" w:eastAsiaTheme="minorHAnsi" w:hAnsi="Arial" w:cs="Arial"/>
        </w:rPr>
        <w:t>/2</w:t>
      </w:r>
      <w:r w:rsidR="00961074" w:rsidRPr="00961074">
        <w:rPr>
          <w:rFonts w:ascii="Arial" w:eastAsiaTheme="minorHAnsi" w:hAnsi="Arial" w:cs="Arial"/>
        </w:rPr>
        <w:t>3</w:t>
      </w:r>
      <w:r w:rsidRPr="00961074">
        <w:rPr>
          <w:rFonts w:ascii="Arial" w:eastAsiaTheme="minorHAnsi" w:hAnsi="Arial" w:cs="Arial"/>
        </w:rPr>
        <w:t>: £</w:t>
      </w:r>
      <w:r w:rsidR="00961074" w:rsidRPr="00961074">
        <w:rPr>
          <w:rFonts w:ascii="Arial" w:eastAsiaTheme="minorHAnsi" w:hAnsi="Arial" w:cs="Arial"/>
        </w:rPr>
        <w:t>1</w:t>
      </w:r>
      <w:r w:rsidRPr="00961074">
        <w:rPr>
          <w:rFonts w:ascii="Arial" w:eastAsiaTheme="minorHAnsi" w:hAnsi="Arial" w:cs="Arial"/>
        </w:rPr>
        <w:t>1</w:t>
      </w:r>
      <w:r w:rsidR="00961074" w:rsidRPr="00961074">
        <w:rPr>
          <w:rFonts w:ascii="Arial" w:eastAsiaTheme="minorHAnsi" w:hAnsi="Arial" w:cs="Arial"/>
        </w:rPr>
        <w:t>.9</w:t>
      </w:r>
      <w:r w:rsidRPr="00961074">
        <w:rPr>
          <w:rFonts w:ascii="Arial" w:eastAsiaTheme="minorHAnsi" w:hAnsi="Arial" w:cs="Arial"/>
        </w:rPr>
        <w:t>m).</w:t>
      </w:r>
    </w:p>
    <w:p w14:paraId="2C47AE19" w14:textId="77777777" w:rsidR="00795BE0" w:rsidRPr="0007572B" w:rsidRDefault="00795BE0" w:rsidP="006F1659">
      <w:pPr>
        <w:spacing w:after="160" w:line="360" w:lineRule="auto"/>
        <w:rPr>
          <w:rFonts w:ascii="Arial" w:eastAsiaTheme="minorHAnsi" w:hAnsi="Arial" w:cs="Arial"/>
        </w:rPr>
      </w:pPr>
      <w:r w:rsidRPr="00961074">
        <w:rPr>
          <w:rFonts w:ascii="Arial" w:eastAsiaTheme="minorHAnsi" w:hAnsi="Arial" w:cs="Arial"/>
        </w:rPr>
        <w:t>Once completed, ownership</w:t>
      </w:r>
      <w:r w:rsidRPr="0007572B">
        <w:rPr>
          <w:rFonts w:ascii="Arial" w:eastAsiaTheme="minorHAnsi" w:hAnsi="Arial" w:cs="Arial"/>
        </w:rPr>
        <w:t xml:space="preserve"> of these assets vests in Network Rail, rail operating companies, Highways England, the Authority or the local authority as appropriate.</w:t>
      </w:r>
    </w:p>
    <w:p w14:paraId="54EEB55F" w14:textId="77777777" w:rsidR="00795BE0" w:rsidRPr="0007572B" w:rsidRDefault="00795BE0" w:rsidP="006F1659">
      <w:pPr>
        <w:spacing w:after="160" w:line="360" w:lineRule="auto"/>
        <w:rPr>
          <w:rFonts w:ascii="Arial" w:eastAsiaTheme="minorHAnsi" w:hAnsi="Arial" w:cs="Arial"/>
          <w:highlight w:val="yellow"/>
        </w:rPr>
      </w:pPr>
      <w:r w:rsidRPr="0007572B">
        <w:rPr>
          <w:rFonts w:ascii="Arial" w:eastAsiaTheme="minorHAnsi" w:hAnsi="Arial" w:cs="Arial"/>
        </w:rPr>
        <w:t>Both the costs and the grant income are recognised within the Comprehensive Income and Expenditure Statement.</w:t>
      </w:r>
    </w:p>
    <w:p w14:paraId="64B0D181" w14:textId="00B9C610" w:rsidR="00795BE0" w:rsidRPr="0007572B" w:rsidRDefault="00795BE0" w:rsidP="006F1659">
      <w:pPr>
        <w:pStyle w:val="Heading4bold"/>
        <w:spacing w:line="360" w:lineRule="auto"/>
        <w:rPr>
          <w:rFonts w:eastAsiaTheme="minorHAnsi"/>
        </w:rPr>
      </w:pPr>
      <w:r w:rsidRPr="0007572B">
        <w:rPr>
          <w:rFonts w:eastAsiaTheme="minorHAnsi"/>
        </w:rPr>
        <w:t>36.</w:t>
      </w:r>
      <w:r w:rsidR="00595F05">
        <w:rPr>
          <w:rFonts w:eastAsiaTheme="minorHAnsi"/>
        </w:rPr>
        <w:t>6</w:t>
      </w:r>
      <w:r w:rsidRPr="0007572B">
        <w:rPr>
          <w:rFonts w:eastAsiaTheme="minorHAnsi"/>
        </w:rPr>
        <w:t xml:space="preserve"> Lease Income</w:t>
      </w:r>
    </w:p>
    <w:p w14:paraId="6E623374" w14:textId="77777777" w:rsidR="00795BE0" w:rsidRPr="0007572B" w:rsidRDefault="00795BE0" w:rsidP="006F1659">
      <w:pPr>
        <w:spacing w:after="160" w:line="360" w:lineRule="auto"/>
        <w:rPr>
          <w:rFonts w:ascii="Arial" w:eastAsiaTheme="minorHAnsi" w:hAnsi="Arial" w:cs="Arial"/>
        </w:rPr>
      </w:pPr>
      <w:r w:rsidRPr="0007572B">
        <w:rPr>
          <w:rFonts w:ascii="Arial" w:eastAsiaTheme="minorHAnsi" w:hAnsi="Arial" w:cs="Arial"/>
        </w:rPr>
        <w:t>Amounts receivable under finance leases are stated net of interest allocated to future periods. Interest is allocated to accounting periods to produce a constant periodic rate of return on the remaining net investment.</w:t>
      </w:r>
    </w:p>
    <w:p w14:paraId="485CD111" w14:textId="77777777" w:rsidR="00795BE0" w:rsidRPr="0007572B" w:rsidRDefault="00795BE0" w:rsidP="006F1659">
      <w:pPr>
        <w:spacing w:after="160" w:line="360" w:lineRule="auto"/>
        <w:rPr>
          <w:rFonts w:ascii="Arial" w:eastAsiaTheme="minorHAnsi" w:hAnsi="Arial" w:cs="Arial"/>
          <w:highlight w:val="yellow"/>
        </w:rPr>
      </w:pPr>
      <w:r w:rsidRPr="0007572B">
        <w:rPr>
          <w:rFonts w:ascii="Arial" w:eastAsiaTheme="minorHAnsi" w:hAnsi="Arial" w:cs="Arial"/>
        </w:rPr>
        <w:t xml:space="preserve">Rentals receivable under operating leases, and secondary rentals received and retained by the Group under finance leases, are credited to income as they arise. </w:t>
      </w:r>
      <w:r w:rsidRPr="0007572B">
        <w:rPr>
          <w:rFonts w:ascii="Arial" w:eastAsiaTheme="minorHAnsi" w:hAnsi="Arial" w:cs="Arial"/>
        </w:rPr>
        <w:lastRenderedPageBreak/>
        <w:t>Any premia or incentives within the lease are recognised as income on an equal basis over the term of the lease.</w:t>
      </w:r>
    </w:p>
    <w:p w14:paraId="2BCD509E" w14:textId="71F00D34" w:rsidR="00795BE0" w:rsidRPr="0007572B" w:rsidRDefault="00795BE0" w:rsidP="006F1659">
      <w:pPr>
        <w:pStyle w:val="Heading4bold"/>
        <w:spacing w:line="360" w:lineRule="auto"/>
        <w:rPr>
          <w:rFonts w:eastAsiaTheme="minorHAnsi"/>
        </w:rPr>
      </w:pPr>
      <w:r w:rsidRPr="0007572B">
        <w:rPr>
          <w:rFonts w:eastAsiaTheme="minorHAnsi"/>
        </w:rPr>
        <w:t>36.</w:t>
      </w:r>
      <w:r w:rsidR="00595F05">
        <w:rPr>
          <w:rFonts w:eastAsiaTheme="minorHAnsi"/>
        </w:rPr>
        <w:t>7</w:t>
      </w:r>
      <w:r w:rsidRPr="0007572B">
        <w:rPr>
          <w:rFonts w:eastAsiaTheme="minorHAnsi"/>
        </w:rPr>
        <w:t xml:space="preserve"> Lease Expenditure</w:t>
      </w:r>
    </w:p>
    <w:p w14:paraId="7E9A9643" w14:textId="77777777" w:rsidR="00795BE0" w:rsidRPr="0007572B" w:rsidRDefault="00795BE0" w:rsidP="006F1659">
      <w:pPr>
        <w:spacing w:after="160" w:line="360" w:lineRule="auto"/>
        <w:rPr>
          <w:rFonts w:ascii="Arial" w:eastAsiaTheme="minorHAnsi" w:hAnsi="Arial" w:cs="Arial"/>
        </w:rPr>
      </w:pPr>
      <w:r w:rsidRPr="0007572B">
        <w:rPr>
          <w:rFonts w:ascii="Arial" w:eastAsiaTheme="minorHAnsi" w:hAnsi="Arial" w:cs="Arial"/>
        </w:rPr>
        <w:t>Assets held under finance leases where the Group retains substantially all the risks and benefits of ownership are capitalised in the balance sheet at the lower of the fair value of the asset and the net present value of the minimum lease payments; the assets are then depreciated over their useful economic lives.</w:t>
      </w:r>
    </w:p>
    <w:p w14:paraId="0B837284" w14:textId="77777777" w:rsidR="00795BE0" w:rsidRPr="00FB1945" w:rsidRDefault="00795BE0" w:rsidP="006F1659">
      <w:pPr>
        <w:spacing w:after="160" w:line="360" w:lineRule="auto"/>
        <w:rPr>
          <w:rFonts w:ascii="Arial" w:eastAsiaTheme="minorHAnsi" w:hAnsi="Arial" w:cs="Arial"/>
        </w:rPr>
      </w:pPr>
      <w:r w:rsidRPr="00E37468">
        <w:rPr>
          <w:rFonts w:ascii="Arial" w:eastAsiaTheme="minorHAnsi" w:hAnsi="Arial" w:cs="Arial"/>
        </w:rPr>
        <w:t xml:space="preserve">The lease obligations are recognised as a financial liability. The interest element of the rental obligations is charged to the Comprehensive Income and Expenditure Statement over the period of the lease </w:t>
      </w:r>
      <w:r w:rsidRPr="00FB1945">
        <w:rPr>
          <w:rFonts w:ascii="Arial" w:eastAsiaTheme="minorHAnsi" w:hAnsi="Arial" w:cs="Arial"/>
        </w:rPr>
        <w:t>and represents a constant proportion of the balance of capital repayments outstanding.</w:t>
      </w:r>
    </w:p>
    <w:p w14:paraId="4CCCF444" w14:textId="21378957" w:rsidR="00795BE0" w:rsidRPr="0007572B" w:rsidRDefault="00795BE0" w:rsidP="006F1659">
      <w:pPr>
        <w:spacing w:after="160" w:line="360" w:lineRule="auto"/>
        <w:rPr>
          <w:rFonts w:ascii="Arial" w:eastAsiaTheme="minorHAnsi" w:hAnsi="Arial" w:cs="Arial"/>
        </w:rPr>
      </w:pPr>
      <w:r w:rsidRPr="0007572B">
        <w:rPr>
          <w:rFonts w:ascii="Arial" w:eastAsiaTheme="minorHAnsi" w:hAnsi="Arial" w:cs="Arial"/>
        </w:rPr>
        <w:t>Rentals paid under operating leases are charged to expenditure on a straight</w:t>
      </w:r>
      <w:r w:rsidR="00831A0A">
        <w:rPr>
          <w:rFonts w:ascii="Arial" w:eastAsiaTheme="minorHAnsi" w:hAnsi="Arial" w:cs="Arial"/>
        </w:rPr>
        <w:t>-</w:t>
      </w:r>
      <w:r w:rsidRPr="0007572B">
        <w:rPr>
          <w:rFonts w:ascii="Arial" w:eastAsiaTheme="minorHAnsi" w:hAnsi="Arial" w:cs="Arial"/>
        </w:rPr>
        <w:t>line basis over the term of the lease, recognising on an equal basis the impact of any premia or incentives.</w:t>
      </w:r>
    </w:p>
    <w:p w14:paraId="6DC3A506" w14:textId="6A9CA0F3" w:rsidR="00795BE0" w:rsidRPr="0007572B" w:rsidRDefault="00795BE0" w:rsidP="006F1659">
      <w:pPr>
        <w:pStyle w:val="Heading4bold"/>
        <w:spacing w:line="360" w:lineRule="auto"/>
        <w:rPr>
          <w:rFonts w:eastAsiaTheme="minorHAnsi"/>
        </w:rPr>
      </w:pPr>
      <w:r w:rsidRPr="0007572B">
        <w:rPr>
          <w:rFonts w:eastAsiaTheme="minorHAnsi"/>
        </w:rPr>
        <w:t>36.</w:t>
      </w:r>
      <w:r w:rsidR="00595F05">
        <w:rPr>
          <w:rFonts w:eastAsiaTheme="minorHAnsi"/>
        </w:rPr>
        <w:t>8</w:t>
      </w:r>
      <w:r w:rsidRPr="0007572B">
        <w:rPr>
          <w:rFonts w:eastAsiaTheme="minorHAnsi"/>
        </w:rPr>
        <w:t xml:space="preserve"> Agency Services</w:t>
      </w:r>
    </w:p>
    <w:p w14:paraId="059ECC99" w14:textId="77777777" w:rsidR="00795BE0" w:rsidRPr="0007572B" w:rsidRDefault="00795BE0" w:rsidP="006F1659">
      <w:pPr>
        <w:spacing w:after="160" w:line="360" w:lineRule="auto"/>
        <w:rPr>
          <w:rFonts w:ascii="Arial" w:eastAsiaTheme="minorHAnsi" w:hAnsi="Arial" w:cs="Arial"/>
        </w:rPr>
      </w:pPr>
      <w:r w:rsidRPr="0007572B">
        <w:rPr>
          <w:rFonts w:ascii="Arial" w:eastAsiaTheme="minorHAnsi" w:hAnsi="Arial" w:cs="Arial"/>
        </w:rPr>
        <w:t xml:space="preserve">Transactions are excluded from the Group’s financial statements for all agency relationships. As stipulated by the Code, the Group is acting as an agent in situations when the Group does not control the specified goods or services being provided by another party, before they are transferred to the customer. </w:t>
      </w:r>
    </w:p>
    <w:p w14:paraId="381BAEF9" w14:textId="77777777" w:rsidR="00795BE0" w:rsidRPr="0007572B" w:rsidRDefault="00795BE0" w:rsidP="006F1659">
      <w:pPr>
        <w:spacing w:after="160" w:line="360" w:lineRule="auto"/>
        <w:rPr>
          <w:rFonts w:ascii="Arial" w:eastAsiaTheme="minorHAnsi" w:hAnsi="Arial" w:cs="Arial"/>
        </w:rPr>
      </w:pPr>
      <w:r w:rsidRPr="0007572B">
        <w:rPr>
          <w:rFonts w:ascii="Arial" w:eastAsiaTheme="minorHAnsi" w:hAnsi="Arial" w:cs="Arial"/>
        </w:rPr>
        <w:t>All services are reviewed to determine who controls the right to the underlying goods or services and when this is not deemed to be the Group, the transactions have been excluded from the financial statements.</w:t>
      </w:r>
    </w:p>
    <w:p w14:paraId="19145270" w14:textId="15D77C05" w:rsidR="00795BE0" w:rsidRPr="0007572B" w:rsidRDefault="00795BE0" w:rsidP="006F1659">
      <w:pPr>
        <w:pStyle w:val="Heading4bold"/>
        <w:spacing w:line="360" w:lineRule="auto"/>
      </w:pPr>
      <w:r w:rsidRPr="0007572B">
        <w:t>36.</w:t>
      </w:r>
      <w:r w:rsidR="00595F05">
        <w:t>9</w:t>
      </w:r>
      <w:r w:rsidRPr="0007572B">
        <w:t xml:space="preserve"> Benefits Payable during Employment </w:t>
      </w:r>
    </w:p>
    <w:p w14:paraId="3BAB4D35" w14:textId="4DF9FDF3" w:rsidR="00795BE0" w:rsidRPr="0007572B" w:rsidRDefault="00795BE0" w:rsidP="006F1659">
      <w:pPr>
        <w:spacing w:after="160" w:line="360" w:lineRule="auto"/>
        <w:rPr>
          <w:rFonts w:ascii="Arial" w:hAnsi="Arial" w:cs="Arial"/>
        </w:rPr>
      </w:pPr>
      <w:r w:rsidRPr="0007572B">
        <w:rPr>
          <w:rFonts w:ascii="Arial" w:hAnsi="Arial" w:cs="Arial"/>
        </w:rPr>
        <w:t>Short</w:t>
      </w:r>
      <w:r w:rsidR="00F3496D">
        <w:rPr>
          <w:rFonts w:ascii="Arial" w:hAnsi="Arial" w:cs="Arial"/>
        </w:rPr>
        <w:t xml:space="preserve"> </w:t>
      </w:r>
      <w:r w:rsidRPr="0007572B">
        <w:rPr>
          <w:rFonts w:ascii="Arial" w:hAnsi="Arial" w:cs="Arial"/>
        </w:rPr>
        <w:t xml:space="preserve">term employee benefits are those due to be settled wholly within 12 months of the year-end. They include such benefits as wages and salaries, paid annual leave and paid sick leave, bonuses and non-monetary benefits (e.g. cars) for current employees and are recognised as an expense for services in the year in which employees render service to the Group. </w:t>
      </w:r>
      <w:r w:rsidR="00A47E39">
        <w:rPr>
          <w:rFonts w:ascii="Arial" w:hAnsi="Arial" w:cs="Arial"/>
        </w:rPr>
        <w:t>Where material, a</w:t>
      </w:r>
      <w:r w:rsidRPr="0007572B">
        <w:rPr>
          <w:rFonts w:ascii="Arial" w:hAnsi="Arial" w:cs="Arial"/>
        </w:rPr>
        <w:t xml:space="preserve">n accrual is made for the cost of holiday entitlements (or any form of leave, e.g. time off in lieu) earned by employees but not taken before the year-end which employees can carry forward into the next financial year. The accrual is made at the wage and salary rates applicable </w:t>
      </w:r>
      <w:r w:rsidRPr="0007572B">
        <w:rPr>
          <w:rFonts w:ascii="Arial" w:hAnsi="Arial" w:cs="Arial"/>
        </w:rPr>
        <w:lastRenderedPageBreak/>
        <w:t>in the following accounting year, being the period in which the employee takes the benefit. The accrual is charged to Surplus or Deficit on the Provision of Services, but then reversed out through the Movement in Reserves Statement so that holiday entitlements are charged to revenue in the financial year in which the holiday absence occurs.</w:t>
      </w:r>
    </w:p>
    <w:p w14:paraId="35BDBEC6" w14:textId="77777777" w:rsidR="00795BE0" w:rsidRPr="0007572B" w:rsidRDefault="00795BE0" w:rsidP="006F1659">
      <w:pPr>
        <w:spacing w:after="160" w:line="360" w:lineRule="auto"/>
        <w:rPr>
          <w:rFonts w:ascii="Arial" w:eastAsiaTheme="minorHAnsi" w:hAnsi="Arial" w:cs="Arial"/>
        </w:rPr>
      </w:pPr>
      <w:r w:rsidRPr="0007572B">
        <w:rPr>
          <w:rFonts w:ascii="Arial" w:hAnsi="Arial" w:cs="Arial"/>
        </w:rPr>
        <w:t>The group accumulated absences are entirely attributable to Greater Manchester Police. The single entity accounts do not include an adjustment for employee benefits for reasons of materiality. The Greater Manchester Police accrual was material to their accounts and has therefore been included in the group figures.</w:t>
      </w:r>
    </w:p>
    <w:p w14:paraId="4B4C8793" w14:textId="32FC418D" w:rsidR="00795BE0" w:rsidRPr="0007572B" w:rsidRDefault="00795BE0" w:rsidP="006F1659">
      <w:pPr>
        <w:pStyle w:val="Heading4bold"/>
        <w:spacing w:line="360" w:lineRule="auto"/>
      </w:pPr>
      <w:r w:rsidRPr="0007572B">
        <w:t>36.</w:t>
      </w:r>
      <w:r w:rsidR="00595F05">
        <w:t>10</w:t>
      </w:r>
      <w:r w:rsidRPr="0007572B">
        <w:t xml:space="preserve"> Post-Employment Benefits – Pensions</w:t>
      </w:r>
    </w:p>
    <w:p w14:paraId="51F9DD7B" w14:textId="1D2A953A" w:rsidR="00795BE0" w:rsidRDefault="00795BE0" w:rsidP="006F1659">
      <w:pPr>
        <w:spacing w:line="360" w:lineRule="auto"/>
        <w:rPr>
          <w:rFonts w:ascii="Arial" w:hAnsi="Arial" w:cs="Arial"/>
        </w:rPr>
      </w:pPr>
      <w:r w:rsidRPr="0007572B">
        <w:rPr>
          <w:rFonts w:ascii="Arial" w:hAnsi="Arial" w:cs="Arial"/>
        </w:rPr>
        <w:t>Employees of the Group are members of three separate pension schemes</w:t>
      </w:r>
      <w:r>
        <w:rPr>
          <w:rFonts w:ascii="Arial" w:hAnsi="Arial" w:cs="Arial"/>
        </w:rPr>
        <w:t xml:space="preserve">. These are explained in more detail in the single entity accounts. Police Officers are covered by the </w:t>
      </w:r>
      <w:r w:rsidRPr="006B1E72">
        <w:rPr>
          <w:rFonts w:ascii="Arial" w:hAnsi="Arial" w:cs="Arial"/>
        </w:rPr>
        <w:t>Police Pension Scheme administered by XPS Administration on behalf of the Chief Constable</w:t>
      </w:r>
      <w:r>
        <w:rPr>
          <w:rFonts w:ascii="Arial" w:hAnsi="Arial" w:cs="Arial"/>
        </w:rPr>
        <w:t>. This</w:t>
      </w:r>
      <w:r w:rsidRPr="0007572B">
        <w:rPr>
          <w:rFonts w:ascii="Arial" w:hAnsi="Arial" w:cs="Arial"/>
        </w:rPr>
        <w:t xml:space="preserve"> scheme provide</w:t>
      </w:r>
      <w:r>
        <w:rPr>
          <w:rFonts w:ascii="Arial" w:hAnsi="Arial" w:cs="Arial"/>
        </w:rPr>
        <w:t>s</w:t>
      </w:r>
      <w:r w:rsidRPr="0007572B">
        <w:rPr>
          <w:rFonts w:ascii="Arial" w:hAnsi="Arial" w:cs="Arial"/>
        </w:rPr>
        <w:t xml:space="preserve"> defined benefits to members (retirement lump sums and pensions) earned as a police officer.</w:t>
      </w:r>
    </w:p>
    <w:p w14:paraId="05AB81CE" w14:textId="77777777" w:rsidR="00795BE0" w:rsidRPr="0007572B" w:rsidRDefault="00795BE0" w:rsidP="006F1659">
      <w:pPr>
        <w:spacing w:line="360" w:lineRule="auto"/>
        <w:rPr>
          <w:rFonts w:ascii="Arial" w:hAnsi="Arial" w:cs="Arial"/>
        </w:rPr>
      </w:pPr>
    </w:p>
    <w:p w14:paraId="79B291AB" w14:textId="126B90DF" w:rsidR="00795BE0" w:rsidRPr="0007572B" w:rsidRDefault="00795BE0" w:rsidP="006F1659">
      <w:pPr>
        <w:pStyle w:val="Heading4bold"/>
        <w:spacing w:line="360" w:lineRule="auto"/>
      </w:pPr>
      <w:r w:rsidRPr="0007572B">
        <w:t>36.1</w:t>
      </w:r>
      <w:r w:rsidR="00595F05">
        <w:t>1</w:t>
      </w:r>
      <w:r w:rsidRPr="0007572B">
        <w:t xml:space="preserve"> </w:t>
      </w:r>
      <w:r>
        <w:t>T</w:t>
      </w:r>
      <w:r w:rsidRPr="0007572B">
        <w:t>he Police Pension Scheme</w:t>
      </w:r>
    </w:p>
    <w:p w14:paraId="45FF90DE" w14:textId="77777777" w:rsidR="00795BE0" w:rsidRPr="0007572B" w:rsidRDefault="00795BE0" w:rsidP="006F1659">
      <w:pPr>
        <w:spacing w:after="120" w:line="360" w:lineRule="auto"/>
        <w:rPr>
          <w:rFonts w:ascii="Arial" w:hAnsi="Arial" w:cs="Arial"/>
        </w:rPr>
      </w:pPr>
      <w:r>
        <w:rPr>
          <w:rFonts w:ascii="Arial" w:hAnsi="Arial" w:cs="Arial"/>
        </w:rPr>
        <w:t>This scheme is a</w:t>
      </w:r>
      <w:r w:rsidRPr="0007572B">
        <w:rPr>
          <w:rFonts w:ascii="Arial" w:hAnsi="Arial" w:cs="Arial"/>
        </w:rPr>
        <w:t xml:space="preserve"> defined benefit scheme, the rules of which are set out in Police Pension Regulations. The scheme </w:t>
      </w:r>
      <w:r>
        <w:rPr>
          <w:rFonts w:ascii="Arial" w:hAnsi="Arial" w:cs="Arial"/>
        </w:rPr>
        <w:t>is</w:t>
      </w:r>
      <w:r w:rsidRPr="0007572B">
        <w:rPr>
          <w:rFonts w:ascii="Arial" w:hAnsi="Arial" w:cs="Arial"/>
        </w:rPr>
        <w:t xml:space="preserve"> wholly unfunded. No investment assets have been built up to meet liabilities and cash ha</w:t>
      </w:r>
      <w:r>
        <w:rPr>
          <w:rFonts w:ascii="Arial" w:hAnsi="Arial" w:cs="Arial"/>
        </w:rPr>
        <w:t>s</w:t>
      </w:r>
      <w:r w:rsidRPr="0007572B">
        <w:rPr>
          <w:rFonts w:ascii="Arial" w:hAnsi="Arial" w:cs="Arial"/>
        </w:rPr>
        <w:t xml:space="preserve"> to be generated from employee and employer contributions to meet actual pension payments as they fall due.</w:t>
      </w:r>
    </w:p>
    <w:p w14:paraId="7865639F" w14:textId="77777777" w:rsidR="00795BE0" w:rsidRPr="0007572B" w:rsidRDefault="00795BE0" w:rsidP="006F1659">
      <w:pPr>
        <w:spacing w:after="120" w:line="360" w:lineRule="auto"/>
        <w:rPr>
          <w:rFonts w:ascii="Arial" w:hAnsi="Arial" w:cs="Arial"/>
        </w:rPr>
      </w:pPr>
      <w:r w:rsidRPr="0007572B">
        <w:rPr>
          <w:rFonts w:ascii="Arial" w:hAnsi="Arial" w:cs="Arial"/>
        </w:rPr>
        <w:t>The Chief Constable as employer, and police officers as members, pay pension contribution</w:t>
      </w:r>
      <w:r>
        <w:rPr>
          <w:rFonts w:ascii="Arial" w:hAnsi="Arial" w:cs="Arial"/>
        </w:rPr>
        <w:t>s</w:t>
      </w:r>
      <w:r w:rsidRPr="0007572B">
        <w:rPr>
          <w:rFonts w:ascii="Arial" w:hAnsi="Arial" w:cs="Arial"/>
        </w:rPr>
        <w:t xml:space="preserve"> based on a percentage of pensionable pay into the Police Pension Fund Account. Pension benefits are paid out of the Pension Fund Accounts.</w:t>
      </w:r>
    </w:p>
    <w:p w14:paraId="64ABB5D5" w14:textId="01196AFF" w:rsidR="00795BE0" w:rsidRPr="0007572B" w:rsidRDefault="00795BE0" w:rsidP="006F1659">
      <w:pPr>
        <w:spacing w:after="120" w:line="360" w:lineRule="auto"/>
        <w:rPr>
          <w:rFonts w:ascii="Arial" w:hAnsi="Arial" w:cs="Arial"/>
        </w:rPr>
      </w:pPr>
      <w:r w:rsidRPr="0007572B">
        <w:rPr>
          <w:rFonts w:ascii="Arial" w:hAnsi="Arial" w:cs="Arial"/>
        </w:rPr>
        <w:t>The amounts payable into and out of the Pension Fund Account are specified by regulations. Any surplus or deficit on the Pension Fund Accounts must be transferred to or from the Authority and ultimately repaid to or received from the Home Office.</w:t>
      </w:r>
    </w:p>
    <w:p w14:paraId="2A6B9BF3" w14:textId="77777777" w:rsidR="00795BE0" w:rsidRPr="0007572B" w:rsidRDefault="00795BE0" w:rsidP="006F1659">
      <w:pPr>
        <w:spacing w:after="120" w:line="360" w:lineRule="auto"/>
        <w:rPr>
          <w:rFonts w:ascii="Arial" w:hAnsi="Arial" w:cs="Arial"/>
        </w:rPr>
      </w:pPr>
      <w:r w:rsidRPr="0007572B">
        <w:rPr>
          <w:rFonts w:ascii="Arial" w:hAnsi="Arial" w:cs="Arial"/>
        </w:rPr>
        <w:t xml:space="preserve">Injury awards are not part of </w:t>
      </w:r>
      <w:r>
        <w:rPr>
          <w:rFonts w:ascii="Arial" w:hAnsi="Arial" w:cs="Arial"/>
        </w:rPr>
        <w:t xml:space="preserve">the </w:t>
      </w:r>
      <w:r w:rsidRPr="0007572B">
        <w:rPr>
          <w:rFonts w:ascii="Arial" w:hAnsi="Arial" w:cs="Arial"/>
        </w:rPr>
        <w:t>pension scheme and are charged directly to the Comprehensive Income and Expenditure Statement. However, liabilities in respect of injury awards are disclosed as part of the overall pension liability.</w:t>
      </w:r>
    </w:p>
    <w:p w14:paraId="2DE43B23" w14:textId="6F22C05B" w:rsidR="00795BE0" w:rsidRPr="00C10207" w:rsidRDefault="00795BE0" w:rsidP="006F1659">
      <w:pPr>
        <w:spacing w:line="360" w:lineRule="auto"/>
        <w:jc w:val="both"/>
        <w:rPr>
          <w:rFonts w:ascii="Arial" w:hAnsi="Arial" w:cs="Arial"/>
        </w:rPr>
        <w:sectPr w:rsidR="00795BE0" w:rsidRPr="00C10207" w:rsidSect="004833A2">
          <w:pgSz w:w="11906" w:h="16838"/>
          <w:pgMar w:top="946" w:right="1416" w:bottom="1440" w:left="1418" w:header="283" w:footer="567" w:gutter="0"/>
          <w:cols w:space="708"/>
          <w:docGrid w:linePitch="360"/>
        </w:sectPr>
      </w:pPr>
      <w:r w:rsidRPr="0007572B">
        <w:rPr>
          <w:rFonts w:ascii="Arial" w:hAnsi="Arial" w:cs="Arial"/>
        </w:rPr>
        <w:t>Other than references to assets, th</w:t>
      </w:r>
      <w:r>
        <w:rPr>
          <w:rFonts w:ascii="Arial" w:hAnsi="Arial" w:cs="Arial"/>
        </w:rPr>
        <w:t>is</w:t>
      </w:r>
      <w:r w:rsidRPr="0007572B">
        <w:rPr>
          <w:rFonts w:ascii="Arial" w:hAnsi="Arial" w:cs="Arial"/>
        </w:rPr>
        <w:t xml:space="preserve"> scheme </w:t>
      </w:r>
      <w:r>
        <w:rPr>
          <w:rFonts w:ascii="Arial" w:hAnsi="Arial" w:cs="Arial"/>
        </w:rPr>
        <w:t>is</w:t>
      </w:r>
      <w:r w:rsidRPr="0007572B">
        <w:rPr>
          <w:rFonts w:ascii="Arial" w:hAnsi="Arial" w:cs="Arial"/>
        </w:rPr>
        <w:t xml:space="preserve"> accounted for in the same way as the Local Government Pension Scheme</w:t>
      </w:r>
      <w:bookmarkStart w:id="255" w:name="_Hlk61858772"/>
    </w:p>
    <w:p w14:paraId="2A54434C" w14:textId="77777777" w:rsidR="00795BE0" w:rsidRPr="0007572B" w:rsidRDefault="00795BE0" w:rsidP="006F1659">
      <w:pPr>
        <w:pStyle w:val="Heading3greennumbered"/>
        <w:spacing w:line="360" w:lineRule="auto"/>
      </w:pPr>
      <w:bookmarkStart w:id="256" w:name="_Toc92894928"/>
      <w:bookmarkStart w:id="257" w:name="_Toc92895232"/>
      <w:bookmarkStart w:id="258" w:name="_Toc109922666"/>
      <w:bookmarkEnd w:id="255"/>
      <w:r w:rsidRPr="0007572B">
        <w:lastRenderedPageBreak/>
        <w:t>37a Group Expenditure and Funding Analysis</w:t>
      </w:r>
      <w:bookmarkEnd w:id="256"/>
      <w:bookmarkEnd w:id="257"/>
      <w:bookmarkEnd w:id="258"/>
    </w:p>
    <w:p w14:paraId="7DA68B9A" w14:textId="77777777" w:rsidR="00795BE0" w:rsidRPr="0007572B" w:rsidRDefault="00795BE0" w:rsidP="006F1659">
      <w:pPr>
        <w:spacing w:line="360" w:lineRule="auto"/>
        <w:rPr>
          <w:rFonts w:ascii="Arial" w:hAnsi="Arial" w:cs="Arial"/>
        </w:rPr>
      </w:pPr>
    </w:p>
    <w:p w14:paraId="7946A0B5" w14:textId="2A5E6EA2" w:rsidR="00795BE0" w:rsidRDefault="00795BE0" w:rsidP="006F1659">
      <w:pPr>
        <w:spacing w:line="360" w:lineRule="auto"/>
        <w:rPr>
          <w:rFonts w:ascii="Arial" w:hAnsi="Arial" w:cs="Arial"/>
        </w:rPr>
      </w:pPr>
      <w:r w:rsidRPr="0007572B">
        <w:rPr>
          <w:rFonts w:ascii="Arial" w:hAnsi="Arial" w:cs="Arial"/>
        </w:rPr>
        <w:t xml:space="preserve">The Expenditure and Funding Analysis shows how annual expenditure is used and funded from resources by local authorities in comparison to those resources consumed or earned by local authorities in accordance with generally accepted accounting practices. It also shows how the expenditure is allocated between Directorates. Income and expenditure accounted for under generally accepted accounting practice is presented more fully in the Comprehensive Income and Expenditure Statement. </w:t>
      </w:r>
    </w:p>
    <w:p w14:paraId="1DBEDE8B" w14:textId="5DF9C3A3" w:rsidR="00C10207" w:rsidRDefault="00C10207" w:rsidP="006F1659">
      <w:pPr>
        <w:spacing w:line="360" w:lineRule="auto"/>
        <w:rPr>
          <w:noProof/>
        </w:rPr>
      </w:pPr>
    </w:p>
    <w:p w14:paraId="468BE308" w14:textId="1510274F" w:rsidR="00C10207" w:rsidRDefault="003F11FE" w:rsidP="006F1659">
      <w:pPr>
        <w:spacing w:line="360" w:lineRule="auto"/>
        <w:rPr>
          <w:rFonts w:ascii="Arial" w:hAnsi="Arial" w:cs="Arial"/>
          <w:b/>
          <w:bCs/>
          <w:color w:val="000000" w:themeColor="text1"/>
          <w:sz w:val="26"/>
          <w:szCs w:val="26"/>
        </w:rPr>
      </w:pPr>
      <w:r w:rsidRPr="003F11FE">
        <w:rPr>
          <w:noProof/>
        </w:rPr>
        <w:drawing>
          <wp:inline distT="0" distB="0" distL="0" distR="0" wp14:anchorId="4178934A" wp14:editId="6F7FC60F">
            <wp:extent cx="9175750" cy="3517900"/>
            <wp:effectExtent l="0" t="0" r="6350" b="6350"/>
            <wp:docPr id="109775281"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75281" name="Picture 20">
                      <a:extLst>
                        <a:ext uri="{C183D7F6-B498-43B3-948B-1728B52AA6E4}">
                          <adec:decorative xmlns:adec="http://schemas.microsoft.com/office/drawing/2017/decorative" val="1"/>
                        </a:ext>
                      </a:extLst>
                    </pic:cNvPr>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9175750" cy="3517900"/>
                    </a:xfrm>
                    <a:prstGeom prst="rect">
                      <a:avLst/>
                    </a:prstGeom>
                    <a:noFill/>
                    <a:ln>
                      <a:noFill/>
                    </a:ln>
                  </pic:spPr>
                </pic:pic>
              </a:graphicData>
            </a:graphic>
          </wp:inline>
        </w:drawing>
      </w:r>
    </w:p>
    <w:p w14:paraId="41562E03" w14:textId="77777777" w:rsidR="00785CEA" w:rsidRDefault="00785CEA">
      <w:pPr>
        <w:rPr>
          <w:rFonts w:ascii="Arial" w:eastAsia="Palatino Linotype" w:hAnsi="Arial" w:cs="Arial"/>
          <w:b/>
          <w:bCs/>
          <w:szCs w:val="28"/>
          <w:lang w:val="en-US"/>
        </w:rPr>
      </w:pPr>
      <w:bookmarkStart w:id="259" w:name="_Toc92894929"/>
      <w:bookmarkStart w:id="260" w:name="_Toc92895233"/>
      <w:bookmarkStart w:id="261" w:name="_Toc109922667"/>
      <w:r>
        <w:br w:type="page"/>
      </w:r>
    </w:p>
    <w:p w14:paraId="3CCD5FEA" w14:textId="595F8AA1" w:rsidR="00795BE0" w:rsidRPr="0007572B" w:rsidRDefault="00795BE0" w:rsidP="006F1659">
      <w:pPr>
        <w:pStyle w:val="Heading3greennumbered"/>
        <w:spacing w:line="360" w:lineRule="auto"/>
      </w:pPr>
      <w:r w:rsidRPr="0007572B">
        <w:lastRenderedPageBreak/>
        <w:t>37b Note to the Group Expenditure and Funding Analysis</w:t>
      </w:r>
      <w:bookmarkEnd w:id="259"/>
      <w:bookmarkEnd w:id="260"/>
      <w:bookmarkEnd w:id="261"/>
    </w:p>
    <w:p w14:paraId="2DE56A67" w14:textId="77777777" w:rsidR="00795BE0" w:rsidRPr="0007572B" w:rsidRDefault="00795BE0" w:rsidP="006F1659">
      <w:pPr>
        <w:spacing w:line="360" w:lineRule="auto"/>
        <w:jc w:val="both"/>
        <w:rPr>
          <w:rFonts w:ascii="Arial" w:hAnsi="Arial" w:cs="Arial"/>
          <w:b/>
          <w:highlight w:val="yellow"/>
        </w:rPr>
      </w:pPr>
    </w:p>
    <w:p w14:paraId="2250FA49" w14:textId="6E39CAB8" w:rsidR="00795BE0" w:rsidRPr="0007572B" w:rsidRDefault="003F11FE" w:rsidP="006F1659">
      <w:pPr>
        <w:spacing w:line="360" w:lineRule="auto"/>
        <w:jc w:val="both"/>
        <w:rPr>
          <w:rFonts w:ascii="Arial" w:hAnsi="Arial" w:cs="Arial"/>
          <w:b/>
        </w:rPr>
      </w:pPr>
      <w:r w:rsidRPr="003F11FE">
        <w:rPr>
          <w:noProof/>
        </w:rPr>
        <w:drawing>
          <wp:inline distT="0" distB="0" distL="0" distR="0" wp14:anchorId="231F072A" wp14:editId="4788E19E">
            <wp:extent cx="9029700" cy="2609850"/>
            <wp:effectExtent l="0" t="0" r="0" b="0"/>
            <wp:docPr id="1428316777"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316777" name="Picture 21">
                      <a:extLst>
                        <a:ext uri="{C183D7F6-B498-43B3-948B-1728B52AA6E4}">
                          <adec:decorative xmlns:adec="http://schemas.microsoft.com/office/drawing/2017/decorative" val="1"/>
                        </a:ext>
                      </a:extLst>
                    </pic:cNvPr>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9029700" cy="2609850"/>
                    </a:xfrm>
                    <a:prstGeom prst="rect">
                      <a:avLst/>
                    </a:prstGeom>
                    <a:noFill/>
                    <a:ln>
                      <a:noFill/>
                    </a:ln>
                  </pic:spPr>
                </pic:pic>
              </a:graphicData>
            </a:graphic>
          </wp:inline>
        </w:drawing>
      </w:r>
    </w:p>
    <w:p w14:paraId="179E7F84" w14:textId="77777777" w:rsidR="00795BE0" w:rsidRPr="0007572B" w:rsidRDefault="00795BE0" w:rsidP="006F1659">
      <w:pPr>
        <w:pStyle w:val="ListParagraph"/>
        <w:numPr>
          <w:ilvl w:val="0"/>
          <w:numId w:val="55"/>
        </w:numPr>
        <w:spacing w:before="120" w:after="0" w:line="360" w:lineRule="auto"/>
        <w:ind w:left="284" w:hanging="284"/>
        <w:rPr>
          <w:rFonts w:ascii="Arial" w:hAnsi="Arial" w:cs="Arial"/>
          <w:sz w:val="24"/>
          <w:szCs w:val="24"/>
        </w:rPr>
      </w:pPr>
      <w:r w:rsidRPr="0007572B">
        <w:rPr>
          <w:rFonts w:ascii="Arial" w:hAnsi="Arial" w:cs="Arial"/>
          <w:sz w:val="24"/>
          <w:szCs w:val="24"/>
        </w:rPr>
        <w:t>Adjustments for capital purposes include revenue expenditure funded from capital under statute, depreciation and impairment, gain/loss on disposal of non-current assets, capital grants and contributions, minimum revenue provision and revenue contribution to capital outlay.</w:t>
      </w:r>
    </w:p>
    <w:p w14:paraId="368E98E3" w14:textId="77777777" w:rsidR="00795BE0" w:rsidRPr="0007572B" w:rsidRDefault="00795BE0" w:rsidP="006F1659">
      <w:pPr>
        <w:pStyle w:val="ListParagraph"/>
        <w:numPr>
          <w:ilvl w:val="0"/>
          <w:numId w:val="55"/>
        </w:numPr>
        <w:spacing w:line="360" w:lineRule="auto"/>
        <w:ind w:left="284" w:hanging="284"/>
        <w:rPr>
          <w:rFonts w:ascii="Arial" w:hAnsi="Arial" w:cs="Arial"/>
          <w:sz w:val="24"/>
          <w:szCs w:val="24"/>
        </w:rPr>
      </w:pPr>
      <w:r w:rsidRPr="0007572B">
        <w:rPr>
          <w:rFonts w:ascii="Arial" w:hAnsi="Arial" w:cs="Arial"/>
          <w:sz w:val="24"/>
          <w:szCs w:val="24"/>
        </w:rPr>
        <w:t>Pension adjustments include employer's contribution to the pension scheme and retirement benefits per IAS 19.</w:t>
      </w:r>
    </w:p>
    <w:p w14:paraId="178BFD35" w14:textId="77777777" w:rsidR="00795BE0" w:rsidRPr="0007572B" w:rsidRDefault="00795BE0" w:rsidP="006F1659">
      <w:pPr>
        <w:pStyle w:val="ListParagraph"/>
        <w:numPr>
          <w:ilvl w:val="0"/>
          <w:numId w:val="55"/>
        </w:numPr>
        <w:spacing w:line="360" w:lineRule="auto"/>
        <w:ind w:left="284" w:hanging="284"/>
        <w:rPr>
          <w:rFonts w:ascii="Arial" w:hAnsi="Arial" w:cs="Arial"/>
          <w:sz w:val="24"/>
          <w:szCs w:val="24"/>
        </w:rPr>
      </w:pPr>
      <w:r w:rsidRPr="0007572B">
        <w:rPr>
          <w:rFonts w:ascii="Arial" w:hAnsi="Arial" w:cs="Arial"/>
          <w:sz w:val="24"/>
          <w:szCs w:val="24"/>
        </w:rPr>
        <w:t xml:space="preserve">Other adjustments include </w:t>
      </w:r>
      <w:r w:rsidRPr="00795BE0">
        <w:rPr>
          <w:rFonts w:ascii="Arial" w:hAnsi="Arial" w:cs="Arial"/>
          <w:sz w:val="24"/>
          <w:szCs w:val="24"/>
        </w:rPr>
        <w:t>contributions to capital bad debt provision and</w:t>
      </w:r>
      <w:r w:rsidRPr="0007572B">
        <w:rPr>
          <w:rFonts w:ascii="Arial" w:hAnsi="Arial" w:cs="Arial"/>
          <w:sz w:val="24"/>
          <w:szCs w:val="24"/>
        </w:rPr>
        <w:t xml:space="preserve"> available for sale financial instruments.</w:t>
      </w:r>
    </w:p>
    <w:p w14:paraId="707D8B54" w14:textId="77777777" w:rsidR="00795BE0" w:rsidRPr="0007572B" w:rsidRDefault="00795BE0" w:rsidP="006F1659">
      <w:pPr>
        <w:spacing w:line="360" w:lineRule="auto"/>
        <w:rPr>
          <w:rFonts w:ascii="Arial" w:hAnsi="Arial" w:cs="Arial"/>
          <w:b/>
          <w:sz w:val="22"/>
          <w:szCs w:val="22"/>
        </w:rPr>
        <w:sectPr w:rsidR="00795BE0" w:rsidRPr="0007572B" w:rsidSect="004833A2">
          <w:pgSz w:w="16838" w:h="11906" w:orient="landscape"/>
          <w:pgMar w:top="1418" w:right="946" w:bottom="1416" w:left="1440" w:header="283" w:footer="567" w:gutter="0"/>
          <w:cols w:space="708"/>
          <w:docGrid w:linePitch="360"/>
        </w:sectPr>
      </w:pPr>
    </w:p>
    <w:p w14:paraId="1B5714BF" w14:textId="77777777" w:rsidR="00795BE0" w:rsidRPr="0007572B" w:rsidRDefault="00795BE0" w:rsidP="006F1659">
      <w:pPr>
        <w:pStyle w:val="Heading3greennumbered"/>
        <w:spacing w:line="360" w:lineRule="auto"/>
      </w:pPr>
      <w:bookmarkStart w:id="262" w:name="_Toc92894930"/>
      <w:bookmarkStart w:id="263" w:name="_Toc92895234"/>
      <w:bookmarkStart w:id="264" w:name="_Toc109922668"/>
      <w:r w:rsidRPr="0007572B">
        <w:lastRenderedPageBreak/>
        <w:t>38 Group Adjustments between Accounting Basis and Funding Basis under Regulations</w:t>
      </w:r>
      <w:bookmarkEnd w:id="262"/>
      <w:bookmarkEnd w:id="263"/>
      <w:bookmarkEnd w:id="264"/>
    </w:p>
    <w:p w14:paraId="76C3A758" w14:textId="77777777" w:rsidR="00795BE0" w:rsidRDefault="00795BE0" w:rsidP="006F1659">
      <w:pPr>
        <w:spacing w:line="360" w:lineRule="auto"/>
        <w:rPr>
          <w:rFonts w:ascii="Arial" w:hAnsi="Arial" w:cs="Arial"/>
        </w:rPr>
      </w:pPr>
    </w:p>
    <w:p w14:paraId="4AF7D181" w14:textId="77777777" w:rsidR="00795BE0" w:rsidRPr="0007572B" w:rsidRDefault="00795BE0" w:rsidP="006F1659">
      <w:pPr>
        <w:spacing w:line="360" w:lineRule="auto"/>
        <w:rPr>
          <w:rFonts w:ascii="Arial" w:hAnsi="Arial" w:cs="Arial"/>
        </w:rPr>
      </w:pPr>
      <w:r w:rsidRPr="0007572B">
        <w:rPr>
          <w:rFonts w:ascii="Arial" w:hAnsi="Arial" w:cs="Arial"/>
        </w:rPr>
        <w:t>This note details the adjustments that are made to the total comprehensive income and expenditure recognised by the Group in the year in accordance with proper accounting practice to the resources that are specified by statutory provisions as being available to meet future capital and revenue expenditure.</w:t>
      </w:r>
    </w:p>
    <w:p w14:paraId="7F9D8243" w14:textId="175C3514" w:rsidR="00795BE0" w:rsidRPr="0007572B" w:rsidRDefault="003F11FE" w:rsidP="006F1659">
      <w:pPr>
        <w:spacing w:line="360" w:lineRule="auto"/>
        <w:rPr>
          <w:rFonts w:ascii="Arial" w:hAnsi="Arial" w:cs="Arial"/>
          <w:b/>
        </w:rPr>
      </w:pPr>
      <w:r w:rsidRPr="003F11FE">
        <w:rPr>
          <w:noProof/>
        </w:rPr>
        <w:drawing>
          <wp:inline distT="0" distB="0" distL="0" distR="0" wp14:anchorId="5BFEB903" wp14:editId="01840203">
            <wp:extent cx="9177020" cy="3652520"/>
            <wp:effectExtent l="0" t="0" r="5080" b="5080"/>
            <wp:docPr id="797563688"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63688" name="Picture 22">
                      <a:extLst>
                        <a:ext uri="{C183D7F6-B498-43B3-948B-1728B52AA6E4}">
                          <adec:decorative xmlns:adec="http://schemas.microsoft.com/office/drawing/2017/decorative" val="1"/>
                        </a:ext>
                      </a:extLst>
                    </pic:cNvPr>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9177020" cy="3652520"/>
                    </a:xfrm>
                    <a:prstGeom prst="rect">
                      <a:avLst/>
                    </a:prstGeom>
                    <a:noFill/>
                    <a:ln>
                      <a:noFill/>
                    </a:ln>
                  </pic:spPr>
                </pic:pic>
              </a:graphicData>
            </a:graphic>
          </wp:inline>
        </w:drawing>
      </w:r>
    </w:p>
    <w:p w14:paraId="589B4D15" w14:textId="3AF52A30" w:rsidR="00795BE0" w:rsidRPr="0007572B" w:rsidRDefault="00795BE0" w:rsidP="006F1659">
      <w:pPr>
        <w:spacing w:line="360" w:lineRule="auto"/>
        <w:rPr>
          <w:rFonts w:ascii="Arial" w:hAnsi="Arial" w:cs="Arial"/>
          <w:b/>
        </w:rPr>
      </w:pPr>
    </w:p>
    <w:p w14:paraId="58E90B80" w14:textId="77777777" w:rsidR="00795BE0" w:rsidRPr="0007572B" w:rsidRDefault="00795BE0" w:rsidP="006F1659">
      <w:pPr>
        <w:spacing w:line="360" w:lineRule="auto"/>
        <w:jc w:val="both"/>
        <w:rPr>
          <w:rFonts w:ascii="Arial" w:hAnsi="Arial" w:cs="Arial"/>
          <w:b/>
          <w:sz w:val="22"/>
          <w:szCs w:val="22"/>
        </w:rPr>
      </w:pPr>
    </w:p>
    <w:p w14:paraId="7F6B046A" w14:textId="77777777" w:rsidR="00795BE0" w:rsidRPr="0007572B" w:rsidRDefault="00795BE0" w:rsidP="006F1659">
      <w:pPr>
        <w:spacing w:line="360" w:lineRule="auto"/>
        <w:rPr>
          <w:rFonts w:ascii="Arial" w:hAnsi="Arial" w:cs="Arial"/>
          <w:b/>
          <w:sz w:val="22"/>
          <w:szCs w:val="22"/>
        </w:rPr>
      </w:pPr>
    </w:p>
    <w:p w14:paraId="47954B52" w14:textId="77777777" w:rsidR="00795BE0" w:rsidRPr="0007572B" w:rsidRDefault="00795BE0" w:rsidP="006F1659">
      <w:pPr>
        <w:spacing w:line="360" w:lineRule="auto"/>
        <w:rPr>
          <w:rFonts w:ascii="Arial" w:hAnsi="Arial" w:cs="Arial"/>
          <w:b/>
          <w:sz w:val="22"/>
          <w:szCs w:val="22"/>
        </w:rPr>
        <w:sectPr w:rsidR="00795BE0" w:rsidRPr="0007572B" w:rsidSect="004833A2">
          <w:pgSz w:w="16838" w:h="11906" w:orient="landscape"/>
          <w:pgMar w:top="1080" w:right="946" w:bottom="1416" w:left="1440" w:header="283" w:footer="567" w:gutter="0"/>
          <w:cols w:space="708"/>
          <w:docGrid w:linePitch="360"/>
        </w:sectPr>
      </w:pPr>
    </w:p>
    <w:p w14:paraId="45776985" w14:textId="77777777" w:rsidR="00795BE0" w:rsidRPr="0007572B" w:rsidRDefault="00795BE0" w:rsidP="006F1659">
      <w:pPr>
        <w:pStyle w:val="Heading3greennumbered"/>
        <w:spacing w:line="360" w:lineRule="auto"/>
      </w:pPr>
      <w:bookmarkStart w:id="265" w:name="_Toc92894931"/>
      <w:bookmarkStart w:id="266" w:name="_Toc92895235"/>
      <w:bookmarkStart w:id="267" w:name="_Toc109922669"/>
      <w:r w:rsidRPr="0007572B">
        <w:lastRenderedPageBreak/>
        <w:t>39 Transfers (to)/from Group Earmarked Reserves</w:t>
      </w:r>
      <w:bookmarkEnd w:id="265"/>
      <w:bookmarkEnd w:id="266"/>
      <w:bookmarkEnd w:id="267"/>
    </w:p>
    <w:p w14:paraId="11180044" w14:textId="77777777" w:rsidR="00795BE0" w:rsidRDefault="00795BE0" w:rsidP="006F1659">
      <w:pPr>
        <w:spacing w:line="360" w:lineRule="auto"/>
        <w:rPr>
          <w:rFonts w:ascii="Arial" w:hAnsi="Arial" w:cs="Arial"/>
        </w:rPr>
      </w:pPr>
    </w:p>
    <w:p w14:paraId="60CEE839" w14:textId="77777777" w:rsidR="00795BE0" w:rsidRDefault="00795BE0" w:rsidP="006F1659">
      <w:pPr>
        <w:spacing w:line="360" w:lineRule="auto"/>
        <w:rPr>
          <w:rFonts w:ascii="Arial" w:hAnsi="Arial" w:cs="Arial"/>
        </w:rPr>
      </w:pPr>
      <w:r w:rsidRPr="0007572B">
        <w:rPr>
          <w:rFonts w:ascii="Arial" w:hAnsi="Arial" w:cs="Arial"/>
        </w:rPr>
        <w:t>This note sets out the amounts set aside from the General Fund in reserves to provide financing for future expenditure plans and the amounts posted back from reserves to meet General Fund expenditure.</w:t>
      </w:r>
    </w:p>
    <w:p w14:paraId="4400D76B" w14:textId="0378B18A" w:rsidR="000E74C3" w:rsidRPr="003F11FE" w:rsidRDefault="003F11FE" w:rsidP="006F1659">
      <w:pPr>
        <w:spacing w:line="360" w:lineRule="auto"/>
        <w:rPr>
          <w:rFonts w:ascii="Arial" w:hAnsi="Arial" w:cs="Arial"/>
          <w:b/>
          <w:sz w:val="22"/>
          <w:szCs w:val="22"/>
        </w:rPr>
      </w:pPr>
      <w:r w:rsidRPr="003F11FE">
        <w:rPr>
          <w:noProof/>
        </w:rPr>
        <w:drawing>
          <wp:inline distT="0" distB="0" distL="0" distR="0" wp14:anchorId="7FC1892B" wp14:editId="48CD27FD">
            <wp:extent cx="4978400" cy="7784034"/>
            <wp:effectExtent l="0" t="0" r="0" b="7620"/>
            <wp:docPr id="1065165000"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165000" name="Picture 24">
                      <a:extLst>
                        <a:ext uri="{C183D7F6-B498-43B3-948B-1728B52AA6E4}">
                          <adec:decorative xmlns:adec="http://schemas.microsoft.com/office/drawing/2017/decorative" val="1"/>
                        </a:ext>
                      </a:extLst>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983549" cy="7792084"/>
                    </a:xfrm>
                    <a:prstGeom prst="rect">
                      <a:avLst/>
                    </a:prstGeom>
                    <a:noFill/>
                    <a:ln>
                      <a:noFill/>
                    </a:ln>
                  </pic:spPr>
                </pic:pic>
              </a:graphicData>
            </a:graphic>
          </wp:inline>
        </w:drawing>
      </w:r>
      <w:bookmarkStart w:id="268" w:name="_Toc92894932"/>
      <w:bookmarkStart w:id="269" w:name="_Toc92895236"/>
      <w:bookmarkStart w:id="270" w:name="_Toc109922670"/>
      <w:r w:rsidR="000E74C3">
        <w:br w:type="page"/>
      </w:r>
    </w:p>
    <w:p w14:paraId="38BB2BA6" w14:textId="4F1EC71B" w:rsidR="003F11FE" w:rsidRDefault="00795BE0" w:rsidP="003F11FE">
      <w:pPr>
        <w:pStyle w:val="Heading3greennumbered"/>
        <w:spacing w:line="360" w:lineRule="auto"/>
      </w:pPr>
      <w:r w:rsidRPr="0007572B">
        <w:lastRenderedPageBreak/>
        <w:t>39 Transfers (to)/from Group Earmarked Reserves (Continued)</w:t>
      </w:r>
      <w:bookmarkEnd w:id="268"/>
      <w:bookmarkEnd w:id="269"/>
      <w:bookmarkEnd w:id="270"/>
    </w:p>
    <w:p w14:paraId="5C313EFD" w14:textId="77777777" w:rsidR="003F11FE" w:rsidRDefault="003F11FE" w:rsidP="006F1659">
      <w:pPr>
        <w:spacing w:line="360" w:lineRule="auto"/>
        <w:jc w:val="both"/>
      </w:pPr>
    </w:p>
    <w:p w14:paraId="28291CBA" w14:textId="46192EA2" w:rsidR="000E74C3" w:rsidRDefault="003F11FE" w:rsidP="006F1659">
      <w:pPr>
        <w:spacing w:line="360" w:lineRule="auto"/>
        <w:jc w:val="both"/>
        <w:rPr>
          <w:rFonts w:ascii="Arial" w:hAnsi="Arial" w:cs="Arial"/>
        </w:rPr>
      </w:pPr>
      <w:r w:rsidRPr="003F11FE">
        <w:rPr>
          <w:noProof/>
        </w:rPr>
        <w:drawing>
          <wp:inline distT="0" distB="0" distL="0" distR="0" wp14:anchorId="4B4D389C" wp14:editId="404DCC2F">
            <wp:extent cx="5028676" cy="7823708"/>
            <wp:effectExtent l="0" t="0" r="635" b="6350"/>
            <wp:docPr id="146580202"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80202" name="Picture 25">
                      <a:extLst>
                        <a:ext uri="{C183D7F6-B498-43B3-948B-1728B52AA6E4}">
                          <adec:decorative xmlns:adec="http://schemas.microsoft.com/office/drawing/2017/decorative" val="1"/>
                        </a:ext>
                      </a:extLst>
                    </pic:cNvP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044862" cy="7848891"/>
                    </a:xfrm>
                    <a:prstGeom prst="rect">
                      <a:avLst/>
                    </a:prstGeom>
                    <a:noFill/>
                    <a:ln>
                      <a:noFill/>
                    </a:ln>
                  </pic:spPr>
                </pic:pic>
              </a:graphicData>
            </a:graphic>
          </wp:inline>
        </w:drawing>
      </w:r>
    </w:p>
    <w:p w14:paraId="394CA8B7" w14:textId="6AC930DF" w:rsidR="00795BE0" w:rsidRPr="003F11FE" w:rsidRDefault="000E74C3" w:rsidP="003F11FE">
      <w:pPr>
        <w:spacing w:line="360" w:lineRule="auto"/>
        <w:rPr>
          <w:rFonts w:ascii="Arial" w:eastAsia="Palatino Linotype" w:hAnsi="Arial" w:cs="Arial"/>
          <w:b/>
          <w:bCs/>
          <w:szCs w:val="28"/>
          <w:lang w:val="en-US"/>
        </w:rPr>
      </w:pPr>
      <w:r>
        <w:br w:type="page"/>
      </w:r>
    </w:p>
    <w:p w14:paraId="435AB5DB" w14:textId="77777777" w:rsidR="000E74C3" w:rsidRPr="0007572B" w:rsidRDefault="000E74C3" w:rsidP="006F1659">
      <w:pPr>
        <w:spacing w:line="360" w:lineRule="auto"/>
        <w:jc w:val="both"/>
        <w:rPr>
          <w:rFonts w:ascii="Arial" w:hAnsi="Arial" w:cs="Arial"/>
        </w:rPr>
      </w:pPr>
    </w:p>
    <w:p w14:paraId="4CF133F2" w14:textId="77777777" w:rsidR="00795BE0" w:rsidRPr="0007572B" w:rsidRDefault="00795BE0" w:rsidP="006F1659">
      <w:pPr>
        <w:pStyle w:val="Heading3greennumbered"/>
        <w:spacing w:line="360" w:lineRule="auto"/>
      </w:pPr>
      <w:bookmarkStart w:id="271" w:name="_Toc92894933"/>
      <w:bookmarkStart w:id="272" w:name="_Toc92895237"/>
      <w:bookmarkStart w:id="273" w:name="_Toc109922671"/>
      <w:r>
        <w:t>40</w:t>
      </w:r>
      <w:r w:rsidRPr="0007572B">
        <w:t xml:space="preserve"> Purpose of Group Earmarked Reserves</w:t>
      </w:r>
      <w:bookmarkEnd w:id="271"/>
      <w:bookmarkEnd w:id="272"/>
      <w:bookmarkEnd w:id="273"/>
    </w:p>
    <w:p w14:paraId="5C629EFB" w14:textId="77777777" w:rsidR="00795BE0" w:rsidRDefault="00795BE0" w:rsidP="006F1659">
      <w:pPr>
        <w:spacing w:line="360" w:lineRule="auto"/>
        <w:rPr>
          <w:rFonts w:ascii="Arial" w:hAnsi="Arial" w:cs="Arial"/>
        </w:rPr>
      </w:pPr>
    </w:p>
    <w:p w14:paraId="4E79FBBE" w14:textId="77777777" w:rsidR="00795BE0" w:rsidRPr="0007572B" w:rsidRDefault="00795BE0" w:rsidP="006F1659">
      <w:pPr>
        <w:spacing w:line="360" w:lineRule="auto"/>
        <w:rPr>
          <w:rFonts w:ascii="Arial" w:hAnsi="Arial" w:cs="Arial"/>
        </w:rPr>
      </w:pPr>
      <w:r w:rsidRPr="0007572B">
        <w:rPr>
          <w:rFonts w:ascii="Arial" w:hAnsi="Arial" w:cs="Arial"/>
        </w:rPr>
        <w:t xml:space="preserve">The purpose of the Authority’s earmarked reserves is set out in </w:t>
      </w:r>
      <w:r>
        <w:rPr>
          <w:rFonts w:ascii="Arial" w:hAnsi="Arial" w:cs="Arial"/>
        </w:rPr>
        <w:t xml:space="preserve">the </w:t>
      </w:r>
      <w:r w:rsidRPr="0007572B">
        <w:rPr>
          <w:rFonts w:ascii="Arial" w:hAnsi="Arial" w:cs="Arial"/>
        </w:rPr>
        <w:t>note</w:t>
      </w:r>
      <w:r>
        <w:rPr>
          <w:rFonts w:ascii="Arial" w:hAnsi="Arial" w:cs="Arial"/>
        </w:rPr>
        <w:t>s to the single entity accounts</w:t>
      </w:r>
      <w:r w:rsidRPr="0007572B">
        <w:rPr>
          <w:rFonts w:ascii="Arial" w:hAnsi="Arial" w:cs="Arial"/>
        </w:rPr>
        <w:t>. The purpose of other group reserves is set out below:</w:t>
      </w:r>
    </w:p>
    <w:p w14:paraId="38BB8BD4" w14:textId="77777777" w:rsidR="00795BE0" w:rsidRPr="0007572B" w:rsidRDefault="00795BE0" w:rsidP="006F1659">
      <w:pPr>
        <w:spacing w:line="360" w:lineRule="auto"/>
        <w:rPr>
          <w:rFonts w:ascii="Arial" w:hAnsi="Arial" w:cs="Arial"/>
        </w:rPr>
      </w:pPr>
    </w:p>
    <w:p w14:paraId="0DF01BC3" w14:textId="77777777" w:rsidR="00795BE0" w:rsidRPr="00A4694D" w:rsidRDefault="00795BE0" w:rsidP="006F1659">
      <w:pPr>
        <w:spacing w:line="360" w:lineRule="auto"/>
        <w:rPr>
          <w:rFonts w:ascii="Arial" w:hAnsi="Arial" w:cs="Arial"/>
        </w:rPr>
      </w:pPr>
      <w:bookmarkStart w:id="274" w:name="_Hlk76896645"/>
      <w:r w:rsidRPr="00A4694D">
        <w:rPr>
          <w:rFonts w:ascii="Arial" w:hAnsi="Arial" w:cs="Arial"/>
        </w:rPr>
        <w:t>Transport for Greater Manchester Reserves</w:t>
      </w:r>
    </w:p>
    <w:p w14:paraId="4F65AFDA" w14:textId="77777777" w:rsidR="00795BE0" w:rsidRPr="00A4694D" w:rsidRDefault="00795BE0" w:rsidP="006F1659">
      <w:pPr>
        <w:pStyle w:val="ListParagraph"/>
        <w:numPr>
          <w:ilvl w:val="0"/>
          <w:numId w:val="59"/>
        </w:numPr>
        <w:spacing w:line="360" w:lineRule="auto"/>
        <w:rPr>
          <w:rFonts w:ascii="Arial" w:hAnsi="Arial" w:cs="Arial"/>
          <w:sz w:val="24"/>
          <w:szCs w:val="24"/>
        </w:rPr>
      </w:pPr>
      <w:r w:rsidRPr="00A4694D">
        <w:rPr>
          <w:rFonts w:ascii="Arial" w:hAnsi="Arial" w:cs="Arial"/>
          <w:sz w:val="24"/>
          <w:szCs w:val="24"/>
        </w:rPr>
        <w:t>Revenue Grants Unapplied Reserve – Manchester Airport Contribution to the Metrolink extension to the airport;</w:t>
      </w:r>
    </w:p>
    <w:p w14:paraId="0B1817E3" w14:textId="77777777" w:rsidR="00795BE0" w:rsidRPr="00A4694D" w:rsidRDefault="00795BE0" w:rsidP="006F1659">
      <w:pPr>
        <w:pStyle w:val="ListParagraph"/>
        <w:numPr>
          <w:ilvl w:val="0"/>
          <w:numId w:val="59"/>
        </w:numPr>
        <w:spacing w:line="360" w:lineRule="auto"/>
        <w:rPr>
          <w:rFonts w:ascii="Arial" w:hAnsi="Arial" w:cs="Arial"/>
          <w:sz w:val="24"/>
          <w:szCs w:val="24"/>
        </w:rPr>
      </w:pPr>
      <w:r w:rsidRPr="00A4694D">
        <w:rPr>
          <w:rFonts w:ascii="Arial" w:hAnsi="Arial" w:cs="Arial"/>
          <w:sz w:val="24"/>
          <w:szCs w:val="24"/>
        </w:rPr>
        <w:t>Property Reserve – surpluses arising from 2 Piccadilly Place to be reinvested in property activity;</w:t>
      </w:r>
    </w:p>
    <w:p w14:paraId="36592333" w14:textId="77777777" w:rsidR="00795BE0" w:rsidRPr="00A4694D" w:rsidRDefault="00795BE0" w:rsidP="006F1659">
      <w:pPr>
        <w:pStyle w:val="ListParagraph"/>
        <w:numPr>
          <w:ilvl w:val="0"/>
          <w:numId w:val="59"/>
        </w:numPr>
        <w:spacing w:line="360" w:lineRule="auto"/>
        <w:rPr>
          <w:rFonts w:ascii="Arial" w:hAnsi="Arial" w:cs="Arial"/>
          <w:sz w:val="24"/>
          <w:szCs w:val="24"/>
        </w:rPr>
      </w:pPr>
      <w:r w:rsidRPr="00A4694D">
        <w:rPr>
          <w:rFonts w:ascii="Arial" w:hAnsi="Arial" w:cs="Arial"/>
          <w:sz w:val="24"/>
          <w:szCs w:val="24"/>
        </w:rPr>
        <w:t>Metrolink Reserve – funding set aside for Metrolink Service Enhancements;</w:t>
      </w:r>
    </w:p>
    <w:p w14:paraId="14A83D29" w14:textId="77777777" w:rsidR="00795BE0" w:rsidRPr="00A4694D" w:rsidRDefault="00795BE0" w:rsidP="006F1659">
      <w:pPr>
        <w:pStyle w:val="ListParagraph"/>
        <w:numPr>
          <w:ilvl w:val="0"/>
          <w:numId w:val="59"/>
        </w:numPr>
        <w:spacing w:line="360" w:lineRule="auto"/>
        <w:rPr>
          <w:rFonts w:ascii="Arial" w:hAnsi="Arial" w:cs="Arial"/>
          <w:sz w:val="24"/>
          <w:szCs w:val="24"/>
        </w:rPr>
      </w:pPr>
      <w:r w:rsidRPr="00A4694D">
        <w:rPr>
          <w:rFonts w:ascii="Arial" w:hAnsi="Arial" w:cs="Arial"/>
          <w:sz w:val="24"/>
          <w:szCs w:val="24"/>
        </w:rPr>
        <w:t>Joint Road Safety Group Reserve – surpluses arising from JRSG activity;</w:t>
      </w:r>
    </w:p>
    <w:p w14:paraId="153F1B60" w14:textId="77777777" w:rsidR="00795BE0" w:rsidRPr="00A4694D" w:rsidRDefault="00795BE0" w:rsidP="006F1659">
      <w:pPr>
        <w:pStyle w:val="ListParagraph"/>
        <w:numPr>
          <w:ilvl w:val="0"/>
          <w:numId w:val="59"/>
        </w:numPr>
        <w:spacing w:line="360" w:lineRule="auto"/>
        <w:rPr>
          <w:rFonts w:ascii="Arial" w:hAnsi="Arial" w:cs="Arial"/>
          <w:sz w:val="24"/>
          <w:szCs w:val="24"/>
        </w:rPr>
      </w:pPr>
      <w:r w:rsidRPr="00A4694D">
        <w:rPr>
          <w:rFonts w:ascii="Arial" w:hAnsi="Arial" w:cs="Arial"/>
          <w:sz w:val="24"/>
          <w:szCs w:val="24"/>
        </w:rPr>
        <w:t>Concessionary Fares Reserve – surpluses of reimbursed income set aside for future investment;</w:t>
      </w:r>
    </w:p>
    <w:p w14:paraId="3109DE4F" w14:textId="77777777" w:rsidR="00795BE0" w:rsidRPr="00A4694D" w:rsidRDefault="00795BE0" w:rsidP="006F1659">
      <w:pPr>
        <w:pStyle w:val="ListParagraph"/>
        <w:numPr>
          <w:ilvl w:val="0"/>
          <w:numId w:val="59"/>
        </w:numPr>
        <w:spacing w:line="360" w:lineRule="auto"/>
        <w:rPr>
          <w:rFonts w:ascii="Arial" w:hAnsi="Arial" w:cs="Arial"/>
          <w:sz w:val="24"/>
          <w:szCs w:val="24"/>
        </w:rPr>
      </w:pPr>
      <w:r w:rsidRPr="00A4694D">
        <w:rPr>
          <w:rFonts w:ascii="Arial" w:hAnsi="Arial" w:cs="Arial"/>
          <w:sz w:val="24"/>
          <w:szCs w:val="24"/>
        </w:rPr>
        <w:t>Capital Grants Unapplied Reserve – grants for specific capital schemes to be applied in future years.</w:t>
      </w:r>
    </w:p>
    <w:bookmarkEnd w:id="274"/>
    <w:p w14:paraId="62A24B86" w14:textId="77777777" w:rsidR="00795BE0" w:rsidRPr="0007572B" w:rsidRDefault="00795BE0" w:rsidP="006F1659">
      <w:pPr>
        <w:spacing w:line="360" w:lineRule="auto"/>
        <w:rPr>
          <w:rFonts w:ascii="Arial" w:hAnsi="Arial" w:cs="Arial"/>
        </w:rPr>
      </w:pPr>
      <w:r w:rsidRPr="0007572B">
        <w:rPr>
          <w:rFonts w:ascii="Arial" w:hAnsi="Arial" w:cs="Arial"/>
        </w:rPr>
        <w:t>NW Evergreen Holdings Reserve</w:t>
      </w:r>
    </w:p>
    <w:p w14:paraId="073830D2" w14:textId="77777777" w:rsidR="00795BE0" w:rsidRPr="0007572B" w:rsidRDefault="00795BE0" w:rsidP="006F1659">
      <w:pPr>
        <w:pStyle w:val="ListParagraph"/>
        <w:numPr>
          <w:ilvl w:val="0"/>
          <w:numId w:val="60"/>
        </w:numPr>
        <w:spacing w:line="360" w:lineRule="auto"/>
        <w:rPr>
          <w:rFonts w:ascii="Arial" w:hAnsi="Arial" w:cs="Arial"/>
          <w:sz w:val="24"/>
          <w:szCs w:val="24"/>
        </w:rPr>
      </w:pPr>
      <w:r w:rsidRPr="0007572B">
        <w:rPr>
          <w:rFonts w:ascii="Arial" w:hAnsi="Arial" w:cs="Arial"/>
          <w:sz w:val="24"/>
          <w:szCs w:val="24"/>
        </w:rPr>
        <w:t>Includes grant monies novated to NW Evergreen for investment in city areas.</w:t>
      </w:r>
    </w:p>
    <w:p w14:paraId="11B5934D" w14:textId="77777777" w:rsidR="00795BE0" w:rsidRPr="0007572B" w:rsidRDefault="00795BE0" w:rsidP="006F1659">
      <w:pPr>
        <w:spacing w:line="360" w:lineRule="auto"/>
        <w:rPr>
          <w:rFonts w:ascii="Arial" w:hAnsi="Arial" w:cs="Arial"/>
        </w:rPr>
      </w:pPr>
      <w:r w:rsidRPr="0007572B">
        <w:rPr>
          <w:rFonts w:ascii="Arial" w:hAnsi="Arial" w:cs="Arial"/>
        </w:rPr>
        <w:t>Fund of Funds Reserve</w:t>
      </w:r>
    </w:p>
    <w:p w14:paraId="72E27F85" w14:textId="0869A365" w:rsidR="00BF1014" w:rsidRPr="005D166A" w:rsidRDefault="00795BE0" w:rsidP="006F1659">
      <w:pPr>
        <w:pStyle w:val="ListParagraph"/>
        <w:numPr>
          <w:ilvl w:val="0"/>
          <w:numId w:val="60"/>
        </w:numPr>
        <w:spacing w:line="360" w:lineRule="auto"/>
        <w:rPr>
          <w:rFonts w:ascii="Arial" w:hAnsi="Arial" w:cs="Arial"/>
          <w:b/>
        </w:rPr>
      </w:pPr>
      <w:r w:rsidRPr="00BF1014">
        <w:rPr>
          <w:rFonts w:ascii="Arial" w:hAnsi="Arial" w:cs="Arial"/>
          <w:sz w:val="24"/>
          <w:szCs w:val="24"/>
        </w:rPr>
        <w:t>Includes funding from European Regional Development Fund held for investment in low carbon and energy efficiency initiatives</w:t>
      </w:r>
      <w:r w:rsidR="00BF1014" w:rsidRPr="00BF1014">
        <w:rPr>
          <w:rFonts w:ascii="Arial" w:hAnsi="Arial" w:cs="Arial"/>
          <w:sz w:val="24"/>
          <w:szCs w:val="24"/>
        </w:rPr>
        <w:t>.</w:t>
      </w:r>
    </w:p>
    <w:p w14:paraId="0F357614" w14:textId="28F10685" w:rsidR="005D166A" w:rsidRDefault="005D166A" w:rsidP="004D0BFB">
      <w:pPr>
        <w:spacing w:line="360" w:lineRule="auto"/>
        <w:rPr>
          <w:rFonts w:ascii="Arial" w:hAnsi="Arial" w:cs="Arial"/>
          <w:bCs/>
        </w:rPr>
      </w:pPr>
      <w:r w:rsidRPr="005D166A">
        <w:rPr>
          <w:rFonts w:ascii="Arial" w:hAnsi="Arial" w:cs="Arial"/>
          <w:bCs/>
        </w:rPr>
        <w:t>Evergreen 2 Reserve</w:t>
      </w:r>
      <w:bookmarkStart w:id="275" w:name="_Toc92894934"/>
      <w:bookmarkStart w:id="276" w:name="_Toc92895238"/>
      <w:bookmarkStart w:id="277" w:name="_Toc109922672"/>
    </w:p>
    <w:p w14:paraId="64BF6F84" w14:textId="291A7C3F" w:rsidR="009A242A" w:rsidRDefault="004D0BFB" w:rsidP="002A47E7">
      <w:pPr>
        <w:pStyle w:val="ListParagraph"/>
        <w:numPr>
          <w:ilvl w:val="0"/>
          <w:numId w:val="60"/>
        </w:numPr>
        <w:spacing w:line="360" w:lineRule="auto"/>
      </w:pPr>
      <w:r w:rsidRPr="004D0BFB">
        <w:rPr>
          <w:rFonts w:ascii="Arial" w:hAnsi="Arial" w:cs="Arial"/>
          <w:bCs/>
          <w:sz w:val="24"/>
          <w:szCs w:val="24"/>
        </w:rPr>
        <w:t>Relates to an agreement entered into with Greater Manchester FOF Limited Partnership to provide development finance to projects in the Greater Manchester area that meet certain regeneration objectives.</w:t>
      </w:r>
    </w:p>
    <w:p w14:paraId="133A6739" w14:textId="77777777" w:rsidR="009A242A" w:rsidRDefault="009A242A" w:rsidP="006F1659">
      <w:pPr>
        <w:spacing w:line="360" w:lineRule="auto"/>
        <w:rPr>
          <w:rFonts w:ascii="Arial" w:eastAsia="Palatino Linotype" w:hAnsi="Arial" w:cs="Arial"/>
          <w:b/>
          <w:bCs/>
          <w:szCs w:val="28"/>
          <w:lang w:val="en-US"/>
        </w:rPr>
      </w:pPr>
    </w:p>
    <w:p w14:paraId="0B638AF6" w14:textId="77777777" w:rsidR="003F11FE" w:rsidRDefault="003F11FE">
      <w:pPr>
        <w:rPr>
          <w:rFonts w:ascii="Arial" w:eastAsia="Palatino Linotype" w:hAnsi="Arial" w:cs="Arial"/>
          <w:b/>
          <w:bCs/>
          <w:szCs w:val="28"/>
          <w:lang w:val="en-US"/>
        </w:rPr>
      </w:pPr>
      <w:r>
        <w:br w:type="page"/>
      </w:r>
    </w:p>
    <w:p w14:paraId="2E46FF84" w14:textId="4364C197" w:rsidR="00795BE0" w:rsidRPr="0007572B" w:rsidRDefault="00795BE0" w:rsidP="006F1659">
      <w:pPr>
        <w:pStyle w:val="Heading3greennumbered"/>
        <w:spacing w:line="360" w:lineRule="auto"/>
      </w:pPr>
      <w:r w:rsidRPr="0007572B">
        <w:lastRenderedPageBreak/>
        <w:t>4</w:t>
      </w:r>
      <w:r>
        <w:t>1</w:t>
      </w:r>
      <w:r w:rsidRPr="0007572B">
        <w:t xml:space="preserve"> Group Nature of Income and Expenditure</w:t>
      </w:r>
      <w:bookmarkEnd w:id="275"/>
      <w:bookmarkEnd w:id="276"/>
      <w:bookmarkEnd w:id="277"/>
    </w:p>
    <w:p w14:paraId="74C54504" w14:textId="77777777" w:rsidR="00795BE0" w:rsidRDefault="00795BE0" w:rsidP="006F1659">
      <w:pPr>
        <w:spacing w:line="360" w:lineRule="auto"/>
        <w:rPr>
          <w:rFonts w:ascii="Arial" w:hAnsi="Arial" w:cs="Arial"/>
        </w:rPr>
      </w:pPr>
    </w:p>
    <w:p w14:paraId="5D18156D" w14:textId="5DEED135" w:rsidR="00795BE0" w:rsidRDefault="00795BE0" w:rsidP="006F1659">
      <w:pPr>
        <w:spacing w:line="360" w:lineRule="auto"/>
        <w:rPr>
          <w:rFonts w:ascii="Arial" w:hAnsi="Arial" w:cs="Arial"/>
        </w:rPr>
      </w:pPr>
      <w:r w:rsidRPr="0007572B">
        <w:rPr>
          <w:rFonts w:ascii="Arial" w:hAnsi="Arial" w:cs="Arial"/>
        </w:rPr>
        <w:t>The nature of the Group’s income and expenditure is outlined in the table below:</w:t>
      </w:r>
    </w:p>
    <w:p w14:paraId="4EB52AC6" w14:textId="442C7733" w:rsidR="00795BE0" w:rsidRDefault="003F11FE" w:rsidP="006F1659">
      <w:pPr>
        <w:spacing w:line="360" w:lineRule="auto"/>
        <w:rPr>
          <w:rFonts w:ascii="Arial" w:hAnsi="Arial" w:cs="Arial"/>
          <w:b/>
        </w:rPr>
      </w:pPr>
      <w:r w:rsidRPr="003F11FE">
        <w:rPr>
          <w:noProof/>
        </w:rPr>
        <w:drawing>
          <wp:inline distT="0" distB="0" distL="0" distR="0" wp14:anchorId="1FA0E72B" wp14:editId="039F0F88">
            <wp:extent cx="5391150" cy="3181350"/>
            <wp:effectExtent l="0" t="0" r="0" b="0"/>
            <wp:docPr id="1604369805"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369805" name="Picture 27">
                      <a:extLst>
                        <a:ext uri="{C183D7F6-B498-43B3-948B-1728B52AA6E4}">
                          <adec:decorative xmlns:adec="http://schemas.microsoft.com/office/drawing/2017/decorative" val="1"/>
                        </a:ext>
                      </a:extLst>
                    </pic:cNvPr>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391150" cy="3181350"/>
                    </a:xfrm>
                    <a:prstGeom prst="rect">
                      <a:avLst/>
                    </a:prstGeom>
                    <a:noFill/>
                    <a:ln>
                      <a:noFill/>
                    </a:ln>
                  </pic:spPr>
                </pic:pic>
              </a:graphicData>
            </a:graphic>
          </wp:inline>
        </w:drawing>
      </w:r>
    </w:p>
    <w:p w14:paraId="20BA34AD" w14:textId="77777777" w:rsidR="003F11FE" w:rsidRDefault="003F11FE" w:rsidP="006F1659">
      <w:pPr>
        <w:spacing w:line="360" w:lineRule="auto"/>
        <w:rPr>
          <w:rFonts w:ascii="Arial" w:hAnsi="Arial" w:cs="Arial"/>
          <w:b/>
        </w:rPr>
      </w:pPr>
    </w:p>
    <w:p w14:paraId="2BBFE715" w14:textId="77777777" w:rsidR="003F11FE" w:rsidRPr="00647034" w:rsidRDefault="003F11FE" w:rsidP="006F1659">
      <w:pPr>
        <w:spacing w:line="360" w:lineRule="auto"/>
        <w:rPr>
          <w:rFonts w:ascii="Arial" w:hAnsi="Arial" w:cs="Arial"/>
          <w:b/>
        </w:rPr>
      </w:pPr>
    </w:p>
    <w:p w14:paraId="1736D196" w14:textId="77777777" w:rsidR="00795BE0" w:rsidRPr="0007572B" w:rsidRDefault="00795BE0" w:rsidP="006F1659">
      <w:pPr>
        <w:pStyle w:val="Heading3greennumbered"/>
        <w:spacing w:line="360" w:lineRule="auto"/>
      </w:pPr>
      <w:bookmarkStart w:id="278" w:name="_Toc92894935"/>
      <w:bookmarkStart w:id="279" w:name="_Toc92895239"/>
      <w:bookmarkStart w:id="280" w:name="_Toc109922673"/>
      <w:r w:rsidRPr="0007572B">
        <w:t>42 Group Financing and Investment Expenditure and Income</w:t>
      </w:r>
      <w:bookmarkEnd w:id="278"/>
      <w:bookmarkEnd w:id="279"/>
      <w:bookmarkEnd w:id="280"/>
    </w:p>
    <w:p w14:paraId="2D13314C" w14:textId="77777777" w:rsidR="00795BE0" w:rsidRDefault="00795BE0" w:rsidP="006F1659">
      <w:pPr>
        <w:spacing w:line="360" w:lineRule="auto"/>
        <w:rPr>
          <w:rFonts w:ascii="Arial" w:hAnsi="Arial" w:cs="Arial"/>
        </w:rPr>
      </w:pPr>
    </w:p>
    <w:p w14:paraId="709B02FE" w14:textId="5D33BB66" w:rsidR="00ED2302" w:rsidRDefault="006D33C5" w:rsidP="006F1659">
      <w:pPr>
        <w:spacing w:line="360" w:lineRule="auto"/>
        <w:rPr>
          <w:rFonts w:ascii="Arial" w:hAnsi="Arial" w:cs="Arial"/>
          <w:b/>
          <w:szCs w:val="28"/>
        </w:rPr>
      </w:pPr>
      <w:r w:rsidRPr="006D33C5">
        <w:rPr>
          <w:noProof/>
        </w:rPr>
        <w:drawing>
          <wp:inline distT="0" distB="0" distL="0" distR="0" wp14:anchorId="63629075" wp14:editId="53497B7E">
            <wp:extent cx="4921250" cy="1174750"/>
            <wp:effectExtent l="0" t="0" r="0" b="6350"/>
            <wp:docPr id="1863589847"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589847" name="Picture 33">
                      <a:extLst>
                        <a:ext uri="{C183D7F6-B498-43B3-948B-1728B52AA6E4}">
                          <adec:decorative xmlns:adec="http://schemas.microsoft.com/office/drawing/2017/decorative" val="1"/>
                        </a:ext>
                      </a:extLst>
                    </pic:cNvPr>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921250" cy="1174750"/>
                    </a:xfrm>
                    <a:prstGeom prst="rect">
                      <a:avLst/>
                    </a:prstGeom>
                    <a:noFill/>
                    <a:ln>
                      <a:noFill/>
                    </a:ln>
                  </pic:spPr>
                </pic:pic>
              </a:graphicData>
            </a:graphic>
          </wp:inline>
        </w:drawing>
      </w:r>
    </w:p>
    <w:p w14:paraId="630DA131" w14:textId="77777777" w:rsidR="006D33C5" w:rsidRDefault="006D33C5" w:rsidP="006F1659">
      <w:pPr>
        <w:spacing w:line="360" w:lineRule="auto"/>
        <w:rPr>
          <w:rFonts w:ascii="Arial" w:hAnsi="Arial" w:cs="Arial"/>
          <w:b/>
          <w:szCs w:val="28"/>
        </w:rPr>
      </w:pPr>
    </w:p>
    <w:p w14:paraId="0563997A" w14:textId="3FDF53A0" w:rsidR="00ED2302" w:rsidRDefault="006D33C5" w:rsidP="006F1659">
      <w:pPr>
        <w:spacing w:line="360" w:lineRule="auto"/>
        <w:rPr>
          <w:rFonts w:ascii="Arial" w:hAnsi="Arial" w:cs="Arial"/>
          <w:b/>
          <w:szCs w:val="28"/>
        </w:rPr>
      </w:pPr>
      <w:r w:rsidRPr="006D33C5">
        <w:rPr>
          <w:noProof/>
        </w:rPr>
        <w:drawing>
          <wp:inline distT="0" distB="0" distL="0" distR="0" wp14:anchorId="3680FD1D" wp14:editId="629B063D">
            <wp:extent cx="4921250" cy="1079500"/>
            <wp:effectExtent l="0" t="0" r="0" b="6350"/>
            <wp:docPr id="1498112003"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112003" name="Picture 34">
                      <a:extLst>
                        <a:ext uri="{C183D7F6-B498-43B3-948B-1728B52AA6E4}">
                          <adec:decorative xmlns:adec="http://schemas.microsoft.com/office/drawing/2017/decorative" val="1"/>
                        </a:ext>
                      </a:extLst>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4921250" cy="1079500"/>
                    </a:xfrm>
                    <a:prstGeom prst="rect">
                      <a:avLst/>
                    </a:prstGeom>
                    <a:noFill/>
                    <a:ln>
                      <a:noFill/>
                    </a:ln>
                  </pic:spPr>
                </pic:pic>
              </a:graphicData>
            </a:graphic>
          </wp:inline>
        </w:drawing>
      </w:r>
    </w:p>
    <w:p w14:paraId="78E68311" w14:textId="7328D999" w:rsidR="00ED2302" w:rsidRPr="0007572B" w:rsidRDefault="00ED2302" w:rsidP="006F1659">
      <w:pPr>
        <w:spacing w:line="360" w:lineRule="auto"/>
        <w:rPr>
          <w:rFonts w:ascii="Arial" w:hAnsi="Arial" w:cs="Arial"/>
          <w:b/>
          <w:szCs w:val="28"/>
        </w:rPr>
      </w:pPr>
    </w:p>
    <w:p w14:paraId="223E72DF" w14:textId="50C98869" w:rsidR="00F65B75" w:rsidRDefault="00F65B75" w:rsidP="006F1659">
      <w:pPr>
        <w:spacing w:line="360" w:lineRule="auto"/>
        <w:rPr>
          <w:rFonts w:ascii="Arial" w:hAnsi="Arial" w:cs="Arial"/>
          <w:b/>
          <w:szCs w:val="28"/>
        </w:rPr>
      </w:pPr>
    </w:p>
    <w:p w14:paraId="1065CD37" w14:textId="77777777" w:rsidR="003F11FE" w:rsidRDefault="003F11FE">
      <w:pPr>
        <w:rPr>
          <w:rFonts w:ascii="Arial" w:eastAsia="Palatino Linotype" w:hAnsi="Arial" w:cs="Arial"/>
          <w:b/>
          <w:bCs/>
          <w:szCs w:val="28"/>
          <w:lang w:val="en-US"/>
        </w:rPr>
      </w:pPr>
      <w:bookmarkStart w:id="281" w:name="_Toc92894936"/>
      <w:bookmarkStart w:id="282" w:name="_Toc92895240"/>
      <w:bookmarkStart w:id="283" w:name="_Toc109922674"/>
      <w:r>
        <w:br w:type="page"/>
      </w:r>
    </w:p>
    <w:p w14:paraId="061336D7" w14:textId="0EE20851" w:rsidR="00795BE0" w:rsidRPr="00C10207" w:rsidRDefault="00795BE0" w:rsidP="006F1659">
      <w:pPr>
        <w:pStyle w:val="Heading3greennumbered"/>
        <w:spacing w:line="360" w:lineRule="auto"/>
      </w:pPr>
      <w:r w:rsidRPr="0007572B">
        <w:lastRenderedPageBreak/>
        <w:t>43 Group Taxation and Non-Specific Grant Income</w:t>
      </w:r>
      <w:bookmarkEnd w:id="281"/>
      <w:bookmarkEnd w:id="282"/>
      <w:bookmarkEnd w:id="283"/>
    </w:p>
    <w:p w14:paraId="15818C71" w14:textId="77777777" w:rsidR="00ED2302" w:rsidRDefault="00ED2302" w:rsidP="006F1659">
      <w:pPr>
        <w:spacing w:line="360" w:lineRule="auto"/>
        <w:rPr>
          <w:rFonts w:ascii="Arial" w:hAnsi="Arial" w:cs="Arial"/>
          <w:b/>
        </w:rPr>
      </w:pPr>
    </w:p>
    <w:p w14:paraId="6AD16C87" w14:textId="7277624A" w:rsidR="00795BE0" w:rsidRPr="0007572B" w:rsidRDefault="00ED2302" w:rsidP="006F1659">
      <w:pPr>
        <w:spacing w:line="360" w:lineRule="auto"/>
        <w:rPr>
          <w:rFonts w:ascii="Arial" w:hAnsi="Arial" w:cs="Arial"/>
          <w:b/>
          <w:sz w:val="22"/>
          <w:szCs w:val="22"/>
        </w:rPr>
      </w:pPr>
      <w:r w:rsidRPr="00ED2302">
        <w:rPr>
          <w:noProof/>
        </w:rPr>
        <w:drawing>
          <wp:inline distT="0" distB="0" distL="0" distR="0" wp14:anchorId="65D1FC97" wp14:editId="451370FB">
            <wp:extent cx="5103085" cy="4960129"/>
            <wp:effectExtent l="0" t="0" r="2540" b="0"/>
            <wp:docPr id="822202423"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202423" name="Picture 5">
                      <a:extLst>
                        <a:ext uri="{C183D7F6-B498-43B3-948B-1728B52AA6E4}">
                          <adec:decorative xmlns:adec="http://schemas.microsoft.com/office/drawing/2017/decorative" val="1"/>
                        </a:ext>
                      </a:extLst>
                    </pic:cNvPr>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5109349" cy="4966218"/>
                    </a:xfrm>
                    <a:prstGeom prst="rect">
                      <a:avLst/>
                    </a:prstGeom>
                    <a:noFill/>
                    <a:ln>
                      <a:noFill/>
                    </a:ln>
                  </pic:spPr>
                </pic:pic>
              </a:graphicData>
            </a:graphic>
          </wp:inline>
        </w:drawing>
      </w:r>
      <w:r w:rsidR="00795BE0" w:rsidRPr="0007572B">
        <w:rPr>
          <w:rFonts w:ascii="Arial" w:hAnsi="Arial" w:cs="Arial"/>
          <w:b/>
          <w:sz w:val="22"/>
          <w:szCs w:val="22"/>
        </w:rPr>
        <w:br w:type="page"/>
      </w:r>
    </w:p>
    <w:p w14:paraId="7F3D5766" w14:textId="77777777" w:rsidR="00795BE0" w:rsidRPr="0007572B" w:rsidRDefault="00795BE0" w:rsidP="006F1659">
      <w:pPr>
        <w:pStyle w:val="Heading3greennumbered"/>
        <w:spacing w:line="360" w:lineRule="auto"/>
      </w:pPr>
      <w:bookmarkStart w:id="284" w:name="_Toc92894937"/>
      <w:bookmarkStart w:id="285" w:name="_Toc92895241"/>
      <w:bookmarkStart w:id="286" w:name="_Toc109922675"/>
      <w:r w:rsidRPr="0007572B">
        <w:lastRenderedPageBreak/>
        <w:t>44 Group External Audit Fees</w:t>
      </w:r>
      <w:bookmarkEnd w:id="284"/>
      <w:bookmarkEnd w:id="285"/>
      <w:bookmarkEnd w:id="286"/>
    </w:p>
    <w:p w14:paraId="6F4ED4AB" w14:textId="77777777" w:rsidR="00795BE0" w:rsidRDefault="00795BE0" w:rsidP="006F1659">
      <w:pPr>
        <w:spacing w:line="360" w:lineRule="auto"/>
        <w:rPr>
          <w:rFonts w:ascii="Arial" w:hAnsi="Arial" w:cs="Arial"/>
        </w:rPr>
      </w:pPr>
    </w:p>
    <w:p w14:paraId="3E41A4A0" w14:textId="633EE7CC" w:rsidR="00795BE0" w:rsidRDefault="00795BE0" w:rsidP="006F1659">
      <w:pPr>
        <w:spacing w:line="360" w:lineRule="auto"/>
        <w:rPr>
          <w:rFonts w:ascii="Arial" w:hAnsi="Arial" w:cs="Arial"/>
        </w:rPr>
      </w:pPr>
      <w:r w:rsidRPr="0007572B">
        <w:rPr>
          <w:rFonts w:ascii="Arial" w:hAnsi="Arial" w:cs="Arial"/>
        </w:rPr>
        <w:t>The Group has incurred the following External Audit costs in relation to the audit of the Statement of Accounts.</w:t>
      </w:r>
    </w:p>
    <w:p w14:paraId="4BB451FD" w14:textId="77777777" w:rsidR="00ED2302" w:rsidRPr="0007572B" w:rsidRDefault="00ED2302" w:rsidP="006F1659">
      <w:pPr>
        <w:spacing w:line="360" w:lineRule="auto"/>
        <w:rPr>
          <w:rFonts w:ascii="Arial" w:hAnsi="Arial" w:cs="Arial"/>
        </w:rPr>
      </w:pPr>
    </w:p>
    <w:p w14:paraId="25B6F413" w14:textId="1687B598" w:rsidR="00795BE0" w:rsidRDefault="00ED2302" w:rsidP="006F1659">
      <w:pPr>
        <w:spacing w:line="360" w:lineRule="auto"/>
        <w:jc w:val="both"/>
        <w:rPr>
          <w:rFonts w:ascii="Arial" w:hAnsi="Arial" w:cs="Arial"/>
          <w:b/>
        </w:rPr>
      </w:pPr>
      <w:r w:rsidRPr="00ED2302">
        <w:rPr>
          <w:noProof/>
        </w:rPr>
        <w:drawing>
          <wp:inline distT="0" distB="0" distL="0" distR="0" wp14:anchorId="3BF50622" wp14:editId="082374EE">
            <wp:extent cx="5330825" cy="690245"/>
            <wp:effectExtent l="0" t="0" r="3175" b="0"/>
            <wp:docPr id="917903586"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903586" name="Picture 7">
                      <a:extLst>
                        <a:ext uri="{C183D7F6-B498-43B3-948B-1728B52AA6E4}">
                          <adec:decorative xmlns:adec="http://schemas.microsoft.com/office/drawing/2017/decorative" val="1"/>
                        </a:ext>
                      </a:extLst>
                    </pic:cNvPr>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5330825" cy="690245"/>
                    </a:xfrm>
                    <a:prstGeom prst="rect">
                      <a:avLst/>
                    </a:prstGeom>
                    <a:noFill/>
                    <a:ln>
                      <a:noFill/>
                    </a:ln>
                  </pic:spPr>
                </pic:pic>
              </a:graphicData>
            </a:graphic>
          </wp:inline>
        </w:drawing>
      </w:r>
    </w:p>
    <w:p w14:paraId="19B3F01F" w14:textId="77777777" w:rsidR="00ED2302" w:rsidRPr="0007572B" w:rsidRDefault="00ED2302" w:rsidP="006F1659">
      <w:pPr>
        <w:spacing w:line="360" w:lineRule="auto"/>
        <w:jc w:val="both"/>
        <w:rPr>
          <w:rFonts w:ascii="Arial" w:hAnsi="Arial" w:cs="Arial"/>
          <w:b/>
        </w:rPr>
      </w:pPr>
    </w:p>
    <w:p w14:paraId="76BE48E0" w14:textId="77777777" w:rsidR="00795BE0" w:rsidRPr="007A6E96" w:rsidRDefault="00795BE0" w:rsidP="006F1659">
      <w:pPr>
        <w:pStyle w:val="Heading3greennumbered"/>
        <w:spacing w:line="360" w:lineRule="auto"/>
      </w:pPr>
      <w:bookmarkStart w:id="287" w:name="_Toc92894938"/>
      <w:bookmarkStart w:id="288" w:name="_Toc92895242"/>
      <w:bookmarkStart w:id="289" w:name="_Toc109922676"/>
      <w:r w:rsidRPr="007A6E96">
        <w:t>45 Group Officer Remuneration</w:t>
      </w:r>
      <w:bookmarkEnd w:id="287"/>
      <w:bookmarkEnd w:id="288"/>
      <w:bookmarkEnd w:id="289"/>
    </w:p>
    <w:p w14:paraId="7CFEC09E" w14:textId="77777777" w:rsidR="00795BE0" w:rsidRDefault="00795BE0" w:rsidP="006F1659">
      <w:pPr>
        <w:spacing w:line="360" w:lineRule="auto"/>
        <w:rPr>
          <w:rFonts w:ascii="Arial" w:hAnsi="Arial" w:cs="Arial"/>
          <w:b/>
        </w:rPr>
      </w:pPr>
    </w:p>
    <w:p w14:paraId="5430685B" w14:textId="77777777" w:rsidR="00795BE0" w:rsidRPr="0007572B" w:rsidRDefault="00795BE0" w:rsidP="006F1659">
      <w:pPr>
        <w:pStyle w:val="Heading4bold"/>
        <w:spacing w:line="360" w:lineRule="auto"/>
      </w:pPr>
      <w:r w:rsidRPr="0007572B">
        <w:t>Officers Remuneration above £50,000</w:t>
      </w:r>
    </w:p>
    <w:p w14:paraId="27F29E6D" w14:textId="77777777" w:rsidR="00795BE0" w:rsidRDefault="00795BE0" w:rsidP="006F1659">
      <w:pPr>
        <w:spacing w:line="360" w:lineRule="auto"/>
        <w:rPr>
          <w:rFonts w:ascii="Arial" w:hAnsi="Arial" w:cs="Arial"/>
          <w:bCs/>
        </w:rPr>
      </w:pPr>
      <w:r w:rsidRPr="0007572B">
        <w:rPr>
          <w:rFonts w:ascii="Arial" w:hAnsi="Arial" w:cs="Arial"/>
        </w:rPr>
        <w:t>The number of employees (including senior officer) receiving more than £50,000 remuneration for the year (excluding employer's pension contributions) were as follows</w:t>
      </w:r>
      <w:r w:rsidR="00ED2302">
        <w:rPr>
          <w:rFonts w:ascii="Arial" w:hAnsi="Arial" w:cs="Arial"/>
          <w:bCs/>
        </w:rPr>
        <w:t>:</w:t>
      </w:r>
    </w:p>
    <w:p w14:paraId="23522F5A" w14:textId="77777777" w:rsidR="00ED2302" w:rsidRDefault="00ED2302" w:rsidP="006F1659">
      <w:pPr>
        <w:spacing w:line="360" w:lineRule="auto"/>
        <w:rPr>
          <w:rFonts w:ascii="Arial" w:hAnsi="Arial" w:cs="Arial"/>
          <w:bCs/>
        </w:rPr>
      </w:pPr>
    </w:p>
    <w:p w14:paraId="7B882BCB" w14:textId="5EA54921" w:rsidR="00ED2302" w:rsidRPr="00ED2302" w:rsidRDefault="006D33C5" w:rsidP="006F1659">
      <w:pPr>
        <w:spacing w:line="360" w:lineRule="auto"/>
        <w:rPr>
          <w:rFonts w:ascii="Arial" w:hAnsi="Arial" w:cs="Arial"/>
          <w:bCs/>
        </w:rPr>
        <w:sectPr w:rsidR="00ED2302" w:rsidRPr="00ED2302" w:rsidSect="004833A2">
          <w:pgSz w:w="11906" w:h="16838"/>
          <w:pgMar w:top="946" w:right="1416" w:bottom="1440" w:left="1080" w:header="283" w:footer="567" w:gutter="0"/>
          <w:cols w:space="708"/>
          <w:docGrid w:linePitch="360"/>
        </w:sectPr>
      </w:pPr>
      <w:r w:rsidRPr="006D33C5">
        <w:rPr>
          <w:noProof/>
        </w:rPr>
        <w:drawing>
          <wp:inline distT="0" distB="0" distL="0" distR="0" wp14:anchorId="2969BAB0" wp14:editId="15E22FB8">
            <wp:extent cx="5975350" cy="4403725"/>
            <wp:effectExtent l="0" t="0" r="6350" b="0"/>
            <wp:docPr id="439182961"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182961" name="Picture 35">
                      <a:extLst>
                        <a:ext uri="{C183D7F6-B498-43B3-948B-1728B52AA6E4}">
                          <adec:decorative xmlns:adec="http://schemas.microsoft.com/office/drawing/2017/decorative" val="1"/>
                        </a:ext>
                      </a:extLst>
                    </pic:cNvPr>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975350" cy="4403725"/>
                    </a:xfrm>
                    <a:prstGeom prst="rect">
                      <a:avLst/>
                    </a:prstGeom>
                    <a:noFill/>
                    <a:ln>
                      <a:noFill/>
                    </a:ln>
                  </pic:spPr>
                </pic:pic>
              </a:graphicData>
            </a:graphic>
          </wp:inline>
        </w:drawing>
      </w:r>
    </w:p>
    <w:p w14:paraId="07569475" w14:textId="77777777" w:rsidR="00795BE0" w:rsidRPr="0007572B" w:rsidRDefault="00795BE0" w:rsidP="006F1659">
      <w:pPr>
        <w:pStyle w:val="Heading4bold"/>
        <w:spacing w:line="360" w:lineRule="auto"/>
      </w:pPr>
      <w:r w:rsidRPr="0007572B">
        <w:lastRenderedPageBreak/>
        <w:t>Senior Officers Remuneration</w:t>
      </w:r>
    </w:p>
    <w:p w14:paraId="73A92859" w14:textId="1BEA6915" w:rsidR="00731725" w:rsidRPr="0007572B" w:rsidRDefault="00795BE0" w:rsidP="006F1659">
      <w:pPr>
        <w:spacing w:line="360" w:lineRule="auto"/>
        <w:rPr>
          <w:rFonts w:ascii="Arial" w:hAnsi="Arial" w:cs="Arial"/>
          <w:sz w:val="28"/>
          <w:szCs w:val="28"/>
        </w:rPr>
      </w:pPr>
      <w:r w:rsidRPr="0007572B">
        <w:rPr>
          <w:rFonts w:ascii="Arial" w:hAnsi="Arial" w:cs="Arial"/>
        </w:rPr>
        <w:t>Employees are classed as senior officer employees when they received a salary in excess of £150,000 (disclosed by name) or received a salary in excess of £50,000 and reported to a Head of Paid Service for any of the group entities. In addition the salaries for the Mayor, Deputy Mayor for Police and Crime and the Director of the Mayor’s Office are disclosed.</w:t>
      </w:r>
      <w:r w:rsidRPr="0007572B">
        <w:rPr>
          <w:rFonts w:ascii="Arial" w:hAnsi="Arial" w:cs="Arial"/>
          <w:sz w:val="28"/>
          <w:szCs w:val="28"/>
        </w:rPr>
        <w:t xml:space="preserve"> </w:t>
      </w:r>
    </w:p>
    <w:p w14:paraId="45176653" w14:textId="6B8372A1" w:rsidR="004833A2" w:rsidRDefault="00FE2D37" w:rsidP="006F1659">
      <w:pPr>
        <w:spacing w:line="360" w:lineRule="auto"/>
        <w:rPr>
          <w:rFonts w:ascii="Arial" w:hAnsi="Arial" w:cs="Arial"/>
          <w:b/>
          <w:sz w:val="22"/>
          <w:szCs w:val="22"/>
        </w:rPr>
      </w:pPr>
      <w:r w:rsidRPr="00FE2D37">
        <w:rPr>
          <w:noProof/>
        </w:rPr>
        <w:drawing>
          <wp:inline distT="0" distB="0" distL="0" distR="0" wp14:anchorId="35702838" wp14:editId="214D53DA">
            <wp:extent cx="9177020" cy="3345815"/>
            <wp:effectExtent l="0" t="0" r="5080" b="6985"/>
            <wp:docPr id="167661718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617187" name="Picture 9">
                      <a:extLst>
                        <a:ext uri="{C183D7F6-B498-43B3-948B-1728B52AA6E4}">
                          <adec:decorative xmlns:adec="http://schemas.microsoft.com/office/drawing/2017/decorative" val="1"/>
                        </a:ext>
                      </a:extLst>
                    </pic:cNvPr>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9177020" cy="3345815"/>
                    </a:xfrm>
                    <a:prstGeom prst="rect">
                      <a:avLst/>
                    </a:prstGeom>
                    <a:noFill/>
                    <a:ln>
                      <a:noFill/>
                    </a:ln>
                  </pic:spPr>
                </pic:pic>
              </a:graphicData>
            </a:graphic>
          </wp:inline>
        </w:drawing>
      </w:r>
    </w:p>
    <w:p w14:paraId="35D7F04D" w14:textId="77777777" w:rsidR="00FE2D37" w:rsidRDefault="00FE2D37" w:rsidP="006F1659">
      <w:pPr>
        <w:spacing w:line="360" w:lineRule="auto"/>
        <w:rPr>
          <w:rFonts w:ascii="Arial" w:hAnsi="Arial" w:cs="Arial"/>
          <w:b/>
          <w:sz w:val="22"/>
          <w:szCs w:val="22"/>
        </w:rPr>
      </w:pPr>
    </w:p>
    <w:p w14:paraId="5E919ED7" w14:textId="77777777" w:rsidR="00FE2D37" w:rsidRPr="00FE2D37" w:rsidRDefault="00FE2D37" w:rsidP="00FE2D37">
      <w:pPr>
        <w:spacing w:line="360" w:lineRule="auto"/>
        <w:rPr>
          <w:rFonts w:ascii="Arial" w:hAnsi="Arial" w:cs="Arial"/>
          <w:bCs/>
          <w:sz w:val="22"/>
          <w:szCs w:val="22"/>
        </w:rPr>
      </w:pPr>
      <w:r w:rsidRPr="00FE2D37">
        <w:rPr>
          <w:rFonts w:ascii="Arial" w:hAnsi="Arial" w:cs="Arial"/>
          <w:bCs/>
          <w:sz w:val="22"/>
          <w:szCs w:val="22"/>
        </w:rPr>
        <w:t>A</w:t>
      </w:r>
      <w:r w:rsidRPr="00FE2D37">
        <w:rPr>
          <w:rFonts w:ascii="Arial" w:hAnsi="Arial" w:cs="Arial"/>
          <w:bCs/>
          <w:sz w:val="22"/>
          <w:szCs w:val="22"/>
        </w:rPr>
        <w:tab/>
        <w:t>Post holder commenced 9th January 2023. (2022/23: FTE salary £89,900)</w:t>
      </w:r>
    </w:p>
    <w:p w14:paraId="13878FB3" w14:textId="77777777" w:rsidR="00FE2D37" w:rsidRPr="00FE2D37" w:rsidRDefault="00FE2D37" w:rsidP="00FE2D37">
      <w:pPr>
        <w:spacing w:line="360" w:lineRule="auto"/>
        <w:rPr>
          <w:rFonts w:ascii="Arial" w:hAnsi="Arial" w:cs="Arial"/>
          <w:bCs/>
          <w:sz w:val="22"/>
          <w:szCs w:val="22"/>
        </w:rPr>
      </w:pPr>
      <w:r w:rsidRPr="00FE2D37">
        <w:rPr>
          <w:rFonts w:ascii="Arial" w:hAnsi="Arial" w:cs="Arial"/>
          <w:bCs/>
          <w:sz w:val="22"/>
          <w:szCs w:val="22"/>
        </w:rPr>
        <w:t>B</w:t>
      </w:r>
      <w:r w:rsidRPr="00FE2D37">
        <w:rPr>
          <w:rFonts w:ascii="Arial" w:hAnsi="Arial" w:cs="Arial"/>
          <w:bCs/>
          <w:sz w:val="22"/>
          <w:szCs w:val="22"/>
        </w:rPr>
        <w:tab/>
        <w:t>Post holder left 8th January 2023.</w:t>
      </w:r>
    </w:p>
    <w:p w14:paraId="52A08797" w14:textId="1DE78034" w:rsidR="00FE2D37" w:rsidRPr="00FE2D37" w:rsidRDefault="00FE2D37" w:rsidP="00FE2D37">
      <w:pPr>
        <w:spacing w:line="360" w:lineRule="auto"/>
        <w:ind w:left="720" w:hanging="720"/>
        <w:rPr>
          <w:rFonts w:ascii="Arial" w:hAnsi="Arial" w:cs="Arial"/>
          <w:bCs/>
          <w:sz w:val="22"/>
          <w:szCs w:val="22"/>
        </w:rPr>
      </w:pPr>
      <w:r w:rsidRPr="00FE2D37">
        <w:rPr>
          <w:rFonts w:ascii="Arial" w:hAnsi="Arial" w:cs="Arial"/>
          <w:bCs/>
          <w:sz w:val="22"/>
          <w:szCs w:val="22"/>
        </w:rPr>
        <w:t>C</w:t>
      </w:r>
      <w:r w:rsidRPr="00FE2D37">
        <w:rPr>
          <w:rFonts w:ascii="Arial" w:hAnsi="Arial" w:cs="Arial"/>
          <w:bCs/>
          <w:sz w:val="22"/>
          <w:szCs w:val="22"/>
        </w:rPr>
        <w:tab/>
        <w:t>The GMCA received a contribution of £115,682.88 in 2023/24 (50% of Basic Pay and Employers NI ) for the Chief Executive also performing</w:t>
      </w:r>
      <w:r>
        <w:rPr>
          <w:rFonts w:ascii="Arial" w:hAnsi="Arial" w:cs="Arial"/>
          <w:bCs/>
          <w:sz w:val="22"/>
          <w:szCs w:val="22"/>
        </w:rPr>
        <w:t xml:space="preserve"> </w:t>
      </w:r>
      <w:r w:rsidRPr="00FE2D37">
        <w:rPr>
          <w:rFonts w:ascii="Arial" w:hAnsi="Arial" w:cs="Arial"/>
          <w:bCs/>
          <w:sz w:val="22"/>
          <w:szCs w:val="22"/>
        </w:rPr>
        <w:t xml:space="preserve">the duties of Chief Executive at Transport for Greater Manchester ( £114,720 in FY 22/23). </w:t>
      </w:r>
    </w:p>
    <w:p w14:paraId="737E8338" w14:textId="77777777" w:rsidR="00FE2D37" w:rsidRPr="00FE2D37" w:rsidRDefault="00FE2D37" w:rsidP="00FE2D37">
      <w:pPr>
        <w:spacing w:line="360" w:lineRule="auto"/>
        <w:rPr>
          <w:rFonts w:ascii="Arial" w:hAnsi="Arial" w:cs="Arial"/>
          <w:bCs/>
          <w:sz w:val="22"/>
          <w:szCs w:val="22"/>
        </w:rPr>
      </w:pPr>
      <w:r w:rsidRPr="00FE2D37">
        <w:rPr>
          <w:rFonts w:ascii="Arial" w:hAnsi="Arial" w:cs="Arial"/>
          <w:bCs/>
          <w:sz w:val="22"/>
          <w:szCs w:val="22"/>
        </w:rPr>
        <w:t>D</w:t>
      </w:r>
      <w:r w:rsidRPr="00FE2D37">
        <w:rPr>
          <w:rFonts w:ascii="Arial" w:hAnsi="Arial" w:cs="Arial"/>
          <w:bCs/>
          <w:sz w:val="22"/>
          <w:szCs w:val="22"/>
        </w:rPr>
        <w:tab/>
        <w:t xml:space="preserve">Post holder left post 31th July 2022 </w:t>
      </w:r>
    </w:p>
    <w:p w14:paraId="577CF39A" w14:textId="77777777" w:rsidR="00FE2D37" w:rsidRPr="00FE2D37" w:rsidRDefault="00FE2D37" w:rsidP="00FE2D37">
      <w:pPr>
        <w:spacing w:line="360" w:lineRule="auto"/>
        <w:rPr>
          <w:rFonts w:ascii="Arial" w:hAnsi="Arial" w:cs="Arial"/>
          <w:bCs/>
          <w:sz w:val="22"/>
          <w:szCs w:val="22"/>
        </w:rPr>
      </w:pPr>
      <w:r w:rsidRPr="00FE2D37">
        <w:rPr>
          <w:rFonts w:ascii="Arial" w:hAnsi="Arial" w:cs="Arial"/>
          <w:bCs/>
          <w:sz w:val="22"/>
          <w:szCs w:val="22"/>
        </w:rPr>
        <w:lastRenderedPageBreak/>
        <w:t>E</w:t>
      </w:r>
      <w:r w:rsidRPr="00FE2D37">
        <w:rPr>
          <w:rFonts w:ascii="Arial" w:hAnsi="Arial" w:cs="Arial"/>
          <w:bCs/>
          <w:sz w:val="22"/>
          <w:szCs w:val="22"/>
        </w:rPr>
        <w:tab/>
        <w:t>Post holder commenced 26th September 2022. (2023/24: FTE salary £136,542.36)</w:t>
      </w:r>
    </w:p>
    <w:p w14:paraId="6F9A4950" w14:textId="77777777" w:rsidR="00FE2D37" w:rsidRPr="00FE2D37" w:rsidRDefault="00FE2D37" w:rsidP="00FE2D37">
      <w:pPr>
        <w:spacing w:line="360" w:lineRule="auto"/>
        <w:rPr>
          <w:rFonts w:ascii="Arial" w:hAnsi="Arial" w:cs="Arial"/>
          <w:bCs/>
          <w:sz w:val="22"/>
          <w:szCs w:val="22"/>
        </w:rPr>
      </w:pPr>
      <w:r w:rsidRPr="00FE2D37">
        <w:rPr>
          <w:rFonts w:ascii="Arial" w:hAnsi="Arial" w:cs="Arial"/>
          <w:bCs/>
          <w:sz w:val="22"/>
          <w:szCs w:val="22"/>
        </w:rPr>
        <w:t>F</w:t>
      </w:r>
      <w:r w:rsidRPr="00FE2D37">
        <w:rPr>
          <w:rFonts w:ascii="Arial" w:hAnsi="Arial" w:cs="Arial"/>
          <w:bCs/>
          <w:sz w:val="22"/>
          <w:szCs w:val="22"/>
        </w:rPr>
        <w:tab/>
        <w:t>Post holder left 31 December 2023, received £219,858 in compensation for loss of office</w:t>
      </w:r>
    </w:p>
    <w:p w14:paraId="0CFB7142" w14:textId="77777777" w:rsidR="00FE2D37" w:rsidRPr="00FE2D37" w:rsidRDefault="00FE2D37" w:rsidP="00FE2D37">
      <w:pPr>
        <w:spacing w:line="360" w:lineRule="auto"/>
        <w:rPr>
          <w:rFonts w:ascii="Arial" w:hAnsi="Arial" w:cs="Arial"/>
          <w:bCs/>
          <w:sz w:val="22"/>
          <w:szCs w:val="22"/>
        </w:rPr>
      </w:pPr>
      <w:r w:rsidRPr="00FE2D37">
        <w:rPr>
          <w:rFonts w:ascii="Arial" w:hAnsi="Arial" w:cs="Arial"/>
          <w:bCs/>
          <w:sz w:val="22"/>
          <w:szCs w:val="22"/>
        </w:rPr>
        <w:t>G</w:t>
      </w:r>
      <w:r w:rsidRPr="00FE2D37">
        <w:rPr>
          <w:rFonts w:ascii="Arial" w:hAnsi="Arial" w:cs="Arial"/>
          <w:bCs/>
          <w:sz w:val="22"/>
          <w:szCs w:val="22"/>
        </w:rPr>
        <w:tab/>
        <w:t>Acting Assistant Chief Constable appointed in December 2021. Retired in October 2022</w:t>
      </w:r>
    </w:p>
    <w:p w14:paraId="2534B9BC" w14:textId="77777777" w:rsidR="00FE2D37" w:rsidRPr="00FE2D37" w:rsidRDefault="00FE2D37" w:rsidP="00FE2D37">
      <w:pPr>
        <w:spacing w:line="360" w:lineRule="auto"/>
        <w:rPr>
          <w:rFonts w:ascii="Arial" w:hAnsi="Arial" w:cs="Arial"/>
          <w:bCs/>
          <w:sz w:val="22"/>
          <w:szCs w:val="22"/>
        </w:rPr>
      </w:pPr>
      <w:r w:rsidRPr="00FE2D37">
        <w:rPr>
          <w:rFonts w:ascii="Arial" w:hAnsi="Arial" w:cs="Arial"/>
          <w:bCs/>
          <w:sz w:val="22"/>
          <w:szCs w:val="22"/>
        </w:rPr>
        <w:t>H</w:t>
      </w:r>
      <w:r w:rsidRPr="00FE2D37">
        <w:rPr>
          <w:rFonts w:ascii="Arial" w:hAnsi="Arial" w:cs="Arial"/>
          <w:bCs/>
          <w:sz w:val="22"/>
          <w:szCs w:val="22"/>
        </w:rPr>
        <w:tab/>
        <w:t>Assistant Chief Constable appointed in April 2023</w:t>
      </w:r>
    </w:p>
    <w:p w14:paraId="72C62315" w14:textId="77777777" w:rsidR="00FE2D37" w:rsidRPr="00FE2D37" w:rsidRDefault="00FE2D37" w:rsidP="00FE2D37">
      <w:pPr>
        <w:spacing w:line="360" w:lineRule="auto"/>
        <w:rPr>
          <w:rFonts w:ascii="Arial" w:hAnsi="Arial" w:cs="Arial"/>
          <w:bCs/>
          <w:sz w:val="22"/>
          <w:szCs w:val="22"/>
        </w:rPr>
      </w:pPr>
      <w:r w:rsidRPr="00FE2D37">
        <w:rPr>
          <w:rFonts w:ascii="Arial" w:hAnsi="Arial" w:cs="Arial"/>
          <w:bCs/>
          <w:sz w:val="22"/>
          <w:szCs w:val="22"/>
        </w:rPr>
        <w:t>I</w:t>
      </w:r>
      <w:r w:rsidRPr="00FE2D37">
        <w:rPr>
          <w:rFonts w:ascii="Arial" w:hAnsi="Arial" w:cs="Arial"/>
          <w:bCs/>
          <w:sz w:val="22"/>
          <w:szCs w:val="22"/>
        </w:rPr>
        <w:tab/>
        <w:t>Assistant Chief Constable left in April 2023</w:t>
      </w:r>
    </w:p>
    <w:p w14:paraId="363CC8E7" w14:textId="77777777" w:rsidR="00FE2D37" w:rsidRPr="00FE2D37" w:rsidRDefault="00FE2D37" w:rsidP="00FE2D37">
      <w:pPr>
        <w:spacing w:line="360" w:lineRule="auto"/>
        <w:rPr>
          <w:rFonts w:ascii="Arial" w:hAnsi="Arial" w:cs="Arial"/>
          <w:bCs/>
          <w:sz w:val="22"/>
          <w:szCs w:val="22"/>
        </w:rPr>
      </w:pPr>
      <w:r w:rsidRPr="00FE2D37">
        <w:rPr>
          <w:rFonts w:ascii="Arial" w:hAnsi="Arial" w:cs="Arial"/>
          <w:bCs/>
          <w:sz w:val="22"/>
          <w:szCs w:val="22"/>
        </w:rPr>
        <w:t>J</w:t>
      </w:r>
      <w:r w:rsidRPr="00FE2D37">
        <w:rPr>
          <w:rFonts w:ascii="Arial" w:hAnsi="Arial" w:cs="Arial"/>
          <w:bCs/>
          <w:sz w:val="22"/>
          <w:szCs w:val="22"/>
        </w:rPr>
        <w:tab/>
        <w:t>Assistant Chief Constable appointed in January 2023</w:t>
      </w:r>
    </w:p>
    <w:p w14:paraId="54F40B87" w14:textId="77777777" w:rsidR="00FE2D37" w:rsidRPr="00FE2D37" w:rsidRDefault="00FE2D37" w:rsidP="00FE2D37">
      <w:pPr>
        <w:spacing w:line="360" w:lineRule="auto"/>
        <w:rPr>
          <w:rFonts w:ascii="Arial" w:hAnsi="Arial" w:cs="Arial"/>
          <w:bCs/>
          <w:sz w:val="22"/>
          <w:szCs w:val="22"/>
        </w:rPr>
      </w:pPr>
      <w:r w:rsidRPr="00FE2D37">
        <w:rPr>
          <w:rFonts w:ascii="Arial" w:hAnsi="Arial" w:cs="Arial"/>
          <w:bCs/>
          <w:sz w:val="22"/>
          <w:szCs w:val="22"/>
        </w:rPr>
        <w:t>K</w:t>
      </w:r>
      <w:r w:rsidRPr="00FE2D37">
        <w:rPr>
          <w:rFonts w:ascii="Arial" w:hAnsi="Arial" w:cs="Arial"/>
          <w:bCs/>
          <w:sz w:val="22"/>
          <w:szCs w:val="22"/>
        </w:rPr>
        <w:tab/>
        <w:t>Assistant Chief Officer and Chief Resources Officer left in November 2022</w:t>
      </w:r>
    </w:p>
    <w:p w14:paraId="316B0A11" w14:textId="77777777" w:rsidR="00FE2D37" w:rsidRPr="00FE2D37" w:rsidRDefault="00FE2D37" w:rsidP="00FE2D37">
      <w:pPr>
        <w:spacing w:line="360" w:lineRule="auto"/>
        <w:rPr>
          <w:rFonts w:ascii="Arial" w:hAnsi="Arial" w:cs="Arial"/>
          <w:bCs/>
          <w:sz w:val="22"/>
          <w:szCs w:val="22"/>
        </w:rPr>
      </w:pPr>
      <w:r w:rsidRPr="00FE2D37">
        <w:rPr>
          <w:rFonts w:ascii="Arial" w:hAnsi="Arial" w:cs="Arial"/>
          <w:bCs/>
          <w:sz w:val="22"/>
          <w:szCs w:val="22"/>
        </w:rPr>
        <w:t>L</w:t>
      </w:r>
      <w:r w:rsidRPr="00FE2D37">
        <w:rPr>
          <w:rFonts w:ascii="Arial" w:hAnsi="Arial" w:cs="Arial"/>
          <w:bCs/>
          <w:sz w:val="22"/>
          <w:szCs w:val="22"/>
        </w:rPr>
        <w:tab/>
        <w:t>Chief Resources Officer appointed in July 2023</w:t>
      </w:r>
    </w:p>
    <w:p w14:paraId="726E07B6" w14:textId="77777777" w:rsidR="00FE2D37" w:rsidRPr="00FE2D37" w:rsidRDefault="00FE2D37" w:rsidP="00FE2D37">
      <w:pPr>
        <w:spacing w:line="360" w:lineRule="auto"/>
        <w:rPr>
          <w:rFonts w:ascii="Arial" w:hAnsi="Arial" w:cs="Arial"/>
          <w:bCs/>
          <w:sz w:val="22"/>
          <w:szCs w:val="22"/>
        </w:rPr>
      </w:pPr>
      <w:r w:rsidRPr="00FE2D37">
        <w:rPr>
          <w:rFonts w:ascii="Arial" w:hAnsi="Arial" w:cs="Arial"/>
          <w:bCs/>
          <w:sz w:val="22"/>
          <w:szCs w:val="22"/>
        </w:rPr>
        <w:t>M</w:t>
      </w:r>
      <w:r w:rsidRPr="00FE2D37">
        <w:rPr>
          <w:rFonts w:ascii="Arial" w:hAnsi="Arial" w:cs="Arial"/>
          <w:bCs/>
          <w:sz w:val="22"/>
          <w:szCs w:val="22"/>
        </w:rPr>
        <w:tab/>
        <w:t>Director of Finance - Assistant Chief Officer appointed Temporary Chief Resources Officer in November 2022</w:t>
      </w:r>
    </w:p>
    <w:p w14:paraId="022AD3A5" w14:textId="77777777" w:rsidR="00FE2D37" w:rsidRPr="00FE2D37" w:rsidRDefault="00FE2D37" w:rsidP="00FE2D37">
      <w:pPr>
        <w:spacing w:line="360" w:lineRule="auto"/>
        <w:rPr>
          <w:rFonts w:ascii="Arial" w:hAnsi="Arial" w:cs="Arial"/>
          <w:bCs/>
          <w:sz w:val="22"/>
          <w:szCs w:val="22"/>
        </w:rPr>
      </w:pPr>
      <w:r w:rsidRPr="00FE2D37">
        <w:rPr>
          <w:rFonts w:ascii="Arial" w:hAnsi="Arial" w:cs="Arial"/>
          <w:bCs/>
          <w:sz w:val="22"/>
          <w:szCs w:val="22"/>
        </w:rPr>
        <w:t>N</w:t>
      </w:r>
      <w:r w:rsidRPr="00FE2D37">
        <w:rPr>
          <w:rFonts w:ascii="Arial" w:hAnsi="Arial" w:cs="Arial"/>
          <w:bCs/>
          <w:sz w:val="22"/>
          <w:szCs w:val="22"/>
        </w:rPr>
        <w:tab/>
        <w:t>Director of IT &amp; Digital - Assistant Chief Officer appointed in December 2022</w:t>
      </w:r>
    </w:p>
    <w:p w14:paraId="5463F741" w14:textId="4006249A" w:rsidR="004833A2" w:rsidRPr="00FE2D37" w:rsidRDefault="00FE2D37" w:rsidP="00FE2D37">
      <w:pPr>
        <w:spacing w:line="360" w:lineRule="auto"/>
        <w:rPr>
          <w:rFonts w:ascii="Arial" w:hAnsi="Arial" w:cs="Arial"/>
          <w:bCs/>
          <w:sz w:val="22"/>
          <w:szCs w:val="22"/>
        </w:rPr>
      </w:pPr>
      <w:r w:rsidRPr="00FE2D37">
        <w:rPr>
          <w:rFonts w:ascii="Arial" w:hAnsi="Arial" w:cs="Arial"/>
          <w:bCs/>
          <w:sz w:val="22"/>
          <w:szCs w:val="22"/>
        </w:rPr>
        <w:t>O</w:t>
      </w:r>
      <w:r w:rsidRPr="00FE2D37">
        <w:rPr>
          <w:rFonts w:ascii="Arial" w:hAnsi="Arial" w:cs="Arial"/>
          <w:bCs/>
          <w:sz w:val="22"/>
          <w:szCs w:val="22"/>
        </w:rPr>
        <w:tab/>
        <w:t>Director of HR Assistant Chief Officer appointed in March 2023</w:t>
      </w:r>
    </w:p>
    <w:p w14:paraId="58ABF64E" w14:textId="2E63D3CF" w:rsidR="004833A2" w:rsidRPr="0007572B" w:rsidRDefault="004833A2" w:rsidP="006F1659">
      <w:pPr>
        <w:spacing w:line="360" w:lineRule="auto"/>
        <w:rPr>
          <w:rFonts w:ascii="Arial" w:hAnsi="Arial" w:cs="Arial"/>
          <w:b/>
          <w:sz w:val="22"/>
          <w:szCs w:val="22"/>
        </w:rPr>
        <w:sectPr w:rsidR="004833A2" w:rsidRPr="0007572B" w:rsidSect="004833A2">
          <w:pgSz w:w="16838" w:h="11906" w:orient="landscape"/>
          <w:pgMar w:top="1080" w:right="946" w:bottom="1416" w:left="1440" w:header="283" w:footer="567" w:gutter="0"/>
          <w:cols w:space="708"/>
          <w:docGrid w:linePitch="360"/>
        </w:sectPr>
      </w:pPr>
    </w:p>
    <w:p w14:paraId="5814F86F" w14:textId="77777777" w:rsidR="00795BE0" w:rsidRPr="0007572B" w:rsidRDefault="00795BE0" w:rsidP="006F1659">
      <w:pPr>
        <w:pStyle w:val="Heading4bold"/>
        <w:spacing w:line="360" w:lineRule="auto"/>
      </w:pPr>
      <w:r w:rsidRPr="0007572B">
        <w:lastRenderedPageBreak/>
        <w:t>Exit Costs</w:t>
      </w:r>
    </w:p>
    <w:p w14:paraId="642CE27A" w14:textId="4E669DD3" w:rsidR="00303094" w:rsidRDefault="00795BE0" w:rsidP="006F1659">
      <w:pPr>
        <w:spacing w:line="360" w:lineRule="auto"/>
        <w:rPr>
          <w:rFonts w:ascii="Arial" w:hAnsi="Arial" w:cs="Arial"/>
        </w:rPr>
      </w:pPr>
      <w:r w:rsidRPr="0007572B">
        <w:rPr>
          <w:rFonts w:ascii="Arial" w:hAnsi="Arial" w:cs="Arial"/>
        </w:rPr>
        <w:t>Exit payments are made as a result of the departure of staff from the Authority. The total cost per band and the total cost of compulsory and other redundancies are set out in the table below:</w:t>
      </w:r>
    </w:p>
    <w:p w14:paraId="05EB0376" w14:textId="77777777" w:rsidR="00303094" w:rsidRDefault="00303094" w:rsidP="006F1659">
      <w:pPr>
        <w:spacing w:line="360" w:lineRule="auto"/>
        <w:rPr>
          <w:rFonts w:ascii="Arial" w:hAnsi="Arial" w:cs="Arial"/>
        </w:rPr>
      </w:pPr>
    </w:p>
    <w:p w14:paraId="1784F369" w14:textId="07F1414F" w:rsidR="00303094" w:rsidRDefault="006D33C5" w:rsidP="006F1659">
      <w:pPr>
        <w:spacing w:line="360" w:lineRule="auto"/>
        <w:rPr>
          <w:rFonts w:ascii="Arial" w:hAnsi="Arial" w:cs="Arial"/>
        </w:rPr>
      </w:pPr>
      <w:r w:rsidRPr="006D33C5">
        <w:rPr>
          <w:noProof/>
        </w:rPr>
        <w:drawing>
          <wp:inline distT="0" distB="0" distL="0" distR="0" wp14:anchorId="01AFAF44" wp14:editId="2E9699E7">
            <wp:extent cx="5975350" cy="1782445"/>
            <wp:effectExtent l="0" t="0" r="6350" b="8255"/>
            <wp:docPr id="1380352161"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352161" name="Picture 36">
                      <a:extLst>
                        <a:ext uri="{C183D7F6-B498-43B3-948B-1728B52AA6E4}">
                          <adec:decorative xmlns:adec="http://schemas.microsoft.com/office/drawing/2017/decorative" val="1"/>
                        </a:ext>
                      </a:extLst>
                    </pic:cNvPr>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975350" cy="1782445"/>
                    </a:xfrm>
                    <a:prstGeom prst="rect">
                      <a:avLst/>
                    </a:prstGeom>
                    <a:noFill/>
                    <a:ln>
                      <a:noFill/>
                    </a:ln>
                  </pic:spPr>
                </pic:pic>
              </a:graphicData>
            </a:graphic>
          </wp:inline>
        </w:drawing>
      </w:r>
    </w:p>
    <w:p w14:paraId="5A272541" w14:textId="77777777" w:rsidR="00303094" w:rsidRPr="00303094" w:rsidRDefault="00303094" w:rsidP="006F1659">
      <w:pPr>
        <w:spacing w:line="360" w:lineRule="auto"/>
        <w:rPr>
          <w:rFonts w:ascii="Arial" w:hAnsi="Arial" w:cs="Arial"/>
        </w:rPr>
      </w:pPr>
    </w:p>
    <w:p w14:paraId="4EDB16E9" w14:textId="29B37219" w:rsidR="00B71273" w:rsidRPr="00303094" w:rsidRDefault="00B71273" w:rsidP="006F1659">
      <w:pPr>
        <w:spacing w:line="360" w:lineRule="auto"/>
        <w:rPr>
          <w:rFonts w:ascii="Arial" w:hAnsi="Arial" w:cs="Arial"/>
        </w:rPr>
      </w:pPr>
      <w:r w:rsidRPr="00303094">
        <w:rPr>
          <w:rFonts w:ascii="Arial" w:hAnsi="Arial" w:cs="Arial"/>
        </w:rPr>
        <w:t xml:space="preserve">GMCA - See Single Entity note 18c for detail on GMCA exit packages. </w:t>
      </w:r>
    </w:p>
    <w:p w14:paraId="7D4EF983" w14:textId="77777777" w:rsidR="00303094" w:rsidRDefault="00303094" w:rsidP="006F1659">
      <w:pPr>
        <w:spacing w:line="360" w:lineRule="auto"/>
        <w:rPr>
          <w:rFonts w:ascii="Arial" w:hAnsi="Arial" w:cs="Arial"/>
          <w:highlight w:val="yellow"/>
        </w:rPr>
      </w:pPr>
    </w:p>
    <w:p w14:paraId="42B45EAB" w14:textId="45511344" w:rsidR="00303094" w:rsidRDefault="00303094" w:rsidP="006F1659">
      <w:pPr>
        <w:spacing w:line="360" w:lineRule="auto"/>
        <w:rPr>
          <w:rFonts w:ascii="Arial" w:hAnsi="Arial" w:cs="Arial"/>
        </w:rPr>
      </w:pPr>
      <w:r w:rsidRPr="00303094">
        <w:rPr>
          <w:rFonts w:ascii="Arial" w:hAnsi="Arial" w:cs="Arial"/>
        </w:rPr>
        <w:t>GMP - The Chief Constable terminated 3 employee contracts in 2023/24, incurring liabilities of £147,196 (6 in 2022/23 costing £482,695). These amounts have arisen as a result of strategic change and improvement programmes and relate to redundancy pay, pay in lieu of notice and pension strain costs.</w:t>
      </w:r>
    </w:p>
    <w:p w14:paraId="509A4AF7" w14:textId="77777777" w:rsidR="00303094" w:rsidRDefault="00303094" w:rsidP="006F1659">
      <w:pPr>
        <w:spacing w:line="360" w:lineRule="auto"/>
        <w:rPr>
          <w:rFonts w:ascii="Arial" w:hAnsi="Arial" w:cs="Arial"/>
          <w:highlight w:val="yellow"/>
        </w:rPr>
      </w:pPr>
    </w:p>
    <w:p w14:paraId="15EC9E75" w14:textId="7EA9A248" w:rsidR="00795BE0" w:rsidRDefault="00303094" w:rsidP="006F1659">
      <w:pPr>
        <w:spacing w:line="360" w:lineRule="auto"/>
        <w:rPr>
          <w:rFonts w:ascii="Arial" w:hAnsi="Arial" w:cs="Arial"/>
        </w:rPr>
      </w:pPr>
      <w:r w:rsidRPr="00303094">
        <w:rPr>
          <w:rFonts w:ascii="Arial" w:hAnsi="Arial" w:cs="Arial"/>
        </w:rPr>
        <w:t>TfGM  - The majority of the increase in exit packages is due to the voluntary severance scheme that was launched in 2022/23, as a result of the requirement to make on-going budgetary savings.</w:t>
      </w:r>
    </w:p>
    <w:p w14:paraId="0574728E" w14:textId="77777777" w:rsidR="00303094" w:rsidRPr="0007572B" w:rsidRDefault="00303094" w:rsidP="006F1659">
      <w:pPr>
        <w:spacing w:line="360" w:lineRule="auto"/>
        <w:rPr>
          <w:rFonts w:ascii="Arial" w:hAnsi="Arial" w:cs="Arial"/>
          <w:b/>
          <w:highlight w:val="yellow"/>
        </w:rPr>
      </w:pPr>
    </w:p>
    <w:p w14:paraId="09053A08" w14:textId="77777777" w:rsidR="006D33C5" w:rsidRDefault="006D33C5">
      <w:pPr>
        <w:rPr>
          <w:rFonts w:ascii="Arial" w:eastAsia="Palatino Linotype" w:hAnsi="Arial" w:cs="Arial"/>
          <w:b/>
          <w:bCs/>
          <w:szCs w:val="28"/>
          <w:lang w:val="en-US"/>
        </w:rPr>
      </w:pPr>
      <w:bookmarkStart w:id="290" w:name="_Toc92894939"/>
      <w:bookmarkStart w:id="291" w:name="_Toc92895243"/>
      <w:bookmarkStart w:id="292" w:name="_Toc109922677"/>
      <w:r>
        <w:br w:type="page"/>
      </w:r>
    </w:p>
    <w:p w14:paraId="3187ACD8" w14:textId="7EC5E593" w:rsidR="00795BE0" w:rsidRPr="0007572B" w:rsidRDefault="00795BE0" w:rsidP="006F1659">
      <w:pPr>
        <w:pStyle w:val="Heading3greennumbered"/>
        <w:spacing w:line="360" w:lineRule="auto"/>
      </w:pPr>
      <w:r w:rsidRPr="0007572B">
        <w:lastRenderedPageBreak/>
        <w:t>46 Group Capital and Lease Commitments</w:t>
      </w:r>
      <w:bookmarkEnd w:id="290"/>
      <w:bookmarkEnd w:id="291"/>
      <w:bookmarkEnd w:id="292"/>
    </w:p>
    <w:p w14:paraId="3CFEB91B" w14:textId="77777777" w:rsidR="00795BE0" w:rsidRDefault="00795BE0" w:rsidP="006F1659">
      <w:pPr>
        <w:spacing w:line="360" w:lineRule="auto"/>
        <w:rPr>
          <w:rFonts w:ascii="Arial" w:hAnsi="Arial" w:cs="Arial"/>
        </w:rPr>
      </w:pPr>
    </w:p>
    <w:p w14:paraId="7AB67B7B" w14:textId="6A3B0DB6" w:rsidR="00BA2AA7" w:rsidRDefault="006D33C5" w:rsidP="00BA2AA7">
      <w:pPr>
        <w:spacing w:line="360" w:lineRule="auto"/>
        <w:ind w:right="4073"/>
        <w:rPr>
          <w:rFonts w:ascii="Arial" w:eastAsia="Calibri" w:hAnsi="Arial" w:cs="Arial"/>
        </w:rPr>
      </w:pPr>
      <w:r w:rsidRPr="006D33C5">
        <w:rPr>
          <w:rFonts w:eastAsia="Calibri"/>
          <w:noProof/>
        </w:rPr>
        <w:drawing>
          <wp:inline distT="0" distB="0" distL="0" distR="0" wp14:anchorId="499663AB" wp14:editId="704B2B66">
            <wp:extent cx="5391150" cy="1054100"/>
            <wp:effectExtent l="0" t="0" r="0" b="0"/>
            <wp:docPr id="180432372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23727" name="Picture 37">
                      <a:extLst>
                        <a:ext uri="{C183D7F6-B498-43B3-948B-1728B52AA6E4}">
                          <adec:decorative xmlns:adec="http://schemas.microsoft.com/office/drawing/2017/decorative" val="1"/>
                        </a:ext>
                      </a:extLst>
                    </pic:cNvP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391150" cy="1054100"/>
                    </a:xfrm>
                    <a:prstGeom prst="rect">
                      <a:avLst/>
                    </a:prstGeom>
                    <a:noFill/>
                    <a:ln>
                      <a:noFill/>
                    </a:ln>
                  </pic:spPr>
                </pic:pic>
              </a:graphicData>
            </a:graphic>
          </wp:inline>
        </w:drawing>
      </w:r>
    </w:p>
    <w:p w14:paraId="675BF698" w14:textId="77777777" w:rsidR="00BA2AA7" w:rsidRPr="0007572B" w:rsidRDefault="00BA2AA7" w:rsidP="00BA2AA7">
      <w:pPr>
        <w:spacing w:line="360" w:lineRule="auto"/>
        <w:ind w:right="4073"/>
        <w:rPr>
          <w:rFonts w:ascii="Arial" w:eastAsia="Calibri" w:hAnsi="Arial" w:cs="Arial"/>
        </w:rPr>
      </w:pPr>
    </w:p>
    <w:p w14:paraId="2835861F" w14:textId="2DCB1579" w:rsidR="00795BE0" w:rsidRPr="00CA087E" w:rsidRDefault="00795BE0" w:rsidP="006F1659">
      <w:pPr>
        <w:spacing w:line="360" w:lineRule="auto"/>
        <w:ind w:right="95" w:firstLine="10"/>
        <w:rPr>
          <w:rFonts w:ascii="Arial" w:eastAsia="Calibri" w:hAnsi="Arial" w:cs="Arial"/>
          <w:spacing w:val="-1"/>
        </w:rPr>
      </w:pPr>
      <w:r w:rsidRPr="00CA087E">
        <w:rPr>
          <w:rFonts w:ascii="Arial" w:eastAsia="Calibri" w:hAnsi="Arial" w:cs="Arial"/>
          <w:spacing w:val="-1"/>
        </w:rPr>
        <w:t xml:space="preserve">The key commitments for </w:t>
      </w:r>
      <w:r w:rsidR="00D1125B" w:rsidRPr="00CA087E">
        <w:rPr>
          <w:rFonts w:ascii="Arial" w:eastAsia="Calibri" w:hAnsi="Arial" w:cs="Arial"/>
          <w:spacing w:val="-1"/>
        </w:rPr>
        <w:t>202</w:t>
      </w:r>
      <w:r w:rsidR="00CA087E" w:rsidRPr="00CA087E">
        <w:rPr>
          <w:rFonts w:ascii="Arial" w:eastAsia="Calibri" w:hAnsi="Arial" w:cs="Arial"/>
          <w:spacing w:val="-1"/>
        </w:rPr>
        <w:t>3</w:t>
      </w:r>
      <w:r w:rsidR="00D1125B" w:rsidRPr="00CA087E">
        <w:rPr>
          <w:rFonts w:ascii="Arial" w:eastAsia="Calibri" w:hAnsi="Arial" w:cs="Arial"/>
          <w:spacing w:val="-1"/>
        </w:rPr>
        <w:t>/2</w:t>
      </w:r>
      <w:r w:rsidR="00CA087E" w:rsidRPr="00CA087E">
        <w:rPr>
          <w:rFonts w:ascii="Arial" w:eastAsia="Calibri" w:hAnsi="Arial" w:cs="Arial"/>
          <w:spacing w:val="-1"/>
        </w:rPr>
        <w:t>4</w:t>
      </w:r>
      <w:r w:rsidRPr="00CA087E">
        <w:rPr>
          <w:rFonts w:ascii="Arial" w:eastAsia="Calibri" w:hAnsi="Arial" w:cs="Arial"/>
          <w:spacing w:val="-1"/>
        </w:rPr>
        <w:t xml:space="preserve"> are in relation to </w:t>
      </w:r>
      <w:r w:rsidR="00B71273" w:rsidRPr="00CA087E">
        <w:rPr>
          <w:rFonts w:ascii="Arial" w:eastAsia="Calibri" w:hAnsi="Arial" w:cs="Arial"/>
          <w:spacing w:val="-1"/>
        </w:rPr>
        <w:t>TfGM</w:t>
      </w:r>
      <w:r w:rsidRPr="00CA087E">
        <w:rPr>
          <w:rFonts w:ascii="Arial" w:eastAsia="Calibri" w:hAnsi="Arial" w:cs="Arial"/>
          <w:spacing w:val="-1"/>
        </w:rPr>
        <w:t xml:space="preserve"> and the following projects:</w:t>
      </w:r>
    </w:p>
    <w:p w14:paraId="286723D0" w14:textId="77777777" w:rsidR="00795BE0" w:rsidRPr="00183E7A" w:rsidRDefault="00795BE0" w:rsidP="006F1659">
      <w:pPr>
        <w:spacing w:line="360" w:lineRule="auto"/>
        <w:ind w:right="4071" w:firstLine="11"/>
        <w:rPr>
          <w:rFonts w:ascii="Arial" w:eastAsia="Calibri" w:hAnsi="Arial" w:cs="Arial"/>
          <w:sz w:val="20"/>
          <w:szCs w:val="20"/>
          <w:highlight w:val="yellow"/>
        </w:rPr>
      </w:pPr>
    </w:p>
    <w:p w14:paraId="6F5D3166" w14:textId="00AB10AA" w:rsidR="00CA087E" w:rsidRPr="00BA2AA7" w:rsidRDefault="00CA087E" w:rsidP="00CA087E">
      <w:pPr>
        <w:pStyle w:val="ListParagraph"/>
        <w:numPr>
          <w:ilvl w:val="0"/>
          <w:numId w:val="60"/>
        </w:numPr>
        <w:snapToGrid w:val="0"/>
        <w:spacing w:line="360" w:lineRule="auto"/>
        <w:rPr>
          <w:rFonts w:ascii="Arial" w:hAnsi="Arial" w:cs="Arial"/>
          <w:sz w:val="24"/>
          <w:szCs w:val="24"/>
        </w:rPr>
      </w:pPr>
      <w:r w:rsidRPr="00BA2AA7">
        <w:rPr>
          <w:rFonts w:ascii="Arial" w:hAnsi="Arial" w:cs="Arial"/>
          <w:sz w:val="24"/>
          <w:szCs w:val="24"/>
        </w:rPr>
        <w:t>Metrolink Renewals / Enhancements £16.2m (2022/23: £6.1m). Tram Enhancements (£7.9m), Renewals (£5.7m) and Infrastructure improvements (£2.6m).</w:t>
      </w:r>
    </w:p>
    <w:p w14:paraId="206505A4" w14:textId="77777777" w:rsidR="00CA087E" w:rsidRPr="00BA2AA7" w:rsidRDefault="00CA087E" w:rsidP="00CA087E">
      <w:pPr>
        <w:pStyle w:val="ListParagraph"/>
        <w:numPr>
          <w:ilvl w:val="0"/>
          <w:numId w:val="60"/>
        </w:numPr>
        <w:snapToGrid w:val="0"/>
        <w:spacing w:line="360" w:lineRule="auto"/>
        <w:rPr>
          <w:rFonts w:ascii="Arial" w:hAnsi="Arial" w:cs="Arial"/>
          <w:sz w:val="24"/>
          <w:szCs w:val="24"/>
        </w:rPr>
      </w:pPr>
      <w:r w:rsidRPr="00BA2AA7">
        <w:rPr>
          <w:rFonts w:ascii="Arial" w:hAnsi="Arial" w:cs="Arial"/>
          <w:sz w:val="24"/>
          <w:szCs w:val="24"/>
        </w:rPr>
        <w:t>Rail Access for All £7.0m (2022/23: £2.1m). Design and build contracts at Irlam, Daisy Hill relating to access improvement works. Further relating to customer information systems at 14 stations.</w:t>
      </w:r>
    </w:p>
    <w:p w14:paraId="0219A93C" w14:textId="77777777" w:rsidR="00CA087E" w:rsidRPr="00BA2AA7" w:rsidRDefault="00CA087E" w:rsidP="00CA087E">
      <w:pPr>
        <w:pStyle w:val="ListParagraph"/>
        <w:numPr>
          <w:ilvl w:val="0"/>
          <w:numId w:val="60"/>
        </w:numPr>
        <w:snapToGrid w:val="0"/>
        <w:spacing w:line="360" w:lineRule="auto"/>
        <w:rPr>
          <w:rFonts w:ascii="Arial" w:hAnsi="Arial" w:cs="Arial"/>
          <w:sz w:val="24"/>
          <w:szCs w:val="24"/>
        </w:rPr>
      </w:pPr>
      <w:r w:rsidRPr="00BA2AA7">
        <w:rPr>
          <w:rFonts w:ascii="Arial" w:hAnsi="Arial" w:cs="Arial"/>
          <w:sz w:val="24"/>
          <w:szCs w:val="24"/>
        </w:rPr>
        <w:t>Bus Franchising £6.9m (2022/23: £0.4m). This relates to hardware, installation and software for CCTV, Radio and Ticketing equipment across franchised bus services.</w:t>
      </w:r>
    </w:p>
    <w:p w14:paraId="4A992166" w14:textId="3DAB0D32" w:rsidR="00CA087E" w:rsidRPr="00BA2AA7" w:rsidRDefault="00CA087E" w:rsidP="00CA087E">
      <w:pPr>
        <w:pStyle w:val="ListParagraph"/>
        <w:numPr>
          <w:ilvl w:val="0"/>
          <w:numId w:val="60"/>
        </w:numPr>
        <w:snapToGrid w:val="0"/>
        <w:spacing w:line="360" w:lineRule="auto"/>
        <w:rPr>
          <w:rFonts w:ascii="Arial" w:hAnsi="Arial" w:cs="Arial"/>
          <w:sz w:val="24"/>
          <w:szCs w:val="24"/>
        </w:rPr>
      </w:pPr>
      <w:r w:rsidRPr="00BA2AA7">
        <w:rPr>
          <w:rFonts w:ascii="Arial" w:hAnsi="Arial" w:cs="Arial"/>
          <w:sz w:val="24"/>
          <w:szCs w:val="24"/>
        </w:rPr>
        <w:t>Zero-emission Buses and Electrification £6.8m (2022/23: £25.8m). Relates largely to the electric buses remaining to be delivered (£4.5m) and the continuing electrification works at depots (£2.3m).</w:t>
      </w:r>
    </w:p>
    <w:p w14:paraId="75B99C7D" w14:textId="6D5529C6" w:rsidR="00BA2AA7" w:rsidRPr="00BA2AA7" w:rsidRDefault="00CA087E" w:rsidP="00BA2AA7">
      <w:pPr>
        <w:pStyle w:val="ListParagraph"/>
        <w:numPr>
          <w:ilvl w:val="0"/>
          <w:numId w:val="60"/>
        </w:numPr>
        <w:snapToGrid w:val="0"/>
        <w:spacing w:line="360" w:lineRule="auto"/>
        <w:rPr>
          <w:rFonts w:ascii="Arial" w:hAnsi="Arial" w:cs="Arial"/>
          <w:sz w:val="24"/>
          <w:szCs w:val="24"/>
        </w:rPr>
      </w:pPr>
      <w:r w:rsidRPr="00BA2AA7">
        <w:rPr>
          <w:rFonts w:ascii="Arial" w:hAnsi="Arial" w:cs="Arial"/>
          <w:sz w:val="24"/>
          <w:szCs w:val="24"/>
        </w:rPr>
        <w:t>Interchanges £4.4m (2022/23: £43.9m). Relates to Stockport Interchange and associated works (£3.3m) and design of Bury Interchange (£1.2m).</w:t>
      </w:r>
      <w:r w:rsidRPr="00BA2AA7">
        <w:rPr>
          <w:rFonts w:ascii="Arial" w:hAnsi="Arial" w:cs="Arial"/>
          <w:sz w:val="24"/>
          <w:szCs w:val="24"/>
        </w:rPr>
        <w:tab/>
      </w:r>
    </w:p>
    <w:p w14:paraId="03F07F68" w14:textId="77777777" w:rsidR="00BA2AA7" w:rsidRDefault="00BA2AA7" w:rsidP="006F1659">
      <w:pPr>
        <w:tabs>
          <w:tab w:val="left" w:pos="720"/>
        </w:tabs>
        <w:spacing w:line="360" w:lineRule="auto"/>
        <w:ind w:left="360" w:right="54" w:hanging="360"/>
        <w:rPr>
          <w:rFonts w:eastAsia="Calibri"/>
          <w:noProof/>
        </w:rPr>
      </w:pPr>
    </w:p>
    <w:p w14:paraId="7B007CA1" w14:textId="1BF457B5" w:rsidR="00BA2AA7" w:rsidRPr="00647034" w:rsidRDefault="00BA2AA7" w:rsidP="006F1659">
      <w:pPr>
        <w:tabs>
          <w:tab w:val="left" w:pos="720"/>
        </w:tabs>
        <w:spacing w:line="360" w:lineRule="auto"/>
        <w:ind w:left="360" w:right="54" w:hanging="360"/>
        <w:rPr>
          <w:rFonts w:ascii="Arial" w:eastAsia="Calibri" w:hAnsi="Arial" w:cs="Arial"/>
        </w:rPr>
        <w:sectPr w:rsidR="00BA2AA7" w:rsidRPr="00647034" w:rsidSect="004833A2">
          <w:pgSz w:w="11906" w:h="16838"/>
          <w:pgMar w:top="946" w:right="1416" w:bottom="1440" w:left="1080" w:header="283" w:footer="567" w:gutter="0"/>
          <w:cols w:space="708"/>
          <w:docGrid w:linePitch="360"/>
        </w:sectPr>
      </w:pPr>
      <w:r w:rsidRPr="00BA2AA7">
        <w:rPr>
          <w:rFonts w:eastAsia="Calibri"/>
          <w:noProof/>
        </w:rPr>
        <w:drawing>
          <wp:inline distT="0" distB="0" distL="0" distR="0" wp14:anchorId="25917933" wp14:editId="0ECCCEB6">
            <wp:extent cx="5391785" cy="2026920"/>
            <wp:effectExtent l="0" t="0" r="0" b="0"/>
            <wp:docPr id="1828506267"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506267" name="Picture 13">
                      <a:extLst>
                        <a:ext uri="{C183D7F6-B498-43B3-948B-1728B52AA6E4}">
                          <adec:decorative xmlns:adec="http://schemas.microsoft.com/office/drawing/2017/decorative" val="1"/>
                        </a:ext>
                      </a:extLst>
                    </pic:cNvP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391785" cy="2026920"/>
                    </a:xfrm>
                    <a:prstGeom prst="rect">
                      <a:avLst/>
                    </a:prstGeom>
                    <a:noFill/>
                    <a:ln>
                      <a:noFill/>
                    </a:ln>
                  </pic:spPr>
                </pic:pic>
              </a:graphicData>
            </a:graphic>
          </wp:inline>
        </w:drawing>
      </w:r>
    </w:p>
    <w:p w14:paraId="5CBA2413" w14:textId="77777777" w:rsidR="00795BE0" w:rsidRPr="0007572B" w:rsidRDefault="00795BE0" w:rsidP="006F1659">
      <w:pPr>
        <w:spacing w:line="360" w:lineRule="auto"/>
        <w:rPr>
          <w:rFonts w:ascii="Arial" w:hAnsi="Arial" w:cs="Arial"/>
          <w:b/>
          <w:sz w:val="22"/>
          <w:szCs w:val="22"/>
        </w:rPr>
      </w:pPr>
    </w:p>
    <w:p w14:paraId="6C06C2D8" w14:textId="77777777" w:rsidR="00795BE0" w:rsidRPr="0007572B" w:rsidRDefault="00795BE0" w:rsidP="006F1659">
      <w:pPr>
        <w:pStyle w:val="Heading3greennumbered"/>
        <w:spacing w:line="360" w:lineRule="auto"/>
      </w:pPr>
      <w:bookmarkStart w:id="293" w:name="_Toc92894940"/>
      <w:bookmarkStart w:id="294" w:name="_Toc92895244"/>
      <w:bookmarkStart w:id="295" w:name="_Toc109922678"/>
      <w:r w:rsidRPr="0007572B">
        <w:t>47 Group Property, Plant and Equipment</w:t>
      </w:r>
      <w:bookmarkEnd w:id="293"/>
      <w:bookmarkEnd w:id="294"/>
      <w:bookmarkEnd w:id="295"/>
      <w:r w:rsidRPr="0007572B">
        <w:t xml:space="preserve"> </w:t>
      </w:r>
    </w:p>
    <w:p w14:paraId="5A6DBF6B" w14:textId="77777777" w:rsidR="00795BE0" w:rsidRDefault="00795BE0" w:rsidP="006F1659">
      <w:pPr>
        <w:spacing w:line="360" w:lineRule="auto"/>
        <w:rPr>
          <w:rFonts w:ascii="Arial" w:hAnsi="Arial" w:cs="Arial"/>
        </w:rPr>
      </w:pPr>
    </w:p>
    <w:p w14:paraId="3F555BE4" w14:textId="77777777" w:rsidR="00795BE0" w:rsidRDefault="00795BE0" w:rsidP="006F1659">
      <w:pPr>
        <w:spacing w:line="360" w:lineRule="auto"/>
        <w:rPr>
          <w:rFonts w:ascii="Arial" w:hAnsi="Arial" w:cs="Arial"/>
        </w:rPr>
      </w:pPr>
      <w:r w:rsidRPr="0007572B">
        <w:rPr>
          <w:rFonts w:ascii="Arial" w:hAnsi="Arial" w:cs="Arial"/>
        </w:rPr>
        <w:t>Property, plant and equipment is reported as either capitalised assets available for use or as assets under construction. An analysis of the movements are contained in the tables below:</w:t>
      </w:r>
    </w:p>
    <w:p w14:paraId="7703CDE2" w14:textId="77777777" w:rsidR="00295871" w:rsidRPr="0007572B" w:rsidRDefault="00295871" w:rsidP="006F1659">
      <w:pPr>
        <w:spacing w:line="360" w:lineRule="auto"/>
        <w:rPr>
          <w:rFonts w:ascii="Arial" w:hAnsi="Arial" w:cs="Arial"/>
        </w:rPr>
      </w:pPr>
    </w:p>
    <w:p w14:paraId="6184F48D" w14:textId="603E3802" w:rsidR="008C65AA" w:rsidRDefault="00305CA8" w:rsidP="006F1659">
      <w:pPr>
        <w:spacing w:line="360" w:lineRule="auto"/>
        <w:rPr>
          <w:noProof/>
        </w:rPr>
      </w:pPr>
      <w:r w:rsidRPr="00305CA8">
        <w:rPr>
          <w:noProof/>
        </w:rPr>
        <w:drawing>
          <wp:inline distT="0" distB="0" distL="0" distR="0" wp14:anchorId="1403D3A1" wp14:editId="32AA3A3C">
            <wp:extent cx="9176385" cy="3950335"/>
            <wp:effectExtent l="0" t="0" r="5715" b="0"/>
            <wp:docPr id="610996419"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996419" name="Picture 38">
                      <a:extLst>
                        <a:ext uri="{C183D7F6-B498-43B3-948B-1728B52AA6E4}">
                          <adec:decorative xmlns:adec="http://schemas.microsoft.com/office/drawing/2017/decorative" val="1"/>
                        </a:ext>
                      </a:extLst>
                    </pic:cNvPr>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9176385" cy="3950335"/>
                    </a:xfrm>
                    <a:prstGeom prst="rect">
                      <a:avLst/>
                    </a:prstGeom>
                    <a:noFill/>
                    <a:ln>
                      <a:noFill/>
                    </a:ln>
                  </pic:spPr>
                </pic:pic>
              </a:graphicData>
            </a:graphic>
          </wp:inline>
        </w:drawing>
      </w:r>
    </w:p>
    <w:p w14:paraId="47257B00" w14:textId="77777777" w:rsidR="008C65AA" w:rsidRDefault="008C65AA" w:rsidP="006F1659">
      <w:pPr>
        <w:spacing w:line="360" w:lineRule="auto"/>
        <w:rPr>
          <w:noProof/>
        </w:rPr>
      </w:pPr>
    </w:p>
    <w:p w14:paraId="2052ADAE" w14:textId="77777777" w:rsidR="00295871" w:rsidRDefault="00295871" w:rsidP="006F1659">
      <w:pPr>
        <w:spacing w:line="360" w:lineRule="auto"/>
        <w:rPr>
          <w:rFonts w:ascii="Arial" w:hAnsi="Arial" w:cs="Arial"/>
        </w:rPr>
      </w:pPr>
    </w:p>
    <w:p w14:paraId="0AF86518" w14:textId="0E392624" w:rsidR="00795BE0" w:rsidRPr="0007572B" w:rsidRDefault="00305CA8" w:rsidP="006F1659">
      <w:pPr>
        <w:spacing w:line="360" w:lineRule="auto"/>
        <w:rPr>
          <w:rFonts w:ascii="Arial" w:hAnsi="Arial" w:cs="Arial"/>
        </w:rPr>
      </w:pPr>
      <w:r w:rsidRPr="00305CA8">
        <w:rPr>
          <w:noProof/>
        </w:rPr>
        <w:drawing>
          <wp:inline distT="0" distB="0" distL="0" distR="0" wp14:anchorId="537515A3" wp14:editId="6222C9E6">
            <wp:extent cx="9176385" cy="3794760"/>
            <wp:effectExtent l="0" t="0" r="5715" b="0"/>
            <wp:docPr id="744691280"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691280" name="Picture 39">
                      <a:extLst>
                        <a:ext uri="{C183D7F6-B498-43B3-948B-1728B52AA6E4}">
                          <adec:decorative xmlns:adec="http://schemas.microsoft.com/office/drawing/2017/decorative" val="1"/>
                        </a:ext>
                      </a:extLst>
                    </pic:cNvPr>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9176385" cy="3794760"/>
                    </a:xfrm>
                    <a:prstGeom prst="rect">
                      <a:avLst/>
                    </a:prstGeom>
                    <a:noFill/>
                    <a:ln>
                      <a:noFill/>
                    </a:ln>
                  </pic:spPr>
                </pic:pic>
              </a:graphicData>
            </a:graphic>
          </wp:inline>
        </w:drawing>
      </w:r>
      <w:r w:rsidR="00D536E5">
        <w:rPr>
          <w:rFonts w:ascii="Arial" w:hAnsi="Arial" w:cs="Arial"/>
        </w:rPr>
        <w:br w:type="page"/>
      </w:r>
    </w:p>
    <w:p w14:paraId="55A01D27" w14:textId="77777777" w:rsidR="003103DC" w:rsidRDefault="003103DC" w:rsidP="006F1659">
      <w:pPr>
        <w:spacing w:line="360" w:lineRule="auto"/>
        <w:rPr>
          <w:rFonts w:ascii="Arial" w:hAnsi="Arial" w:cs="Arial"/>
          <w:b/>
          <w:bCs/>
        </w:rPr>
      </w:pPr>
    </w:p>
    <w:p w14:paraId="5BE618D4" w14:textId="7BFC720A" w:rsidR="003103DC" w:rsidRDefault="003103DC" w:rsidP="006F1659">
      <w:pPr>
        <w:spacing w:line="360" w:lineRule="auto"/>
        <w:rPr>
          <w:rFonts w:ascii="Arial" w:hAnsi="Arial" w:cs="Arial"/>
          <w:b/>
          <w:bCs/>
        </w:rPr>
      </w:pPr>
      <w:r w:rsidRPr="003103DC">
        <w:rPr>
          <w:rFonts w:ascii="Arial" w:hAnsi="Arial" w:cs="Arial"/>
          <w:b/>
          <w:bCs/>
        </w:rPr>
        <w:t>Movements on balances</w:t>
      </w:r>
    </w:p>
    <w:p w14:paraId="2553750D" w14:textId="77777777" w:rsidR="003103DC" w:rsidRPr="003103DC" w:rsidRDefault="003103DC" w:rsidP="006F1659">
      <w:pPr>
        <w:spacing w:line="360" w:lineRule="auto"/>
        <w:rPr>
          <w:rFonts w:ascii="Arial" w:hAnsi="Arial" w:cs="Arial"/>
          <w:b/>
          <w:bCs/>
        </w:rPr>
      </w:pPr>
    </w:p>
    <w:p w14:paraId="0DBE4D1E" w14:textId="77777777" w:rsidR="003103DC" w:rsidRPr="003103DC" w:rsidRDefault="003103DC" w:rsidP="006F1659">
      <w:pPr>
        <w:spacing w:line="360" w:lineRule="auto"/>
        <w:rPr>
          <w:rFonts w:ascii="Arial" w:hAnsi="Arial" w:cs="Arial"/>
        </w:rPr>
      </w:pPr>
      <w:r w:rsidRPr="003103DC">
        <w:rPr>
          <w:rFonts w:ascii="Arial" w:hAnsi="Arial" w:cs="Arial"/>
        </w:rPr>
        <w:t>In accordance with the temporary relief offered by the Update to the Code of Practice on infrastructure assets, this note does not include disclosure of gross cost and accumulated depreciation for infrastructure assets because historical reporting practices and resultant information deficits mean that this would not faithfully represent the asset position to the users of the financial statements.</w:t>
      </w:r>
    </w:p>
    <w:p w14:paraId="58A11FC2" w14:textId="77777777" w:rsidR="003103DC" w:rsidRPr="003103DC" w:rsidRDefault="003103DC" w:rsidP="006F1659">
      <w:pPr>
        <w:spacing w:line="360" w:lineRule="auto"/>
        <w:rPr>
          <w:rFonts w:ascii="Arial" w:hAnsi="Arial" w:cs="Arial"/>
        </w:rPr>
      </w:pPr>
    </w:p>
    <w:p w14:paraId="384C4798" w14:textId="1D59B415" w:rsidR="003103DC" w:rsidRDefault="003103DC" w:rsidP="006F1659">
      <w:pPr>
        <w:spacing w:line="360" w:lineRule="auto"/>
        <w:rPr>
          <w:rFonts w:ascii="Arial" w:hAnsi="Arial" w:cs="Arial"/>
        </w:rPr>
      </w:pPr>
      <w:r w:rsidRPr="003103DC">
        <w:rPr>
          <w:rFonts w:ascii="Arial" w:hAnsi="Arial" w:cs="Arial"/>
        </w:rPr>
        <w:t xml:space="preserve">The authority has chosen not to disclose this information </w:t>
      </w:r>
      <w:r w:rsidR="00912B96" w:rsidRPr="00912B96">
        <w:rPr>
          <w:rFonts w:ascii="Arial" w:hAnsi="Arial" w:cs="Arial"/>
        </w:rPr>
        <w:t xml:space="preserve">in the Single Entity accounts </w:t>
      </w:r>
      <w:r w:rsidRPr="003103DC">
        <w:rPr>
          <w:rFonts w:ascii="Arial" w:hAnsi="Arial" w:cs="Arial"/>
        </w:rPr>
        <w:t xml:space="preserve">as the previously reported practices and resultant information deficits mean that gross cost and accumulated depreciation are not measured accurately and would not provide the basis for the users of the financial statements to take economic or other decisions relating to infrastructure assets. </w:t>
      </w:r>
    </w:p>
    <w:p w14:paraId="155E3DA2" w14:textId="5B6F2593" w:rsidR="00912B96" w:rsidRDefault="00912B96" w:rsidP="006F1659">
      <w:pPr>
        <w:spacing w:line="360" w:lineRule="auto"/>
        <w:rPr>
          <w:rFonts w:ascii="Arial" w:hAnsi="Arial" w:cs="Arial"/>
        </w:rPr>
      </w:pPr>
    </w:p>
    <w:p w14:paraId="57A9EDF9" w14:textId="03072E20" w:rsidR="00912B96" w:rsidRPr="00E40C58" w:rsidRDefault="00912B96" w:rsidP="006F1659">
      <w:pPr>
        <w:spacing w:line="360" w:lineRule="auto"/>
        <w:rPr>
          <w:rFonts w:ascii="Arial" w:hAnsi="Arial" w:cs="Arial"/>
        </w:rPr>
      </w:pPr>
      <w:r w:rsidRPr="00912B96">
        <w:rPr>
          <w:rFonts w:ascii="Arial" w:hAnsi="Arial" w:cs="Arial"/>
        </w:rPr>
        <w:t>TfGM did not adopt the temporary relief in their accounts and show the gross cost and accumulated depreciation for infrastructure assets in full within the Property, Plant and Equipment note.</w:t>
      </w:r>
      <w:r w:rsidR="00E40C58">
        <w:rPr>
          <w:rFonts w:ascii="Arial" w:hAnsi="Arial" w:cs="Arial"/>
        </w:rPr>
        <w:t xml:space="preserve"> </w:t>
      </w:r>
      <w:r w:rsidRPr="00912B96">
        <w:rPr>
          <w:rFonts w:ascii="Arial" w:hAnsi="Arial" w:cs="Arial"/>
        </w:rPr>
        <w:t>Therefore consolidation adjustments have been made in the Group Accounts to adopt a consistent approach and the infrastructure column has been removed from the TfGM Property, Plant and Equipment note as if they had adopted the temporary relief. The net book value and in-year movements for infrastructure at group level are disclosed in the table below.</w:t>
      </w:r>
    </w:p>
    <w:p w14:paraId="1ACFA3DF" w14:textId="2FB5440C" w:rsidR="008C65AA" w:rsidRDefault="008C65AA" w:rsidP="006F1659">
      <w:pPr>
        <w:spacing w:line="360" w:lineRule="auto"/>
        <w:rPr>
          <w:rFonts w:ascii="Arial" w:hAnsi="Arial" w:cs="Arial"/>
        </w:rPr>
      </w:pPr>
    </w:p>
    <w:p w14:paraId="20604A66" w14:textId="0CA750EC" w:rsidR="00295871" w:rsidRDefault="00295871" w:rsidP="006F1659">
      <w:pPr>
        <w:spacing w:line="360" w:lineRule="auto"/>
        <w:rPr>
          <w:rFonts w:ascii="Arial" w:hAnsi="Arial" w:cs="Arial"/>
        </w:rPr>
      </w:pPr>
      <w:r w:rsidRPr="00295871">
        <w:rPr>
          <w:noProof/>
        </w:rPr>
        <w:drawing>
          <wp:inline distT="0" distB="0" distL="0" distR="0" wp14:anchorId="5A656D70" wp14:editId="27B67A3A">
            <wp:extent cx="5322570" cy="1250950"/>
            <wp:effectExtent l="0" t="0" r="0" b="6350"/>
            <wp:docPr id="225095158"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95158" name="Picture 22">
                      <a:extLst>
                        <a:ext uri="{C183D7F6-B498-43B3-948B-1728B52AA6E4}">
                          <adec:decorative xmlns:adec="http://schemas.microsoft.com/office/drawing/2017/decorative" val="1"/>
                        </a:ext>
                      </a:extLst>
                    </pic:cNvPr>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322570" cy="1250950"/>
                    </a:xfrm>
                    <a:prstGeom prst="rect">
                      <a:avLst/>
                    </a:prstGeom>
                    <a:noFill/>
                    <a:ln>
                      <a:noFill/>
                    </a:ln>
                  </pic:spPr>
                </pic:pic>
              </a:graphicData>
            </a:graphic>
          </wp:inline>
        </w:drawing>
      </w:r>
    </w:p>
    <w:p w14:paraId="291C1E5A" w14:textId="77777777" w:rsidR="00931BA5" w:rsidRDefault="00931BA5" w:rsidP="006F1659">
      <w:pPr>
        <w:spacing w:line="360" w:lineRule="auto"/>
        <w:rPr>
          <w:rFonts w:ascii="Arial" w:hAnsi="Arial" w:cs="Arial"/>
        </w:rPr>
      </w:pPr>
    </w:p>
    <w:p w14:paraId="52E02A61" w14:textId="662C7592" w:rsidR="00931BA5" w:rsidRDefault="00931BA5" w:rsidP="006F1659">
      <w:pPr>
        <w:spacing w:line="360" w:lineRule="auto"/>
        <w:rPr>
          <w:rFonts w:ascii="Arial" w:hAnsi="Arial" w:cs="Arial"/>
        </w:rPr>
      </w:pPr>
      <w:r>
        <w:rPr>
          <w:rFonts w:ascii="Arial" w:hAnsi="Arial" w:cs="Arial"/>
        </w:rPr>
        <w:t>Balance Sheet Reconciling note:</w:t>
      </w:r>
    </w:p>
    <w:p w14:paraId="79108911" w14:textId="77777777" w:rsidR="003103DC" w:rsidRDefault="003103DC" w:rsidP="006F1659">
      <w:pPr>
        <w:spacing w:line="360" w:lineRule="auto"/>
        <w:rPr>
          <w:rFonts w:ascii="Arial" w:hAnsi="Arial" w:cs="Arial"/>
        </w:rPr>
      </w:pPr>
    </w:p>
    <w:p w14:paraId="34D6B535" w14:textId="262C9C42" w:rsidR="00295871" w:rsidRDefault="00295871" w:rsidP="006F1659">
      <w:pPr>
        <w:spacing w:line="360" w:lineRule="auto"/>
        <w:rPr>
          <w:rFonts w:ascii="Arial" w:hAnsi="Arial" w:cs="Arial"/>
        </w:rPr>
      </w:pPr>
      <w:r w:rsidRPr="00295871">
        <w:rPr>
          <w:noProof/>
        </w:rPr>
        <w:drawing>
          <wp:inline distT="0" distB="0" distL="0" distR="0" wp14:anchorId="6137ED59" wp14:editId="6BA855B8">
            <wp:extent cx="5322570" cy="828040"/>
            <wp:effectExtent l="0" t="0" r="0" b="0"/>
            <wp:docPr id="229326081"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326081" name="Picture 23">
                      <a:extLst>
                        <a:ext uri="{C183D7F6-B498-43B3-948B-1728B52AA6E4}">
                          <adec:decorative xmlns:adec="http://schemas.microsoft.com/office/drawing/2017/decorative" val="1"/>
                        </a:ext>
                      </a:extLst>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5322570" cy="828040"/>
                    </a:xfrm>
                    <a:prstGeom prst="rect">
                      <a:avLst/>
                    </a:prstGeom>
                    <a:noFill/>
                    <a:ln>
                      <a:noFill/>
                    </a:ln>
                  </pic:spPr>
                </pic:pic>
              </a:graphicData>
            </a:graphic>
          </wp:inline>
        </w:drawing>
      </w:r>
    </w:p>
    <w:p w14:paraId="0F26D23C" w14:textId="77777777" w:rsidR="00295871" w:rsidRDefault="00295871" w:rsidP="006F1659">
      <w:pPr>
        <w:spacing w:line="360" w:lineRule="auto"/>
        <w:rPr>
          <w:rFonts w:ascii="Arial" w:hAnsi="Arial" w:cs="Arial"/>
        </w:rPr>
      </w:pPr>
    </w:p>
    <w:p w14:paraId="0A675308" w14:textId="58764E19" w:rsidR="00E40C58" w:rsidRDefault="003103DC" w:rsidP="006F1659">
      <w:pPr>
        <w:spacing w:line="360" w:lineRule="auto"/>
        <w:rPr>
          <w:rFonts w:ascii="Arial" w:hAnsi="Arial" w:cs="Arial"/>
        </w:rPr>
      </w:pPr>
      <w:bookmarkStart w:id="296" w:name="_Hlk128048175"/>
      <w:r w:rsidRPr="00295871">
        <w:rPr>
          <w:rFonts w:ascii="Arial" w:hAnsi="Arial" w:cs="Arial"/>
        </w:rPr>
        <w:t xml:space="preserve">The </w:t>
      </w:r>
      <w:r w:rsidR="00144404" w:rsidRPr="00295871">
        <w:rPr>
          <w:rFonts w:ascii="Arial" w:hAnsi="Arial" w:cs="Arial"/>
        </w:rPr>
        <w:t>A</w:t>
      </w:r>
      <w:r w:rsidRPr="00295871">
        <w:rPr>
          <w:rFonts w:ascii="Arial" w:hAnsi="Arial" w:cs="Arial"/>
        </w:rPr>
        <w:t xml:space="preserve">uthority has determined in accordance with </w:t>
      </w:r>
      <w:r w:rsidR="00D2560A" w:rsidRPr="00295871">
        <w:rPr>
          <w:rFonts w:ascii="Arial" w:hAnsi="Arial" w:cs="Arial"/>
        </w:rPr>
        <w:t xml:space="preserve">the England amendment </w:t>
      </w:r>
      <w:r w:rsidRPr="00295871">
        <w:rPr>
          <w:rFonts w:ascii="Arial" w:hAnsi="Arial" w:cs="Arial"/>
        </w:rPr>
        <w:t>of the Local Authorit</w:t>
      </w:r>
      <w:r w:rsidR="00144404" w:rsidRPr="00295871">
        <w:rPr>
          <w:rFonts w:ascii="Arial" w:hAnsi="Arial" w:cs="Arial"/>
        </w:rPr>
        <w:t>y</w:t>
      </w:r>
      <w:r w:rsidRPr="00295871">
        <w:rPr>
          <w:rFonts w:ascii="Arial" w:hAnsi="Arial" w:cs="Arial"/>
        </w:rPr>
        <w:t xml:space="preserve"> </w:t>
      </w:r>
      <w:r w:rsidR="00144404" w:rsidRPr="00295871">
        <w:rPr>
          <w:rFonts w:ascii="Arial" w:hAnsi="Arial" w:cs="Arial"/>
        </w:rPr>
        <w:t>(</w:t>
      </w:r>
      <w:r w:rsidRPr="00295871">
        <w:rPr>
          <w:rFonts w:ascii="Arial" w:hAnsi="Arial" w:cs="Arial"/>
        </w:rPr>
        <w:t>Capital Finance and Accounting</w:t>
      </w:r>
      <w:r w:rsidR="00144404" w:rsidRPr="00295871">
        <w:rPr>
          <w:rFonts w:ascii="Arial" w:hAnsi="Arial" w:cs="Arial"/>
        </w:rPr>
        <w:t>)</w:t>
      </w:r>
      <w:r w:rsidR="00D2560A" w:rsidRPr="00295871">
        <w:rPr>
          <w:rFonts w:ascii="Arial" w:hAnsi="Arial" w:cs="Arial"/>
        </w:rPr>
        <w:t xml:space="preserve"> </w:t>
      </w:r>
      <w:r w:rsidR="00144404" w:rsidRPr="00295871">
        <w:rPr>
          <w:rFonts w:ascii="Arial" w:hAnsi="Arial" w:cs="Arial"/>
        </w:rPr>
        <w:t xml:space="preserve">(Amendment) </w:t>
      </w:r>
      <w:r w:rsidRPr="00295871">
        <w:rPr>
          <w:rFonts w:ascii="Arial" w:hAnsi="Arial" w:cs="Arial"/>
        </w:rPr>
        <w:t>Regulations 2022 that the carrying amounts to be derecognised for infrastructure assets when there is replacement expenditure is nil.</w:t>
      </w:r>
    </w:p>
    <w:p w14:paraId="15DB4A6A" w14:textId="7C1DACE2" w:rsidR="00795BE0" w:rsidRPr="0007572B" w:rsidRDefault="00E40C58" w:rsidP="006F1659">
      <w:pPr>
        <w:spacing w:line="360" w:lineRule="auto"/>
        <w:rPr>
          <w:rFonts w:ascii="Arial" w:hAnsi="Arial" w:cs="Arial"/>
          <w:b/>
        </w:rPr>
      </w:pPr>
      <w:r>
        <w:rPr>
          <w:rFonts w:ascii="Arial" w:hAnsi="Arial" w:cs="Arial"/>
        </w:rPr>
        <w:br w:type="page"/>
      </w:r>
      <w:bookmarkEnd w:id="296"/>
    </w:p>
    <w:p w14:paraId="18C27A02" w14:textId="77777777" w:rsidR="00795BE0" w:rsidRPr="0007572B" w:rsidRDefault="00795BE0" w:rsidP="006F1659">
      <w:pPr>
        <w:spacing w:line="360" w:lineRule="auto"/>
        <w:rPr>
          <w:rFonts w:ascii="Arial" w:hAnsi="Arial" w:cs="Arial"/>
          <w:sz w:val="22"/>
          <w:szCs w:val="22"/>
        </w:rPr>
        <w:sectPr w:rsidR="00795BE0" w:rsidRPr="0007572B" w:rsidSect="004833A2">
          <w:pgSz w:w="16838" w:h="11906" w:orient="landscape"/>
          <w:pgMar w:top="1077" w:right="947" w:bottom="1418" w:left="1440" w:header="284" w:footer="567" w:gutter="0"/>
          <w:cols w:space="708"/>
          <w:docGrid w:linePitch="360"/>
        </w:sectPr>
      </w:pPr>
    </w:p>
    <w:p w14:paraId="77CF6CB9" w14:textId="77777777" w:rsidR="00795BE0" w:rsidRPr="0007572B" w:rsidRDefault="00795BE0" w:rsidP="006F1659">
      <w:pPr>
        <w:pStyle w:val="Heading3greennumbered"/>
        <w:spacing w:line="360" w:lineRule="auto"/>
      </w:pPr>
      <w:bookmarkStart w:id="297" w:name="_Toc92894941"/>
      <w:bookmarkStart w:id="298" w:name="_Toc92895245"/>
      <w:bookmarkStart w:id="299" w:name="_Toc109922679"/>
      <w:bookmarkStart w:id="300" w:name="_Hlk109658869"/>
      <w:r w:rsidRPr="0007572B">
        <w:lastRenderedPageBreak/>
        <w:t>47 Group Property, Plant and Equipment Valuations</w:t>
      </w:r>
      <w:bookmarkEnd w:id="297"/>
      <w:bookmarkEnd w:id="298"/>
      <w:bookmarkEnd w:id="299"/>
    </w:p>
    <w:p w14:paraId="6B8AF8C7" w14:textId="77777777" w:rsidR="00795BE0" w:rsidRDefault="00795BE0" w:rsidP="006F1659">
      <w:pPr>
        <w:spacing w:line="360" w:lineRule="auto"/>
        <w:rPr>
          <w:rFonts w:ascii="Arial" w:hAnsi="Arial" w:cs="Arial"/>
        </w:rPr>
      </w:pPr>
    </w:p>
    <w:p w14:paraId="4D76E8FF" w14:textId="77777777" w:rsidR="00795BE0" w:rsidRPr="00BD07AE" w:rsidRDefault="00795BE0" w:rsidP="006F1659">
      <w:pPr>
        <w:spacing w:line="360" w:lineRule="auto"/>
        <w:rPr>
          <w:rFonts w:ascii="Arial" w:hAnsi="Arial" w:cs="Arial"/>
        </w:rPr>
      </w:pPr>
      <w:r>
        <w:rPr>
          <w:rFonts w:ascii="Arial" w:hAnsi="Arial" w:cs="Arial"/>
        </w:rPr>
        <w:t xml:space="preserve">Details relating to GMCA property, plant and equipment are provided in note 20 to the single </w:t>
      </w:r>
      <w:r w:rsidRPr="00BD07AE">
        <w:rPr>
          <w:rFonts w:ascii="Arial" w:hAnsi="Arial" w:cs="Arial"/>
        </w:rPr>
        <w:t xml:space="preserve">entity financial statements. </w:t>
      </w:r>
    </w:p>
    <w:p w14:paraId="65D55E78" w14:textId="77777777" w:rsidR="00795BE0" w:rsidRPr="00BD07AE" w:rsidRDefault="00795BE0" w:rsidP="006F1659">
      <w:pPr>
        <w:spacing w:line="360" w:lineRule="auto"/>
        <w:rPr>
          <w:rFonts w:ascii="Arial" w:hAnsi="Arial" w:cs="Arial"/>
        </w:rPr>
      </w:pPr>
    </w:p>
    <w:p w14:paraId="7606CEE0" w14:textId="77777777" w:rsidR="008809FE" w:rsidRDefault="00795BE0" w:rsidP="008809FE">
      <w:pPr>
        <w:spacing w:line="360" w:lineRule="auto"/>
        <w:rPr>
          <w:rFonts w:ascii="Arial" w:hAnsi="Arial" w:cs="Arial"/>
        </w:rPr>
      </w:pPr>
      <w:r w:rsidRPr="008809FE">
        <w:rPr>
          <w:rFonts w:ascii="Arial" w:hAnsi="Arial" w:cs="Arial"/>
        </w:rPr>
        <w:t xml:space="preserve">Within the Group, </w:t>
      </w:r>
      <w:r w:rsidR="008809FE" w:rsidRPr="008809FE">
        <w:rPr>
          <w:rFonts w:ascii="Arial" w:hAnsi="Arial" w:cs="Arial"/>
        </w:rPr>
        <w:t xml:space="preserve">TfGM carries out a rolling programme that ensures that all Property, Plant and Equipment required to be measured at current value is revalued at least every five years. Valuations of land and buildings were carried out in accordance with the methodologies and bases for estimation set out in the professional standards of the Royal Institution of Chartered Surveyors. The current values for these properties have been based on existing use values and these were re-valued as at 31 March 2024. There have been small immaterial movements in value in the year  and these have therefore not been updated in the financial statements. </w:t>
      </w:r>
    </w:p>
    <w:p w14:paraId="01EE00FF" w14:textId="77777777" w:rsidR="008809FE" w:rsidRPr="008809FE" w:rsidRDefault="008809FE" w:rsidP="008809FE">
      <w:pPr>
        <w:spacing w:line="360" w:lineRule="auto"/>
        <w:rPr>
          <w:rFonts w:ascii="Arial" w:hAnsi="Arial" w:cs="Arial"/>
        </w:rPr>
      </w:pPr>
    </w:p>
    <w:p w14:paraId="7E3B6AF2" w14:textId="77777777" w:rsidR="008809FE" w:rsidRDefault="008809FE" w:rsidP="008809FE">
      <w:pPr>
        <w:spacing w:line="360" w:lineRule="auto"/>
        <w:rPr>
          <w:rFonts w:ascii="Arial" w:hAnsi="Arial" w:cs="Arial"/>
        </w:rPr>
      </w:pPr>
      <w:r w:rsidRPr="008809FE">
        <w:rPr>
          <w:rFonts w:ascii="Arial" w:hAnsi="Arial" w:cs="Arial"/>
        </w:rPr>
        <w:t xml:space="preserve">A number of surplus properties were identified in 2015/16 and in accordance with the code were revalued at fair value. The fair value for the properties has been based on the market approach using current market conditions and recent sales prices and other relevant information for similar assets in the local area. Market conditions are such that similar properties are actively purchased and sold and the level of observable inputs are significant, leading to the properties being categorised at Level 2 in the fair value hierarchy. </w:t>
      </w:r>
    </w:p>
    <w:p w14:paraId="5BE4CAC8" w14:textId="77777777" w:rsidR="008809FE" w:rsidRPr="008809FE" w:rsidRDefault="008809FE" w:rsidP="008809FE">
      <w:pPr>
        <w:spacing w:line="360" w:lineRule="auto"/>
        <w:rPr>
          <w:rFonts w:ascii="Arial" w:hAnsi="Arial" w:cs="Arial"/>
        </w:rPr>
      </w:pPr>
    </w:p>
    <w:p w14:paraId="4882C49E" w14:textId="77777777" w:rsidR="008809FE" w:rsidRDefault="008809FE" w:rsidP="008809FE">
      <w:pPr>
        <w:spacing w:line="360" w:lineRule="auto"/>
        <w:rPr>
          <w:rFonts w:ascii="Arial" w:hAnsi="Arial" w:cs="Arial"/>
        </w:rPr>
      </w:pPr>
      <w:r w:rsidRPr="008809FE">
        <w:rPr>
          <w:rFonts w:ascii="Arial" w:hAnsi="Arial" w:cs="Arial"/>
        </w:rPr>
        <w:t xml:space="preserve">In estimating the fair value of TfGM’s surplus properties, the highest and best use of the properties is their current use. These were revalued in 2023/24, however due to the value of the properties and the minimal movements the changes in valuations have not been updated in the financial statements. </w:t>
      </w:r>
    </w:p>
    <w:p w14:paraId="1A374278" w14:textId="77777777" w:rsidR="008809FE" w:rsidRPr="008809FE" w:rsidRDefault="008809FE" w:rsidP="008809FE">
      <w:pPr>
        <w:spacing w:line="360" w:lineRule="auto"/>
        <w:rPr>
          <w:rFonts w:ascii="Arial" w:hAnsi="Arial" w:cs="Arial"/>
        </w:rPr>
      </w:pPr>
    </w:p>
    <w:p w14:paraId="1B40DE48" w14:textId="5BBDC13B" w:rsidR="00795BE0" w:rsidRDefault="008809FE" w:rsidP="008809FE">
      <w:pPr>
        <w:spacing w:line="360" w:lineRule="auto"/>
      </w:pPr>
      <w:r w:rsidRPr="008809FE">
        <w:rPr>
          <w:rFonts w:ascii="Arial" w:hAnsi="Arial" w:cs="Arial"/>
        </w:rPr>
        <w:t>All valuations were carried out by Leslie Roberts &amp; Co Limited, in accordance with the methodologies and bases for estimation set out in the professional standards of the Royal Institution of Chartered Surveyors. TfGM’s valuation experts work closely with finance officers reporting directly to the chief financial officer on a regular basis regarding all valuation matters.</w:t>
      </w:r>
    </w:p>
    <w:p w14:paraId="229C335E" w14:textId="37B1E264" w:rsidR="00795BE0" w:rsidRDefault="002E08E9" w:rsidP="006F1659">
      <w:pPr>
        <w:spacing w:line="360" w:lineRule="auto"/>
        <w:rPr>
          <w:rFonts w:ascii="Arial" w:eastAsia="Palatino Linotype" w:hAnsi="Arial" w:cs="Arial"/>
          <w:b/>
          <w:bCs/>
          <w:szCs w:val="28"/>
          <w:lang w:val="en-US"/>
        </w:rPr>
      </w:pPr>
      <w:bookmarkStart w:id="301" w:name="_Toc92894942"/>
      <w:bookmarkStart w:id="302" w:name="_Toc92895246"/>
      <w:bookmarkEnd w:id="300"/>
      <w:r w:rsidRPr="002E08E9">
        <w:rPr>
          <w:noProof/>
        </w:rPr>
        <w:lastRenderedPageBreak/>
        <w:drawing>
          <wp:inline distT="0" distB="0" distL="0" distR="0" wp14:anchorId="1BB94E4C" wp14:editId="33ED5387">
            <wp:extent cx="5975350" cy="1879600"/>
            <wp:effectExtent l="0" t="0" r="6350" b="6350"/>
            <wp:docPr id="2013524497"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524497" name="Picture 25">
                      <a:extLst>
                        <a:ext uri="{C183D7F6-B498-43B3-948B-1728B52AA6E4}">
                          <adec:decorative xmlns:adec="http://schemas.microsoft.com/office/drawing/2017/decorative" val="1"/>
                        </a:ext>
                      </a:extLst>
                    </pic:cNvPr>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5975350" cy="1879600"/>
                    </a:xfrm>
                    <a:prstGeom prst="rect">
                      <a:avLst/>
                    </a:prstGeom>
                    <a:noFill/>
                    <a:ln>
                      <a:noFill/>
                    </a:ln>
                  </pic:spPr>
                </pic:pic>
              </a:graphicData>
            </a:graphic>
          </wp:inline>
        </w:drawing>
      </w:r>
      <w:r w:rsidR="00795BE0">
        <w:br w:type="page"/>
      </w:r>
    </w:p>
    <w:p w14:paraId="5D6B745D" w14:textId="77777777" w:rsidR="00795BE0" w:rsidRPr="0007572B" w:rsidRDefault="00795BE0" w:rsidP="006F1659">
      <w:pPr>
        <w:pStyle w:val="Heading3greennumbered"/>
        <w:spacing w:line="360" w:lineRule="auto"/>
      </w:pPr>
      <w:bookmarkStart w:id="303" w:name="_Toc109922680"/>
      <w:r w:rsidRPr="0007572B">
        <w:lastRenderedPageBreak/>
        <w:t>48 Group Intangible Assets</w:t>
      </w:r>
      <w:bookmarkEnd w:id="301"/>
      <w:bookmarkEnd w:id="302"/>
      <w:bookmarkEnd w:id="303"/>
    </w:p>
    <w:p w14:paraId="7E5BFE1B" w14:textId="77777777" w:rsidR="00795BE0" w:rsidRDefault="00795BE0" w:rsidP="006F1659">
      <w:pPr>
        <w:spacing w:line="360" w:lineRule="auto"/>
        <w:rPr>
          <w:rFonts w:ascii="Arial" w:hAnsi="Arial" w:cs="Arial"/>
        </w:rPr>
      </w:pPr>
    </w:p>
    <w:p w14:paraId="2A304859" w14:textId="77777777" w:rsidR="00795BE0" w:rsidRPr="0007572B" w:rsidRDefault="00795BE0" w:rsidP="006F1659">
      <w:pPr>
        <w:spacing w:line="360" w:lineRule="auto"/>
        <w:rPr>
          <w:rFonts w:ascii="Arial" w:hAnsi="Arial" w:cs="Arial"/>
        </w:rPr>
      </w:pPr>
      <w:r w:rsidRPr="0007572B">
        <w:rPr>
          <w:rFonts w:ascii="Arial" w:hAnsi="Arial" w:cs="Arial"/>
        </w:rPr>
        <w:t xml:space="preserve">The </w:t>
      </w:r>
      <w:r>
        <w:rPr>
          <w:rFonts w:ascii="Arial" w:hAnsi="Arial" w:cs="Arial"/>
        </w:rPr>
        <w:t>Group</w:t>
      </w:r>
      <w:r w:rsidRPr="0007572B">
        <w:rPr>
          <w:rFonts w:ascii="Arial" w:hAnsi="Arial" w:cs="Arial"/>
        </w:rPr>
        <w:t xml:space="preserve"> accounts for its software as intangible assets, to the extent that the software is not an integral part of a particular IT system and accounted for as part of the hardware item of property, plant and equipment. The intangible assets are purchased licenses</w:t>
      </w:r>
      <w:r>
        <w:rPr>
          <w:rFonts w:ascii="Arial" w:hAnsi="Arial" w:cs="Arial"/>
        </w:rPr>
        <w:t xml:space="preserve"> and internally generated software</w:t>
      </w:r>
      <w:r w:rsidRPr="0007572B">
        <w:rPr>
          <w:rFonts w:ascii="Arial" w:hAnsi="Arial" w:cs="Arial"/>
        </w:rPr>
        <w:t xml:space="preserve">. </w:t>
      </w:r>
    </w:p>
    <w:p w14:paraId="19543F99" w14:textId="77777777" w:rsidR="00795BE0" w:rsidRPr="0007572B" w:rsidRDefault="00795BE0" w:rsidP="006F1659">
      <w:pPr>
        <w:spacing w:line="360" w:lineRule="auto"/>
        <w:rPr>
          <w:rFonts w:ascii="Arial" w:hAnsi="Arial" w:cs="Arial"/>
        </w:rPr>
      </w:pPr>
    </w:p>
    <w:p w14:paraId="50188C13" w14:textId="77777777" w:rsidR="00795BE0" w:rsidRPr="0007572B" w:rsidRDefault="00795BE0" w:rsidP="006F1659">
      <w:pPr>
        <w:spacing w:line="360" w:lineRule="auto"/>
        <w:rPr>
          <w:rFonts w:ascii="Arial" w:hAnsi="Arial" w:cs="Arial"/>
        </w:rPr>
      </w:pPr>
      <w:r w:rsidRPr="0007572B">
        <w:rPr>
          <w:rFonts w:ascii="Arial" w:hAnsi="Arial" w:cs="Arial"/>
        </w:rPr>
        <w:t>All software is given a finite useful life, based on assessments of the period that the software is expected to be used by the Authority. The useful lives assigned to the major software suites used by the Authority are:</w:t>
      </w:r>
    </w:p>
    <w:p w14:paraId="58C29748" w14:textId="77777777" w:rsidR="00795BE0" w:rsidRPr="0007572B" w:rsidRDefault="00795BE0" w:rsidP="006F1659">
      <w:pPr>
        <w:spacing w:line="360" w:lineRule="auto"/>
        <w:rPr>
          <w:rFonts w:ascii="Arial" w:hAnsi="Arial" w:cs="Arial"/>
        </w:rPr>
      </w:pPr>
    </w:p>
    <w:tbl>
      <w:tblPr>
        <w:tblStyle w:val="TableGrid"/>
        <w:tblW w:w="0" w:type="auto"/>
        <w:tblLook w:val="04A0" w:firstRow="1" w:lastRow="0" w:firstColumn="1" w:lastColumn="0" w:noHBand="0" w:noVBand="1"/>
      </w:tblPr>
      <w:tblGrid>
        <w:gridCol w:w="5524"/>
        <w:gridCol w:w="3876"/>
      </w:tblGrid>
      <w:tr w:rsidR="00795BE0" w14:paraId="18142C6E" w14:textId="77777777" w:rsidTr="00D323EE">
        <w:tc>
          <w:tcPr>
            <w:tcW w:w="5524" w:type="dxa"/>
          </w:tcPr>
          <w:p w14:paraId="3C3291F4" w14:textId="77777777" w:rsidR="00795BE0" w:rsidRDefault="00795BE0" w:rsidP="006F1659">
            <w:pPr>
              <w:spacing w:line="360" w:lineRule="auto"/>
              <w:rPr>
                <w:rFonts w:ascii="Arial" w:hAnsi="Arial" w:cs="Arial"/>
                <w:sz w:val="22"/>
                <w:szCs w:val="22"/>
              </w:rPr>
            </w:pPr>
            <w:r>
              <w:rPr>
                <w:rFonts w:ascii="Arial" w:hAnsi="Arial" w:cs="Arial"/>
                <w:sz w:val="22"/>
                <w:szCs w:val="22"/>
              </w:rPr>
              <w:t>Assets attributable to the Fire and Rescue Service</w:t>
            </w:r>
          </w:p>
        </w:tc>
        <w:tc>
          <w:tcPr>
            <w:tcW w:w="3876" w:type="dxa"/>
          </w:tcPr>
          <w:p w14:paraId="7B160D96" w14:textId="77777777" w:rsidR="00795BE0" w:rsidRDefault="00795BE0" w:rsidP="006F1659">
            <w:pPr>
              <w:spacing w:line="360" w:lineRule="auto"/>
              <w:rPr>
                <w:rFonts w:ascii="Arial" w:hAnsi="Arial" w:cs="Arial"/>
                <w:sz w:val="22"/>
                <w:szCs w:val="22"/>
              </w:rPr>
            </w:pPr>
            <w:r>
              <w:rPr>
                <w:rFonts w:ascii="Arial" w:hAnsi="Arial" w:cs="Arial"/>
                <w:sz w:val="22"/>
                <w:szCs w:val="22"/>
              </w:rPr>
              <w:t>3 to 10 years</w:t>
            </w:r>
          </w:p>
        </w:tc>
      </w:tr>
      <w:tr w:rsidR="00795BE0" w14:paraId="274DBE31" w14:textId="77777777" w:rsidTr="00D323EE">
        <w:tc>
          <w:tcPr>
            <w:tcW w:w="5524" w:type="dxa"/>
          </w:tcPr>
          <w:p w14:paraId="58F93207" w14:textId="77777777" w:rsidR="00795BE0" w:rsidRDefault="00795BE0" w:rsidP="006F1659">
            <w:pPr>
              <w:spacing w:line="360" w:lineRule="auto"/>
              <w:rPr>
                <w:rFonts w:ascii="Arial" w:hAnsi="Arial" w:cs="Arial"/>
                <w:sz w:val="22"/>
                <w:szCs w:val="22"/>
              </w:rPr>
            </w:pPr>
            <w:r>
              <w:rPr>
                <w:rFonts w:ascii="Arial" w:hAnsi="Arial" w:cs="Arial"/>
                <w:sz w:val="22"/>
                <w:szCs w:val="22"/>
              </w:rPr>
              <w:t>Assets attributable to the Policing Service</w:t>
            </w:r>
          </w:p>
        </w:tc>
        <w:tc>
          <w:tcPr>
            <w:tcW w:w="3876" w:type="dxa"/>
          </w:tcPr>
          <w:p w14:paraId="6B012DFA" w14:textId="77777777" w:rsidR="00795BE0" w:rsidRDefault="00795BE0" w:rsidP="006F1659">
            <w:pPr>
              <w:spacing w:line="360" w:lineRule="auto"/>
              <w:rPr>
                <w:rFonts w:ascii="Arial" w:hAnsi="Arial" w:cs="Arial"/>
                <w:sz w:val="22"/>
                <w:szCs w:val="22"/>
              </w:rPr>
            </w:pPr>
            <w:r>
              <w:rPr>
                <w:rFonts w:ascii="Arial" w:hAnsi="Arial" w:cs="Arial"/>
                <w:sz w:val="22"/>
                <w:szCs w:val="22"/>
              </w:rPr>
              <w:t>5 years</w:t>
            </w:r>
          </w:p>
        </w:tc>
      </w:tr>
      <w:tr w:rsidR="00795BE0" w14:paraId="7F7CD559" w14:textId="77777777" w:rsidTr="00D323EE">
        <w:tc>
          <w:tcPr>
            <w:tcW w:w="5524" w:type="dxa"/>
          </w:tcPr>
          <w:p w14:paraId="6C8626B4" w14:textId="77777777" w:rsidR="00795BE0" w:rsidRDefault="00795BE0" w:rsidP="006F1659">
            <w:pPr>
              <w:spacing w:line="360" w:lineRule="auto"/>
              <w:rPr>
                <w:rFonts w:ascii="Arial" w:hAnsi="Arial" w:cs="Arial"/>
                <w:sz w:val="22"/>
                <w:szCs w:val="22"/>
              </w:rPr>
            </w:pPr>
            <w:r>
              <w:rPr>
                <w:rFonts w:ascii="Arial" w:hAnsi="Arial" w:cs="Arial"/>
                <w:sz w:val="22"/>
                <w:szCs w:val="22"/>
              </w:rPr>
              <w:t>Assets attributable to the Waste Disposal Service</w:t>
            </w:r>
          </w:p>
        </w:tc>
        <w:tc>
          <w:tcPr>
            <w:tcW w:w="3876" w:type="dxa"/>
          </w:tcPr>
          <w:p w14:paraId="7187BD7A" w14:textId="77777777" w:rsidR="00795BE0" w:rsidRDefault="00795BE0" w:rsidP="006F1659">
            <w:pPr>
              <w:spacing w:line="360" w:lineRule="auto"/>
              <w:rPr>
                <w:rFonts w:ascii="Arial" w:hAnsi="Arial" w:cs="Arial"/>
                <w:sz w:val="22"/>
                <w:szCs w:val="22"/>
              </w:rPr>
            </w:pPr>
            <w:r>
              <w:rPr>
                <w:rFonts w:ascii="Arial" w:hAnsi="Arial" w:cs="Arial"/>
                <w:sz w:val="22"/>
                <w:szCs w:val="22"/>
              </w:rPr>
              <w:t>5 years</w:t>
            </w:r>
          </w:p>
        </w:tc>
      </w:tr>
      <w:tr w:rsidR="00795BE0" w14:paraId="5FF420D0" w14:textId="77777777" w:rsidTr="00D323EE">
        <w:tc>
          <w:tcPr>
            <w:tcW w:w="5524" w:type="dxa"/>
          </w:tcPr>
          <w:p w14:paraId="7311A40D" w14:textId="77777777" w:rsidR="00795BE0" w:rsidRDefault="00795BE0" w:rsidP="006F1659">
            <w:pPr>
              <w:spacing w:line="360" w:lineRule="auto"/>
              <w:rPr>
                <w:rFonts w:ascii="Arial" w:hAnsi="Arial" w:cs="Arial"/>
                <w:sz w:val="22"/>
                <w:szCs w:val="22"/>
              </w:rPr>
            </w:pPr>
            <w:r>
              <w:rPr>
                <w:rFonts w:ascii="Arial" w:hAnsi="Arial" w:cs="Arial"/>
                <w:sz w:val="22"/>
                <w:szCs w:val="22"/>
              </w:rPr>
              <w:t>Assets attributable to TfGM</w:t>
            </w:r>
          </w:p>
        </w:tc>
        <w:tc>
          <w:tcPr>
            <w:tcW w:w="3876" w:type="dxa"/>
          </w:tcPr>
          <w:p w14:paraId="06CF7625" w14:textId="5BE37EB7" w:rsidR="00795BE0" w:rsidRDefault="009C22BA" w:rsidP="006F1659">
            <w:pPr>
              <w:spacing w:line="360" w:lineRule="auto"/>
              <w:rPr>
                <w:rFonts w:ascii="Arial" w:hAnsi="Arial" w:cs="Arial"/>
                <w:sz w:val="22"/>
                <w:szCs w:val="22"/>
              </w:rPr>
            </w:pPr>
            <w:r>
              <w:rPr>
                <w:rFonts w:ascii="Arial" w:hAnsi="Arial" w:cs="Arial"/>
                <w:sz w:val="22"/>
                <w:szCs w:val="22"/>
              </w:rPr>
              <w:t xml:space="preserve">3 </w:t>
            </w:r>
            <w:r w:rsidR="00795BE0">
              <w:rPr>
                <w:rFonts w:ascii="Arial" w:hAnsi="Arial" w:cs="Arial"/>
                <w:sz w:val="22"/>
                <w:szCs w:val="22"/>
              </w:rPr>
              <w:t>to 5 years</w:t>
            </w:r>
          </w:p>
        </w:tc>
      </w:tr>
    </w:tbl>
    <w:p w14:paraId="339BAE52" w14:textId="77777777" w:rsidR="00795BE0" w:rsidRPr="0007572B" w:rsidRDefault="00795BE0" w:rsidP="006F1659">
      <w:pPr>
        <w:spacing w:line="360" w:lineRule="auto"/>
        <w:rPr>
          <w:rFonts w:ascii="Arial" w:hAnsi="Arial" w:cs="Arial"/>
          <w:sz w:val="22"/>
          <w:szCs w:val="22"/>
        </w:rPr>
      </w:pPr>
    </w:p>
    <w:p w14:paraId="6C204450" w14:textId="69AA7F6E" w:rsidR="00795BE0" w:rsidRDefault="00795BE0" w:rsidP="006F1659">
      <w:pPr>
        <w:spacing w:line="360" w:lineRule="auto"/>
        <w:rPr>
          <w:rFonts w:ascii="Arial" w:hAnsi="Arial" w:cs="Arial"/>
        </w:rPr>
      </w:pPr>
      <w:r w:rsidRPr="0007572B">
        <w:rPr>
          <w:rFonts w:ascii="Arial" w:hAnsi="Arial" w:cs="Arial"/>
        </w:rPr>
        <w:t>The carrying amounts of intangible assets is amortised on a straight-line basis. Amortisation has been charged to service headings in the cost of services as follows:</w:t>
      </w:r>
    </w:p>
    <w:p w14:paraId="1B096292" w14:textId="017B9F73" w:rsidR="00BA328D" w:rsidRDefault="00BA328D" w:rsidP="006F1659">
      <w:pPr>
        <w:spacing w:line="360" w:lineRule="auto"/>
        <w:rPr>
          <w:rFonts w:ascii="Arial" w:hAnsi="Arial" w:cs="Arial"/>
        </w:rPr>
      </w:pPr>
      <w:r w:rsidRPr="00BA328D">
        <w:rPr>
          <w:noProof/>
        </w:rPr>
        <w:drawing>
          <wp:inline distT="0" distB="0" distL="0" distR="0" wp14:anchorId="581E88FA" wp14:editId="7D00128D">
            <wp:extent cx="3554083" cy="852886"/>
            <wp:effectExtent l="0" t="0" r="8890" b="4445"/>
            <wp:docPr id="287038905" name="Pictur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038905" name="Picture 64">
                      <a:extLst>
                        <a:ext uri="{C183D7F6-B498-43B3-948B-1728B52AA6E4}">
                          <adec:decorative xmlns:adec="http://schemas.microsoft.com/office/drawing/2017/decorative" val="1"/>
                        </a:ext>
                      </a:extLst>
                    </pic:cNvPr>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3563727" cy="855200"/>
                    </a:xfrm>
                    <a:prstGeom prst="rect">
                      <a:avLst/>
                    </a:prstGeom>
                    <a:noFill/>
                    <a:ln>
                      <a:noFill/>
                    </a:ln>
                  </pic:spPr>
                </pic:pic>
              </a:graphicData>
            </a:graphic>
          </wp:inline>
        </w:drawing>
      </w:r>
    </w:p>
    <w:p w14:paraId="67965C32" w14:textId="77777777" w:rsidR="00BA328D" w:rsidRDefault="00BA328D" w:rsidP="006F1659">
      <w:pPr>
        <w:spacing w:line="360" w:lineRule="auto"/>
        <w:rPr>
          <w:rFonts w:ascii="Arial" w:hAnsi="Arial" w:cs="Arial"/>
        </w:rPr>
      </w:pPr>
    </w:p>
    <w:p w14:paraId="50C349CC" w14:textId="0E5BC5CE" w:rsidR="00795BE0" w:rsidRDefault="00795BE0" w:rsidP="006F1659">
      <w:pPr>
        <w:spacing w:line="360" w:lineRule="auto"/>
        <w:rPr>
          <w:rFonts w:ascii="Arial" w:hAnsi="Arial" w:cs="Arial"/>
        </w:rPr>
      </w:pPr>
      <w:r w:rsidRPr="0007572B">
        <w:rPr>
          <w:rFonts w:ascii="Arial" w:hAnsi="Arial" w:cs="Arial"/>
        </w:rPr>
        <w:t>The movement on intangible asset balances during the year is as follows:</w:t>
      </w:r>
    </w:p>
    <w:p w14:paraId="07514BB5" w14:textId="37135C90" w:rsidR="00795BE0" w:rsidRDefault="00BA328D" w:rsidP="006F1659">
      <w:pPr>
        <w:spacing w:line="360" w:lineRule="auto"/>
        <w:rPr>
          <w:rFonts w:ascii="Arial" w:hAnsi="Arial" w:cs="Arial"/>
        </w:rPr>
      </w:pPr>
      <w:r w:rsidRPr="00BA328D">
        <w:rPr>
          <w:noProof/>
        </w:rPr>
        <w:drawing>
          <wp:inline distT="0" distB="0" distL="0" distR="0" wp14:anchorId="0A0ECD18" wp14:editId="06D49E17">
            <wp:extent cx="5975350" cy="2724150"/>
            <wp:effectExtent l="0" t="0" r="6350" b="0"/>
            <wp:docPr id="1954998291" name="Pictur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998291" name="Picture 65">
                      <a:extLst>
                        <a:ext uri="{C183D7F6-B498-43B3-948B-1728B52AA6E4}">
                          <adec:decorative xmlns:adec="http://schemas.microsoft.com/office/drawing/2017/decorative" val="1"/>
                        </a:ext>
                      </a:extLst>
                    </pic:cNvPr>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5975350" cy="2724150"/>
                    </a:xfrm>
                    <a:prstGeom prst="rect">
                      <a:avLst/>
                    </a:prstGeom>
                    <a:noFill/>
                    <a:ln>
                      <a:noFill/>
                    </a:ln>
                  </pic:spPr>
                </pic:pic>
              </a:graphicData>
            </a:graphic>
          </wp:inline>
        </w:drawing>
      </w:r>
    </w:p>
    <w:p w14:paraId="54D20C29" w14:textId="77777777" w:rsidR="00795BE0" w:rsidRDefault="00795BE0" w:rsidP="006F1659">
      <w:pPr>
        <w:spacing w:line="360" w:lineRule="auto"/>
        <w:rPr>
          <w:rFonts w:ascii="Arial" w:hAnsi="Arial" w:cs="Arial"/>
        </w:rPr>
      </w:pPr>
      <w:r>
        <w:rPr>
          <w:rFonts w:ascii="Arial" w:hAnsi="Arial" w:cs="Arial"/>
        </w:rPr>
        <w:br w:type="page"/>
      </w:r>
    </w:p>
    <w:p w14:paraId="19295D95" w14:textId="3E37867A" w:rsidR="00795BE0" w:rsidRPr="00BA328D" w:rsidRDefault="00795BE0" w:rsidP="006F1659">
      <w:pPr>
        <w:spacing w:line="360" w:lineRule="auto"/>
        <w:rPr>
          <w:rFonts w:ascii="Arial" w:hAnsi="Arial" w:cs="Arial"/>
        </w:rPr>
      </w:pPr>
      <w:r w:rsidRPr="00BA328D">
        <w:rPr>
          <w:rFonts w:ascii="Arial" w:hAnsi="Arial" w:cs="Arial"/>
        </w:rPr>
        <w:lastRenderedPageBreak/>
        <w:t xml:space="preserve">There is one capitalised software suite that is individually material to the financial statements: The Information Services Transformation Programme had a </w:t>
      </w:r>
      <w:r w:rsidR="00F84681" w:rsidRPr="00BA328D">
        <w:rPr>
          <w:rFonts w:ascii="Arial" w:hAnsi="Arial" w:cs="Arial"/>
        </w:rPr>
        <w:t xml:space="preserve">gross </w:t>
      </w:r>
      <w:r w:rsidRPr="00BA328D">
        <w:rPr>
          <w:rFonts w:ascii="Arial" w:hAnsi="Arial" w:cs="Arial"/>
        </w:rPr>
        <w:t>carrying amount of £2</w:t>
      </w:r>
      <w:r w:rsidR="0043503F" w:rsidRPr="00BA328D">
        <w:rPr>
          <w:rFonts w:ascii="Arial" w:hAnsi="Arial" w:cs="Arial"/>
        </w:rPr>
        <w:t>5</w:t>
      </w:r>
      <w:r w:rsidRPr="00BA328D">
        <w:rPr>
          <w:rFonts w:ascii="Arial" w:hAnsi="Arial" w:cs="Arial"/>
        </w:rPr>
        <w:t>.</w:t>
      </w:r>
      <w:r w:rsidR="0043503F" w:rsidRPr="00BA328D">
        <w:rPr>
          <w:rFonts w:ascii="Arial" w:hAnsi="Arial" w:cs="Arial"/>
        </w:rPr>
        <w:t>30</w:t>
      </w:r>
      <w:r w:rsidRPr="00BA328D">
        <w:rPr>
          <w:rFonts w:ascii="Arial" w:hAnsi="Arial" w:cs="Arial"/>
        </w:rPr>
        <w:t>6m at 31 March 202</w:t>
      </w:r>
      <w:r w:rsidR="00BA328D" w:rsidRPr="00BA328D">
        <w:rPr>
          <w:rFonts w:ascii="Arial" w:hAnsi="Arial" w:cs="Arial"/>
        </w:rPr>
        <w:t>4</w:t>
      </w:r>
      <w:r w:rsidRPr="00BA328D">
        <w:rPr>
          <w:rFonts w:ascii="Arial" w:hAnsi="Arial" w:cs="Arial"/>
        </w:rPr>
        <w:t xml:space="preserve"> and remaining amortisation period of </w:t>
      </w:r>
      <w:r w:rsidR="00BA328D" w:rsidRPr="00BA328D">
        <w:rPr>
          <w:rFonts w:ascii="Arial" w:hAnsi="Arial" w:cs="Arial"/>
        </w:rPr>
        <w:t>1</w:t>
      </w:r>
      <w:r w:rsidRPr="00BA328D">
        <w:rPr>
          <w:rFonts w:ascii="Arial" w:hAnsi="Arial" w:cs="Arial"/>
        </w:rPr>
        <w:t xml:space="preserve"> year.</w:t>
      </w:r>
    </w:p>
    <w:p w14:paraId="2615109F" w14:textId="77777777" w:rsidR="00BA328D" w:rsidRPr="00BA328D" w:rsidRDefault="00BA328D" w:rsidP="006F1659">
      <w:pPr>
        <w:spacing w:line="360" w:lineRule="auto"/>
        <w:rPr>
          <w:rFonts w:ascii="Arial" w:hAnsi="Arial" w:cs="Arial"/>
        </w:rPr>
      </w:pPr>
      <w:bookmarkStart w:id="304" w:name="_Toc92894943"/>
      <w:bookmarkStart w:id="305" w:name="_Toc92895247"/>
    </w:p>
    <w:p w14:paraId="1FF8FE35" w14:textId="4B701651" w:rsidR="00795BE0" w:rsidRDefault="00BA328D" w:rsidP="006F1659">
      <w:pPr>
        <w:spacing w:line="360" w:lineRule="auto"/>
        <w:rPr>
          <w:rFonts w:ascii="Arial" w:hAnsi="Arial" w:cs="Arial"/>
        </w:rPr>
      </w:pPr>
      <w:r w:rsidRPr="00BA328D">
        <w:rPr>
          <w:rFonts w:ascii="Arial" w:hAnsi="Arial" w:cs="Arial"/>
        </w:rPr>
        <w:t>The internally generated assets for 2023/24 include expenditure on the Clean Air Plan and Bus Franchising Programmes.</w:t>
      </w:r>
    </w:p>
    <w:p w14:paraId="49EEEC1A" w14:textId="77777777" w:rsidR="00BA328D" w:rsidRDefault="00BA328D" w:rsidP="006F1659">
      <w:pPr>
        <w:spacing w:line="360" w:lineRule="auto"/>
        <w:rPr>
          <w:rFonts w:ascii="Arial" w:eastAsia="Palatino Linotype" w:hAnsi="Arial" w:cs="Arial"/>
          <w:b/>
          <w:bCs/>
          <w:szCs w:val="28"/>
          <w:lang w:val="en-US"/>
        </w:rPr>
      </w:pPr>
    </w:p>
    <w:p w14:paraId="2E3CF37F" w14:textId="77777777" w:rsidR="00795BE0" w:rsidRPr="0007572B" w:rsidRDefault="00795BE0" w:rsidP="006F1659">
      <w:pPr>
        <w:pStyle w:val="Heading3greennumbered"/>
        <w:spacing w:line="360" w:lineRule="auto"/>
      </w:pPr>
      <w:bookmarkStart w:id="306" w:name="_Toc109922681"/>
      <w:r w:rsidRPr="0007572B">
        <w:t>49 Group Short and Long Term Debtors and Payments in Advance</w:t>
      </w:r>
      <w:bookmarkEnd w:id="304"/>
      <w:bookmarkEnd w:id="305"/>
      <w:bookmarkEnd w:id="306"/>
    </w:p>
    <w:p w14:paraId="73562A79" w14:textId="77777777" w:rsidR="00795BE0" w:rsidRDefault="00795BE0" w:rsidP="006F1659">
      <w:pPr>
        <w:spacing w:line="360" w:lineRule="auto"/>
        <w:rPr>
          <w:rFonts w:ascii="Arial" w:hAnsi="Arial" w:cs="Arial"/>
          <w:b/>
        </w:rPr>
      </w:pPr>
    </w:p>
    <w:p w14:paraId="29D207D9" w14:textId="793C27FD" w:rsidR="00EF5F08" w:rsidRDefault="002E08E9" w:rsidP="006F1659">
      <w:pPr>
        <w:spacing w:line="360" w:lineRule="auto"/>
        <w:rPr>
          <w:rFonts w:ascii="Arial" w:hAnsi="Arial" w:cs="Arial"/>
          <w:b/>
        </w:rPr>
      </w:pPr>
      <w:r w:rsidRPr="002E08E9">
        <w:rPr>
          <w:noProof/>
        </w:rPr>
        <w:drawing>
          <wp:inline distT="0" distB="0" distL="0" distR="0" wp14:anchorId="3B1C987D" wp14:editId="50CB70E2">
            <wp:extent cx="5650230" cy="845185"/>
            <wp:effectExtent l="0" t="0" r="7620" b="0"/>
            <wp:docPr id="125738755"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38755" name="Picture 26">
                      <a:extLst>
                        <a:ext uri="{C183D7F6-B498-43B3-948B-1728B52AA6E4}">
                          <adec:decorative xmlns:adec="http://schemas.microsoft.com/office/drawing/2017/decorative" val="1"/>
                        </a:ext>
                      </a:extLst>
                    </pic:cNvPr>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5650230" cy="845185"/>
                    </a:xfrm>
                    <a:prstGeom prst="rect">
                      <a:avLst/>
                    </a:prstGeom>
                    <a:noFill/>
                    <a:ln>
                      <a:noFill/>
                    </a:ln>
                  </pic:spPr>
                </pic:pic>
              </a:graphicData>
            </a:graphic>
          </wp:inline>
        </w:drawing>
      </w:r>
    </w:p>
    <w:p w14:paraId="5B55B509" w14:textId="77777777" w:rsidR="002E08E9" w:rsidRDefault="002E08E9" w:rsidP="006F1659">
      <w:pPr>
        <w:spacing w:line="360" w:lineRule="auto"/>
        <w:rPr>
          <w:rFonts w:ascii="Arial" w:hAnsi="Arial" w:cs="Arial"/>
          <w:b/>
        </w:rPr>
      </w:pPr>
    </w:p>
    <w:p w14:paraId="15E8031E" w14:textId="2B5B2340" w:rsidR="002E08E9" w:rsidRDefault="002E08E9" w:rsidP="006F1659">
      <w:pPr>
        <w:spacing w:line="360" w:lineRule="auto"/>
        <w:rPr>
          <w:rFonts w:ascii="Arial" w:hAnsi="Arial" w:cs="Arial"/>
          <w:b/>
        </w:rPr>
      </w:pPr>
      <w:r w:rsidRPr="002E08E9">
        <w:rPr>
          <w:noProof/>
        </w:rPr>
        <w:drawing>
          <wp:inline distT="0" distB="0" distL="0" distR="0" wp14:anchorId="6A037204" wp14:editId="25C19D5E">
            <wp:extent cx="5650230" cy="1405890"/>
            <wp:effectExtent l="0" t="0" r="7620" b="3810"/>
            <wp:docPr id="1436585663"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585663" name="Picture 27">
                      <a:extLst>
                        <a:ext uri="{C183D7F6-B498-43B3-948B-1728B52AA6E4}">
                          <adec:decorative xmlns:adec="http://schemas.microsoft.com/office/drawing/2017/decorative" val="1"/>
                        </a:ext>
                      </a:extLst>
                    </pic:cNvPr>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5650230" cy="1405890"/>
                    </a:xfrm>
                    <a:prstGeom prst="rect">
                      <a:avLst/>
                    </a:prstGeom>
                    <a:noFill/>
                    <a:ln>
                      <a:noFill/>
                    </a:ln>
                  </pic:spPr>
                </pic:pic>
              </a:graphicData>
            </a:graphic>
          </wp:inline>
        </w:drawing>
      </w:r>
    </w:p>
    <w:p w14:paraId="5F3FD502" w14:textId="2EDB8758" w:rsidR="002E08E9" w:rsidRDefault="002E08E9" w:rsidP="006F1659">
      <w:pPr>
        <w:spacing w:line="360" w:lineRule="auto"/>
        <w:rPr>
          <w:rFonts w:ascii="Arial" w:hAnsi="Arial" w:cs="Arial"/>
          <w:b/>
        </w:rPr>
      </w:pPr>
      <w:r>
        <w:rPr>
          <w:rFonts w:ascii="Arial" w:hAnsi="Arial" w:cs="Arial"/>
          <w:b/>
        </w:rPr>
        <w:tab/>
      </w:r>
    </w:p>
    <w:p w14:paraId="2C422504" w14:textId="4CF94ADE" w:rsidR="00EF5F08" w:rsidRPr="00EF5F08" w:rsidRDefault="00EF5F08" w:rsidP="006F1659">
      <w:pPr>
        <w:pStyle w:val="Heading4bold"/>
        <w:spacing w:line="360" w:lineRule="auto"/>
      </w:pPr>
      <w:r w:rsidRPr="00F51726">
        <w:t>Ageing Analysis of Trade Debtors</w:t>
      </w:r>
    </w:p>
    <w:p w14:paraId="6553F72C" w14:textId="7A66A1FB" w:rsidR="00DB5E63" w:rsidRDefault="007F111B" w:rsidP="006F1659">
      <w:pPr>
        <w:spacing w:line="360" w:lineRule="auto"/>
        <w:rPr>
          <w:rFonts w:ascii="Arial" w:hAnsi="Arial" w:cs="Arial"/>
          <w:b/>
        </w:rPr>
      </w:pPr>
      <w:r w:rsidRPr="007F111B">
        <w:rPr>
          <w:noProof/>
        </w:rPr>
        <w:drawing>
          <wp:inline distT="0" distB="0" distL="0" distR="0" wp14:anchorId="75EDB172" wp14:editId="0FBEDDCB">
            <wp:extent cx="5975350" cy="561340"/>
            <wp:effectExtent l="0" t="0" r="6350" b="0"/>
            <wp:docPr id="268530517"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530517" name="Picture 30">
                      <a:extLst>
                        <a:ext uri="{C183D7F6-B498-43B3-948B-1728B52AA6E4}">
                          <adec:decorative xmlns:adec="http://schemas.microsoft.com/office/drawing/2017/decorative" val="1"/>
                        </a:ext>
                      </a:extLst>
                    </pic:cNvPr>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5975350" cy="561340"/>
                    </a:xfrm>
                    <a:prstGeom prst="rect">
                      <a:avLst/>
                    </a:prstGeom>
                    <a:noFill/>
                    <a:ln>
                      <a:noFill/>
                    </a:ln>
                  </pic:spPr>
                </pic:pic>
              </a:graphicData>
            </a:graphic>
          </wp:inline>
        </w:drawing>
      </w:r>
    </w:p>
    <w:p w14:paraId="2CC87B1C" w14:textId="77777777" w:rsidR="00DB5E63" w:rsidRPr="0007572B" w:rsidRDefault="00DB5E63" w:rsidP="006F1659">
      <w:pPr>
        <w:spacing w:line="360" w:lineRule="auto"/>
        <w:rPr>
          <w:rFonts w:ascii="Arial" w:hAnsi="Arial" w:cs="Arial"/>
          <w:b/>
        </w:rPr>
      </w:pPr>
    </w:p>
    <w:p w14:paraId="6CB956FB" w14:textId="77777777" w:rsidR="00795BE0" w:rsidRPr="0007572B" w:rsidRDefault="00795BE0" w:rsidP="006F1659">
      <w:pPr>
        <w:pStyle w:val="Heading3greennumbered"/>
        <w:spacing w:line="360" w:lineRule="auto"/>
      </w:pPr>
      <w:bookmarkStart w:id="307" w:name="_Toc92894944"/>
      <w:bookmarkStart w:id="308" w:name="_Toc92895248"/>
      <w:bookmarkStart w:id="309" w:name="_Toc109922682"/>
      <w:r w:rsidRPr="0007572B">
        <w:t>50 Group Cash and Cash Equivalents</w:t>
      </w:r>
      <w:bookmarkEnd w:id="307"/>
      <w:bookmarkEnd w:id="308"/>
      <w:bookmarkEnd w:id="309"/>
    </w:p>
    <w:p w14:paraId="1D4ADA7D" w14:textId="77777777" w:rsidR="00795BE0" w:rsidRDefault="00795BE0" w:rsidP="006F1659">
      <w:pPr>
        <w:spacing w:line="360" w:lineRule="auto"/>
        <w:rPr>
          <w:rFonts w:ascii="Arial" w:hAnsi="Arial" w:cs="Arial"/>
          <w:b/>
        </w:rPr>
      </w:pPr>
    </w:p>
    <w:p w14:paraId="5A171283" w14:textId="01F09C24" w:rsidR="007474A4" w:rsidRDefault="007F111B" w:rsidP="006F1659">
      <w:pPr>
        <w:spacing w:line="360" w:lineRule="auto"/>
      </w:pPr>
      <w:r w:rsidRPr="007F111B">
        <w:rPr>
          <w:noProof/>
        </w:rPr>
        <w:drawing>
          <wp:inline distT="0" distB="0" distL="0" distR="0" wp14:anchorId="1845A0A2" wp14:editId="284F6287">
            <wp:extent cx="4002405" cy="897255"/>
            <wp:effectExtent l="0" t="0" r="0" b="0"/>
            <wp:docPr id="1642558070"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558070" name="Picture 31">
                      <a:extLst>
                        <a:ext uri="{C183D7F6-B498-43B3-948B-1728B52AA6E4}">
                          <adec:decorative xmlns:adec="http://schemas.microsoft.com/office/drawing/2017/decorative" val="1"/>
                        </a:ext>
                      </a:extLst>
                    </pic:cNvPr>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4002405" cy="897255"/>
                    </a:xfrm>
                    <a:prstGeom prst="rect">
                      <a:avLst/>
                    </a:prstGeom>
                    <a:noFill/>
                    <a:ln>
                      <a:noFill/>
                    </a:ln>
                  </pic:spPr>
                </pic:pic>
              </a:graphicData>
            </a:graphic>
          </wp:inline>
        </w:drawing>
      </w:r>
    </w:p>
    <w:p w14:paraId="534A1110" w14:textId="77777777" w:rsidR="00F42EFE" w:rsidRDefault="00F42EFE" w:rsidP="006F1659">
      <w:pPr>
        <w:spacing w:line="360" w:lineRule="auto"/>
        <w:rPr>
          <w:rFonts w:ascii="Arial" w:eastAsia="Palatino Linotype" w:hAnsi="Arial" w:cs="Arial"/>
          <w:b/>
          <w:bCs/>
          <w:szCs w:val="28"/>
          <w:lang w:val="en-US"/>
        </w:rPr>
      </w:pPr>
      <w:bookmarkStart w:id="310" w:name="_Toc92894945"/>
      <w:bookmarkStart w:id="311" w:name="_Toc92895249"/>
      <w:bookmarkStart w:id="312" w:name="_Toc109922683"/>
      <w:r>
        <w:br w:type="page"/>
      </w:r>
    </w:p>
    <w:p w14:paraId="215483FE" w14:textId="252338E3" w:rsidR="00795BE0" w:rsidRPr="0007572B" w:rsidRDefault="00795BE0" w:rsidP="006F1659">
      <w:pPr>
        <w:pStyle w:val="Heading3greennumbered"/>
        <w:spacing w:line="360" w:lineRule="auto"/>
      </w:pPr>
      <w:r w:rsidRPr="0007572B">
        <w:lastRenderedPageBreak/>
        <w:t>51 Group Short Term Creditors</w:t>
      </w:r>
      <w:bookmarkEnd w:id="310"/>
      <w:bookmarkEnd w:id="311"/>
      <w:bookmarkEnd w:id="312"/>
    </w:p>
    <w:p w14:paraId="5CBA547D" w14:textId="77777777" w:rsidR="007474A4" w:rsidRDefault="007474A4" w:rsidP="006F1659">
      <w:pPr>
        <w:spacing w:line="360" w:lineRule="auto"/>
        <w:rPr>
          <w:rFonts w:ascii="Arial" w:hAnsi="Arial" w:cs="Arial"/>
          <w:noProof/>
          <w:sz w:val="28"/>
          <w:szCs w:val="28"/>
          <w:lang w:eastAsia="en-GB"/>
        </w:rPr>
      </w:pPr>
    </w:p>
    <w:p w14:paraId="0253152B" w14:textId="6D275D83" w:rsidR="007F111B" w:rsidRDefault="008671BE" w:rsidP="006F1659">
      <w:pPr>
        <w:spacing w:line="360" w:lineRule="auto"/>
        <w:rPr>
          <w:rFonts w:ascii="Arial" w:hAnsi="Arial" w:cs="Arial"/>
          <w:noProof/>
          <w:sz w:val="28"/>
          <w:szCs w:val="28"/>
          <w:lang w:eastAsia="en-GB"/>
        </w:rPr>
      </w:pPr>
      <w:r w:rsidRPr="008671BE">
        <w:rPr>
          <w:noProof/>
        </w:rPr>
        <w:drawing>
          <wp:inline distT="0" distB="0" distL="0" distR="0" wp14:anchorId="2EFB7EA6" wp14:editId="0883AE36">
            <wp:extent cx="5245100" cy="1276350"/>
            <wp:effectExtent l="0" t="0" r="0" b="0"/>
            <wp:docPr id="1287644544"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644544" name="Picture 40">
                      <a:extLst>
                        <a:ext uri="{C183D7F6-B498-43B3-948B-1728B52AA6E4}">
                          <adec:decorative xmlns:adec="http://schemas.microsoft.com/office/drawing/2017/decorative" val="1"/>
                        </a:ext>
                      </a:extLst>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5245100" cy="1276350"/>
                    </a:xfrm>
                    <a:prstGeom prst="rect">
                      <a:avLst/>
                    </a:prstGeom>
                    <a:noFill/>
                    <a:ln>
                      <a:noFill/>
                    </a:ln>
                  </pic:spPr>
                </pic:pic>
              </a:graphicData>
            </a:graphic>
          </wp:inline>
        </w:drawing>
      </w:r>
    </w:p>
    <w:p w14:paraId="1E9B4F1C" w14:textId="77777777" w:rsidR="007F111B" w:rsidRPr="00647034" w:rsidRDefault="007F111B" w:rsidP="006F1659">
      <w:pPr>
        <w:spacing w:line="360" w:lineRule="auto"/>
        <w:rPr>
          <w:rFonts w:ascii="Arial" w:hAnsi="Arial" w:cs="Arial"/>
          <w:noProof/>
          <w:sz w:val="28"/>
          <w:szCs w:val="28"/>
          <w:lang w:eastAsia="en-GB"/>
        </w:rPr>
      </w:pPr>
    </w:p>
    <w:p w14:paraId="5DA05E9A" w14:textId="77777777" w:rsidR="00795BE0" w:rsidRPr="0007572B" w:rsidRDefault="00795BE0" w:rsidP="006F1659">
      <w:pPr>
        <w:pStyle w:val="Heading3greennumbered"/>
        <w:spacing w:line="360" w:lineRule="auto"/>
      </w:pPr>
      <w:bookmarkStart w:id="313" w:name="_Toc92894946"/>
      <w:bookmarkStart w:id="314" w:name="_Toc92895250"/>
      <w:bookmarkStart w:id="315" w:name="_Toc109922684"/>
      <w:r w:rsidRPr="0007572B">
        <w:t>52 Group Short and Long Term Provisions</w:t>
      </w:r>
      <w:bookmarkEnd w:id="313"/>
      <w:bookmarkEnd w:id="314"/>
      <w:bookmarkEnd w:id="315"/>
    </w:p>
    <w:p w14:paraId="6C5A2D08" w14:textId="77777777" w:rsidR="00795BE0" w:rsidRDefault="00795BE0" w:rsidP="006F1659">
      <w:pPr>
        <w:spacing w:line="360" w:lineRule="auto"/>
        <w:rPr>
          <w:rFonts w:ascii="Arial" w:hAnsi="Arial" w:cs="Arial"/>
        </w:rPr>
      </w:pPr>
    </w:p>
    <w:p w14:paraId="5A7E8C1B" w14:textId="62161B30" w:rsidR="00795BE0" w:rsidRPr="0007572B" w:rsidRDefault="00795BE0" w:rsidP="006F1659">
      <w:pPr>
        <w:spacing w:line="360" w:lineRule="auto"/>
        <w:rPr>
          <w:rFonts w:ascii="Arial" w:hAnsi="Arial" w:cs="Arial"/>
        </w:rPr>
      </w:pPr>
      <w:r w:rsidRPr="0007572B">
        <w:rPr>
          <w:rFonts w:ascii="Arial" w:hAnsi="Arial" w:cs="Arial"/>
        </w:rPr>
        <w:t>Provisions are established to meet liabilities or losses which are likely or certain to be incurred, but the amounts or timings are uncertain. Provisions provided as at 31 March 202</w:t>
      </w:r>
      <w:r w:rsidR="00F5093E">
        <w:rPr>
          <w:rFonts w:ascii="Arial" w:hAnsi="Arial" w:cs="Arial"/>
        </w:rPr>
        <w:t>4</w:t>
      </w:r>
      <w:r w:rsidRPr="0007572B">
        <w:rPr>
          <w:rFonts w:ascii="Arial" w:hAnsi="Arial" w:cs="Arial"/>
        </w:rPr>
        <w:t xml:space="preserve"> relate to (a) capital works, (b) insurance excesses,</w:t>
      </w:r>
      <w:r w:rsidR="00EF116E">
        <w:rPr>
          <w:rFonts w:ascii="Arial" w:hAnsi="Arial" w:cs="Arial"/>
        </w:rPr>
        <w:t xml:space="preserve"> </w:t>
      </w:r>
      <w:r w:rsidR="00B54132">
        <w:rPr>
          <w:rFonts w:ascii="Arial" w:hAnsi="Arial" w:cs="Arial"/>
        </w:rPr>
        <w:t xml:space="preserve">(c) </w:t>
      </w:r>
      <w:r w:rsidRPr="0007572B">
        <w:rPr>
          <w:rFonts w:ascii="Arial" w:hAnsi="Arial" w:cs="Arial"/>
        </w:rPr>
        <w:t>an onerous lease</w:t>
      </w:r>
      <w:r w:rsidR="00EF116E">
        <w:rPr>
          <w:rFonts w:ascii="Arial" w:hAnsi="Arial" w:cs="Arial"/>
        </w:rPr>
        <w:t xml:space="preserve"> and (d) </w:t>
      </w:r>
      <w:r w:rsidR="00463AF0">
        <w:rPr>
          <w:rFonts w:ascii="Arial" w:hAnsi="Arial" w:cs="Arial"/>
        </w:rPr>
        <w:t>Landcare</w:t>
      </w:r>
      <w:r w:rsidR="00EF116E">
        <w:rPr>
          <w:rFonts w:ascii="Arial" w:hAnsi="Arial" w:cs="Arial"/>
        </w:rPr>
        <w:t xml:space="preserve"> provision</w:t>
      </w:r>
      <w:r w:rsidRPr="0007572B">
        <w:rPr>
          <w:rFonts w:ascii="Arial" w:hAnsi="Arial" w:cs="Arial"/>
        </w:rPr>
        <w:t>.</w:t>
      </w:r>
    </w:p>
    <w:p w14:paraId="5A40D1AB" w14:textId="77777777" w:rsidR="007F111B" w:rsidRDefault="007F111B" w:rsidP="006F1659">
      <w:pPr>
        <w:spacing w:line="360" w:lineRule="auto"/>
        <w:rPr>
          <w:rFonts w:ascii="Arial" w:hAnsi="Arial" w:cs="Arial"/>
          <w:b/>
        </w:rPr>
      </w:pPr>
    </w:p>
    <w:p w14:paraId="65881ABA" w14:textId="5BF74E5A" w:rsidR="00795BE0" w:rsidRDefault="00E66BDC" w:rsidP="006F1659">
      <w:pPr>
        <w:spacing w:line="360" w:lineRule="auto"/>
        <w:rPr>
          <w:rFonts w:ascii="Arial" w:hAnsi="Arial" w:cs="Arial"/>
          <w:b/>
        </w:rPr>
      </w:pPr>
      <w:r w:rsidRPr="00E66BDC">
        <w:rPr>
          <w:rFonts w:ascii="Arial" w:hAnsi="Arial" w:cs="Arial"/>
          <w:b/>
        </w:rPr>
        <w:t xml:space="preserve"> </w:t>
      </w:r>
      <w:r w:rsidR="008671BE" w:rsidRPr="008671BE">
        <w:rPr>
          <w:noProof/>
        </w:rPr>
        <w:drawing>
          <wp:inline distT="0" distB="0" distL="0" distR="0" wp14:anchorId="09B5740F" wp14:editId="3EBF06F0">
            <wp:extent cx="5975350" cy="3173730"/>
            <wp:effectExtent l="0" t="0" r="6350" b="7620"/>
            <wp:docPr id="711129389"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129389" name="Picture 41">
                      <a:extLst>
                        <a:ext uri="{C183D7F6-B498-43B3-948B-1728B52AA6E4}">
                          <adec:decorative xmlns:adec="http://schemas.microsoft.com/office/drawing/2017/decorative" val="1"/>
                        </a:ext>
                      </a:extLst>
                    </pic:cNvPr>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5975350" cy="3173730"/>
                    </a:xfrm>
                    <a:prstGeom prst="rect">
                      <a:avLst/>
                    </a:prstGeom>
                    <a:noFill/>
                    <a:ln>
                      <a:noFill/>
                    </a:ln>
                  </pic:spPr>
                </pic:pic>
              </a:graphicData>
            </a:graphic>
          </wp:inline>
        </w:drawing>
      </w:r>
    </w:p>
    <w:p w14:paraId="3176420A" w14:textId="77777777" w:rsidR="00795BE0" w:rsidRPr="0007572B" w:rsidRDefault="00795BE0" w:rsidP="006F1659">
      <w:pPr>
        <w:spacing w:line="360" w:lineRule="auto"/>
        <w:jc w:val="both"/>
        <w:rPr>
          <w:rFonts w:ascii="Arial" w:hAnsi="Arial" w:cs="Arial"/>
          <w:b/>
          <w:u w:val="single"/>
          <w:lang w:eastAsia="en-GB"/>
        </w:rPr>
      </w:pPr>
    </w:p>
    <w:p w14:paraId="20D045C3" w14:textId="09754C3F" w:rsidR="00795BE0" w:rsidRDefault="00795BE0" w:rsidP="00D15D90">
      <w:pPr>
        <w:pStyle w:val="ListParagraph"/>
        <w:numPr>
          <w:ilvl w:val="0"/>
          <w:numId w:val="61"/>
        </w:numPr>
        <w:spacing w:after="0" w:line="360" w:lineRule="auto"/>
        <w:rPr>
          <w:rFonts w:ascii="Arial" w:hAnsi="Arial" w:cs="Arial"/>
          <w:sz w:val="24"/>
          <w:szCs w:val="24"/>
        </w:rPr>
      </w:pPr>
      <w:bookmarkStart w:id="316" w:name="_Hlk107235867"/>
      <w:r>
        <w:rPr>
          <w:rFonts w:ascii="Arial" w:hAnsi="Arial" w:cs="Arial"/>
          <w:sz w:val="24"/>
          <w:szCs w:val="24"/>
        </w:rPr>
        <w:t xml:space="preserve">Capital Works - </w:t>
      </w:r>
      <w:r w:rsidRPr="000A2EDF">
        <w:rPr>
          <w:rFonts w:ascii="Arial" w:hAnsi="Arial" w:cs="Arial"/>
          <w:sz w:val="24"/>
          <w:szCs w:val="24"/>
        </w:rPr>
        <w:t>Costs for works arising for land acquired</w:t>
      </w:r>
      <w:r w:rsidRPr="000A2EDF" w:rsidDel="001F1EF1">
        <w:rPr>
          <w:rFonts w:ascii="Arial" w:hAnsi="Arial" w:cs="Arial"/>
          <w:sz w:val="24"/>
          <w:szCs w:val="24"/>
        </w:rPr>
        <w:t xml:space="preserve"> </w:t>
      </w:r>
      <w:r w:rsidRPr="000A2EDF">
        <w:rPr>
          <w:rFonts w:ascii="Arial" w:hAnsi="Arial" w:cs="Arial"/>
          <w:sz w:val="24"/>
          <w:szCs w:val="24"/>
        </w:rPr>
        <w:t>in the ordinary course of delivering TfGM’s capital programme, where the amount of payment is uncertain</w:t>
      </w:r>
      <w:r w:rsidR="00D26387">
        <w:rPr>
          <w:rFonts w:ascii="Arial" w:hAnsi="Arial" w:cs="Arial"/>
          <w:sz w:val="24"/>
          <w:szCs w:val="24"/>
        </w:rPr>
        <w:t>.</w:t>
      </w:r>
    </w:p>
    <w:p w14:paraId="7111124B" w14:textId="77777777" w:rsidR="00795BE0" w:rsidRDefault="00795BE0" w:rsidP="006F1659">
      <w:pPr>
        <w:pStyle w:val="ListParagraph"/>
        <w:spacing w:after="0" w:line="360" w:lineRule="auto"/>
        <w:rPr>
          <w:rFonts w:ascii="Arial" w:hAnsi="Arial" w:cs="Arial"/>
          <w:sz w:val="24"/>
          <w:szCs w:val="24"/>
        </w:rPr>
      </w:pPr>
    </w:p>
    <w:p w14:paraId="36F7B9E3" w14:textId="73FACB13" w:rsidR="00795BE0" w:rsidRDefault="00795BE0" w:rsidP="00D15D90">
      <w:pPr>
        <w:pStyle w:val="ListParagraph"/>
        <w:numPr>
          <w:ilvl w:val="0"/>
          <w:numId w:val="61"/>
        </w:numPr>
        <w:spacing w:after="0" w:line="360" w:lineRule="auto"/>
        <w:rPr>
          <w:rFonts w:ascii="Arial" w:hAnsi="Arial" w:cs="Arial"/>
          <w:sz w:val="24"/>
          <w:szCs w:val="24"/>
        </w:rPr>
      </w:pPr>
      <w:r>
        <w:rPr>
          <w:rFonts w:ascii="Arial" w:hAnsi="Arial" w:cs="Arial"/>
          <w:sz w:val="24"/>
          <w:szCs w:val="24"/>
        </w:rPr>
        <w:lastRenderedPageBreak/>
        <w:t xml:space="preserve">Insurance Excess - </w:t>
      </w:r>
      <w:r w:rsidRPr="00E5256C">
        <w:rPr>
          <w:rFonts w:ascii="Arial" w:hAnsi="Arial" w:cs="Arial"/>
          <w:sz w:val="24"/>
          <w:szCs w:val="24"/>
        </w:rPr>
        <w:t>Excesses on Public Liability claims, arising from minor accidents to the public, and Employers Liability claims for work related illnesses that were potentially incurred prior to the transfer of TfGM’s bus operations following the implementation of the Transport Act 1985</w:t>
      </w:r>
      <w:r w:rsidR="00D26387">
        <w:rPr>
          <w:rFonts w:ascii="Arial" w:hAnsi="Arial" w:cs="Arial"/>
          <w:sz w:val="24"/>
          <w:szCs w:val="24"/>
        </w:rPr>
        <w:t>.</w:t>
      </w:r>
    </w:p>
    <w:p w14:paraId="58A31001" w14:textId="77777777" w:rsidR="00795BE0" w:rsidRPr="00E5256C" w:rsidRDefault="00795BE0" w:rsidP="006F1659">
      <w:pPr>
        <w:pStyle w:val="ListParagraph"/>
        <w:spacing w:line="360" w:lineRule="auto"/>
        <w:rPr>
          <w:rFonts w:ascii="Arial" w:hAnsi="Arial" w:cs="Arial"/>
          <w:sz w:val="24"/>
          <w:szCs w:val="24"/>
        </w:rPr>
      </w:pPr>
    </w:p>
    <w:p w14:paraId="02A9EEB4" w14:textId="28E9922A" w:rsidR="00795BE0" w:rsidRDefault="00795BE0" w:rsidP="00D15D90">
      <w:pPr>
        <w:pStyle w:val="ListParagraph"/>
        <w:numPr>
          <w:ilvl w:val="0"/>
          <w:numId w:val="61"/>
        </w:numPr>
        <w:spacing w:after="0" w:line="360" w:lineRule="auto"/>
        <w:rPr>
          <w:rFonts w:ascii="Arial" w:hAnsi="Arial" w:cs="Arial"/>
          <w:sz w:val="24"/>
          <w:szCs w:val="24"/>
        </w:rPr>
      </w:pPr>
      <w:r w:rsidRPr="00E5256C">
        <w:rPr>
          <w:rFonts w:ascii="Arial" w:hAnsi="Arial" w:cs="Arial"/>
          <w:sz w:val="24"/>
          <w:szCs w:val="24"/>
        </w:rPr>
        <w:t>Onerous lease</w:t>
      </w:r>
      <w:r>
        <w:rPr>
          <w:rFonts w:ascii="Arial" w:hAnsi="Arial" w:cs="Arial"/>
          <w:sz w:val="24"/>
          <w:szCs w:val="24"/>
        </w:rPr>
        <w:t xml:space="preserve"> -</w:t>
      </w:r>
      <w:r w:rsidRPr="00E5256C">
        <w:rPr>
          <w:rFonts w:ascii="Arial" w:hAnsi="Arial" w:cs="Arial"/>
          <w:sz w:val="24"/>
          <w:szCs w:val="24"/>
        </w:rPr>
        <w:t xml:space="preserve"> Future lease costs of a property held on a long</w:t>
      </w:r>
      <w:r w:rsidR="00F3496D">
        <w:rPr>
          <w:rFonts w:ascii="Arial" w:hAnsi="Arial" w:cs="Arial"/>
          <w:sz w:val="24"/>
          <w:szCs w:val="24"/>
        </w:rPr>
        <w:t xml:space="preserve"> </w:t>
      </w:r>
      <w:r w:rsidRPr="00E5256C">
        <w:rPr>
          <w:rFonts w:ascii="Arial" w:hAnsi="Arial" w:cs="Arial"/>
          <w:sz w:val="24"/>
          <w:szCs w:val="24"/>
        </w:rPr>
        <w:t>term lease by TfGM</w:t>
      </w:r>
      <w:r w:rsidR="00D26387">
        <w:rPr>
          <w:rFonts w:ascii="Arial" w:hAnsi="Arial" w:cs="Arial"/>
          <w:sz w:val="24"/>
          <w:szCs w:val="24"/>
        </w:rPr>
        <w:t>.</w:t>
      </w:r>
    </w:p>
    <w:p w14:paraId="3B0ECE8C" w14:textId="77777777" w:rsidR="00EF116E" w:rsidRPr="00EF116E" w:rsidRDefault="00EF116E" w:rsidP="006F1659">
      <w:pPr>
        <w:pStyle w:val="ListParagraph"/>
        <w:spacing w:line="360" w:lineRule="auto"/>
        <w:rPr>
          <w:rFonts w:ascii="Arial" w:hAnsi="Arial" w:cs="Arial"/>
          <w:sz w:val="24"/>
          <w:szCs w:val="24"/>
        </w:rPr>
      </w:pPr>
    </w:p>
    <w:p w14:paraId="3F6C421F" w14:textId="115CF6A4" w:rsidR="00EF116E" w:rsidRDefault="00EF116E" w:rsidP="00D15D90">
      <w:pPr>
        <w:pStyle w:val="ListParagraph"/>
        <w:numPr>
          <w:ilvl w:val="0"/>
          <w:numId w:val="61"/>
        </w:numPr>
        <w:spacing w:after="0" w:line="360" w:lineRule="auto"/>
        <w:rPr>
          <w:rFonts w:ascii="Arial" w:hAnsi="Arial" w:cs="Arial"/>
          <w:sz w:val="24"/>
          <w:szCs w:val="24"/>
        </w:rPr>
      </w:pPr>
      <w:r w:rsidRPr="00271082">
        <w:rPr>
          <w:rFonts w:ascii="Arial" w:hAnsi="Arial" w:cs="Arial"/>
          <w:sz w:val="24"/>
          <w:szCs w:val="24"/>
        </w:rPr>
        <w:t>Landcare Provision - The GMWDA sold 18 sites to the private sector (Landcare (Manchester) Limited) in December 2012 in return for agreeing a fixed ten year contribution less potential income from part of any enhanced value (overage) from future development of the sites. The Landcare provision represents the maximum amounts that GMCA would have to pay each year, however as there is an overage clause if Landcare were to make money from one of the sites transferred to them, there is a mechanism to reduce the annual payment.</w:t>
      </w:r>
    </w:p>
    <w:bookmarkEnd w:id="316"/>
    <w:p w14:paraId="57568625" w14:textId="77777777" w:rsidR="00795BE0" w:rsidRDefault="00795BE0" w:rsidP="006F1659">
      <w:pPr>
        <w:spacing w:line="360" w:lineRule="auto"/>
        <w:jc w:val="both"/>
        <w:rPr>
          <w:rFonts w:ascii="Arial" w:hAnsi="Arial" w:cs="Arial"/>
          <w:b/>
          <w:sz w:val="22"/>
          <w:szCs w:val="22"/>
        </w:rPr>
      </w:pPr>
    </w:p>
    <w:p w14:paraId="13CC5B9D" w14:textId="77777777" w:rsidR="00BD2CF6" w:rsidRPr="0007572B" w:rsidRDefault="00BD2CF6" w:rsidP="006F1659">
      <w:pPr>
        <w:spacing w:line="360" w:lineRule="auto"/>
        <w:jc w:val="both"/>
        <w:rPr>
          <w:rFonts w:ascii="Arial" w:hAnsi="Arial" w:cs="Arial"/>
          <w:b/>
          <w:sz w:val="22"/>
          <w:szCs w:val="22"/>
        </w:rPr>
      </w:pPr>
    </w:p>
    <w:p w14:paraId="2D6514C8" w14:textId="77777777" w:rsidR="00795BE0" w:rsidRPr="0007572B" w:rsidRDefault="00795BE0" w:rsidP="006F1659">
      <w:pPr>
        <w:pStyle w:val="Heading3greennumbered"/>
        <w:spacing w:line="360" w:lineRule="auto"/>
      </w:pPr>
      <w:bookmarkStart w:id="317" w:name="_Toc92894947"/>
      <w:bookmarkStart w:id="318" w:name="_Toc92895251"/>
      <w:bookmarkStart w:id="319" w:name="_Toc109922685"/>
      <w:r w:rsidRPr="0007572B">
        <w:t>53 Group Unusable Reserves</w:t>
      </w:r>
      <w:bookmarkEnd w:id="317"/>
      <w:bookmarkEnd w:id="318"/>
      <w:bookmarkEnd w:id="319"/>
    </w:p>
    <w:p w14:paraId="19DB003F" w14:textId="034A786C" w:rsidR="00795BE0" w:rsidRDefault="00795BE0" w:rsidP="006F1659">
      <w:pPr>
        <w:spacing w:line="360" w:lineRule="auto"/>
        <w:rPr>
          <w:rFonts w:ascii="Arial" w:hAnsi="Arial" w:cs="Arial"/>
          <w:b/>
        </w:rPr>
      </w:pPr>
    </w:p>
    <w:p w14:paraId="3E63497E" w14:textId="262905EA" w:rsidR="00AC6E9D" w:rsidRDefault="00A010D2" w:rsidP="006F1659">
      <w:pPr>
        <w:spacing w:line="360" w:lineRule="auto"/>
        <w:rPr>
          <w:rFonts w:ascii="Arial" w:hAnsi="Arial" w:cs="Arial"/>
          <w:b/>
        </w:rPr>
      </w:pPr>
      <w:r w:rsidRPr="00A010D2">
        <w:rPr>
          <w:noProof/>
        </w:rPr>
        <w:drawing>
          <wp:inline distT="0" distB="0" distL="0" distR="0" wp14:anchorId="4AE7422F" wp14:editId="4179FD4E">
            <wp:extent cx="5542280" cy="1670050"/>
            <wp:effectExtent l="0" t="0" r="1270" b="6350"/>
            <wp:docPr id="611700029"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700029" name="Picture 15">
                      <a:extLst>
                        <a:ext uri="{C183D7F6-B498-43B3-948B-1728B52AA6E4}">
                          <adec:decorative xmlns:adec="http://schemas.microsoft.com/office/drawing/2017/decorative" val="1"/>
                        </a:ext>
                      </a:extLst>
                    </pic:cNvPr>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542280" cy="1670050"/>
                    </a:xfrm>
                    <a:prstGeom prst="rect">
                      <a:avLst/>
                    </a:prstGeom>
                    <a:noFill/>
                    <a:ln>
                      <a:noFill/>
                    </a:ln>
                  </pic:spPr>
                </pic:pic>
              </a:graphicData>
            </a:graphic>
          </wp:inline>
        </w:drawing>
      </w:r>
    </w:p>
    <w:p w14:paraId="7A4A7C4B" w14:textId="77777777" w:rsidR="007F111B" w:rsidRDefault="007F111B" w:rsidP="006F1659">
      <w:pPr>
        <w:spacing w:line="360" w:lineRule="auto"/>
        <w:rPr>
          <w:rFonts w:ascii="Arial" w:hAnsi="Arial" w:cs="Arial"/>
          <w:b/>
        </w:rPr>
      </w:pPr>
    </w:p>
    <w:p w14:paraId="3E1B3994" w14:textId="77777777" w:rsidR="00795BE0" w:rsidRPr="0007572B" w:rsidRDefault="00795BE0" w:rsidP="006F1659">
      <w:pPr>
        <w:pStyle w:val="Heading4bold"/>
        <w:spacing w:line="360" w:lineRule="auto"/>
      </w:pPr>
      <w:r w:rsidRPr="0007572B">
        <w:t>Capital Adjustment Account</w:t>
      </w:r>
    </w:p>
    <w:p w14:paraId="357CC60C" w14:textId="36E8C7B1" w:rsidR="00795BE0" w:rsidRDefault="00795BE0" w:rsidP="006F1659">
      <w:pPr>
        <w:spacing w:line="360" w:lineRule="auto"/>
        <w:rPr>
          <w:rFonts w:ascii="Arial" w:hAnsi="Arial" w:cs="Arial"/>
        </w:rPr>
      </w:pPr>
      <w:r w:rsidRPr="0007572B">
        <w:rPr>
          <w:rFonts w:ascii="Arial" w:hAnsi="Arial" w:cs="Arial"/>
        </w:rPr>
        <w:t xml:space="preserve">The Capital Adjustment Account absorbs the timing differences arising from the different arrangements for accounting for the consumption of non-current assets and for financing the acquisition, </w:t>
      </w:r>
      <w:r w:rsidR="008B7E93" w:rsidRPr="0007572B">
        <w:rPr>
          <w:rFonts w:ascii="Arial" w:hAnsi="Arial" w:cs="Arial"/>
        </w:rPr>
        <w:t>construction,</w:t>
      </w:r>
      <w:r w:rsidRPr="0007572B">
        <w:rPr>
          <w:rFonts w:ascii="Arial" w:hAnsi="Arial" w:cs="Arial"/>
        </w:rPr>
        <w:t xml:space="preserve"> or enhancement of those assets under statutory provisions.</w:t>
      </w:r>
    </w:p>
    <w:p w14:paraId="37526729" w14:textId="77777777" w:rsidR="00BD2CF6" w:rsidRDefault="00BD2CF6" w:rsidP="006F1659">
      <w:pPr>
        <w:spacing w:line="360" w:lineRule="auto"/>
        <w:rPr>
          <w:rFonts w:ascii="Arial" w:hAnsi="Arial" w:cs="Arial"/>
        </w:rPr>
      </w:pPr>
    </w:p>
    <w:p w14:paraId="0F277360" w14:textId="1DCE9790" w:rsidR="007F111B" w:rsidRDefault="007F111B" w:rsidP="006F1659">
      <w:pPr>
        <w:spacing w:line="360" w:lineRule="auto"/>
        <w:rPr>
          <w:rFonts w:ascii="Arial" w:hAnsi="Arial" w:cs="Arial"/>
        </w:rPr>
      </w:pPr>
      <w:r w:rsidRPr="007F111B">
        <w:rPr>
          <w:noProof/>
        </w:rPr>
        <w:lastRenderedPageBreak/>
        <w:drawing>
          <wp:inline distT="0" distB="0" distL="0" distR="0" wp14:anchorId="365CDDA9" wp14:editId="1E7BBAAB">
            <wp:extent cx="5975350" cy="6559550"/>
            <wp:effectExtent l="0" t="0" r="6350" b="0"/>
            <wp:docPr id="98184737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847377" name="Picture 37">
                      <a:extLst>
                        <a:ext uri="{C183D7F6-B498-43B3-948B-1728B52AA6E4}">
                          <adec:decorative xmlns:adec="http://schemas.microsoft.com/office/drawing/2017/decorative" val="1"/>
                        </a:ext>
                      </a:extLst>
                    </pic:cNvPr>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5975350" cy="6559550"/>
                    </a:xfrm>
                    <a:prstGeom prst="rect">
                      <a:avLst/>
                    </a:prstGeom>
                    <a:noFill/>
                    <a:ln>
                      <a:noFill/>
                    </a:ln>
                  </pic:spPr>
                </pic:pic>
              </a:graphicData>
            </a:graphic>
          </wp:inline>
        </w:drawing>
      </w:r>
    </w:p>
    <w:p w14:paraId="455D6628" w14:textId="385A3D51" w:rsidR="006F1CCD" w:rsidRDefault="006F1CCD" w:rsidP="006F1659">
      <w:pPr>
        <w:spacing w:line="360" w:lineRule="auto"/>
        <w:rPr>
          <w:rFonts w:ascii="Arial" w:hAnsi="Arial" w:cs="Arial"/>
        </w:rPr>
      </w:pPr>
    </w:p>
    <w:p w14:paraId="1D470BD1" w14:textId="77777777" w:rsidR="001174F5" w:rsidRDefault="001174F5" w:rsidP="006F1659">
      <w:pPr>
        <w:spacing w:line="360" w:lineRule="auto"/>
        <w:rPr>
          <w:rFonts w:ascii="Arial" w:hAnsi="Arial" w:cs="Arial"/>
          <w:b/>
          <w:bCs/>
        </w:rPr>
      </w:pPr>
      <w:r>
        <w:br w:type="page"/>
      </w:r>
    </w:p>
    <w:p w14:paraId="2716A6E3" w14:textId="6AA6D505" w:rsidR="00795BE0" w:rsidRPr="0007572B" w:rsidRDefault="00795BE0" w:rsidP="006F1659">
      <w:pPr>
        <w:pStyle w:val="Heading4bold"/>
        <w:spacing w:line="360" w:lineRule="auto"/>
      </w:pPr>
      <w:r w:rsidRPr="0007572B">
        <w:lastRenderedPageBreak/>
        <w:t>Pensions Reserve</w:t>
      </w:r>
    </w:p>
    <w:p w14:paraId="2B0D1275" w14:textId="424A554F" w:rsidR="00795BE0" w:rsidRDefault="00795BE0" w:rsidP="006F1659">
      <w:pPr>
        <w:spacing w:line="360" w:lineRule="auto"/>
        <w:rPr>
          <w:rFonts w:ascii="Arial" w:hAnsi="Arial" w:cs="Arial"/>
        </w:rPr>
      </w:pPr>
      <w:r w:rsidRPr="0007572B">
        <w:rPr>
          <w:rFonts w:ascii="Arial" w:hAnsi="Arial" w:cs="Arial"/>
        </w:rPr>
        <w:t>This relates to the net pension asset as at 31 March 202</w:t>
      </w:r>
      <w:r w:rsidR="00F5093E">
        <w:rPr>
          <w:rFonts w:ascii="Arial" w:hAnsi="Arial" w:cs="Arial"/>
        </w:rPr>
        <w:t>4</w:t>
      </w:r>
      <w:r w:rsidRPr="0007572B">
        <w:rPr>
          <w:rFonts w:ascii="Arial" w:hAnsi="Arial" w:cs="Arial"/>
        </w:rPr>
        <w:t xml:space="preserve"> in accordance with the actuary's report. Further details are shown in note </w:t>
      </w:r>
      <w:r w:rsidR="00E416F6">
        <w:rPr>
          <w:rFonts w:ascii="Arial" w:hAnsi="Arial" w:cs="Arial"/>
        </w:rPr>
        <w:t>59</w:t>
      </w:r>
      <w:r w:rsidRPr="0007572B">
        <w:rPr>
          <w:rFonts w:ascii="Arial" w:hAnsi="Arial" w:cs="Arial"/>
        </w:rPr>
        <w:t>.</w:t>
      </w:r>
    </w:p>
    <w:p w14:paraId="4767F7B4" w14:textId="77777777" w:rsidR="00625C81" w:rsidRDefault="00625C81" w:rsidP="006F1659">
      <w:pPr>
        <w:spacing w:line="360" w:lineRule="auto"/>
        <w:rPr>
          <w:noProof/>
        </w:rPr>
      </w:pPr>
    </w:p>
    <w:p w14:paraId="1489571C" w14:textId="768A762D" w:rsidR="00A05A12" w:rsidRDefault="00A010D2" w:rsidP="006F1659">
      <w:pPr>
        <w:spacing w:line="360" w:lineRule="auto"/>
        <w:rPr>
          <w:noProof/>
        </w:rPr>
      </w:pPr>
      <w:r w:rsidRPr="00A010D2">
        <w:rPr>
          <w:noProof/>
        </w:rPr>
        <w:drawing>
          <wp:inline distT="0" distB="0" distL="0" distR="0" wp14:anchorId="004661FA" wp14:editId="7FF76430">
            <wp:extent cx="5975350" cy="1256030"/>
            <wp:effectExtent l="0" t="0" r="6350" b="1270"/>
            <wp:docPr id="1703859472"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859472" name="Picture 14">
                      <a:extLst>
                        <a:ext uri="{C183D7F6-B498-43B3-948B-1728B52AA6E4}">
                          <adec:decorative xmlns:adec="http://schemas.microsoft.com/office/drawing/2017/decorative" val="1"/>
                        </a:ext>
                      </a:extLst>
                    </pic:cNvPr>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5975350" cy="1256030"/>
                    </a:xfrm>
                    <a:prstGeom prst="rect">
                      <a:avLst/>
                    </a:prstGeom>
                    <a:noFill/>
                    <a:ln>
                      <a:noFill/>
                    </a:ln>
                  </pic:spPr>
                </pic:pic>
              </a:graphicData>
            </a:graphic>
          </wp:inline>
        </w:drawing>
      </w:r>
    </w:p>
    <w:p w14:paraId="1843754D" w14:textId="2943509A" w:rsidR="00A05A12" w:rsidRDefault="00A05A12" w:rsidP="006F1659">
      <w:pPr>
        <w:spacing w:line="360" w:lineRule="auto"/>
      </w:pPr>
    </w:p>
    <w:p w14:paraId="3E4B167E" w14:textId="73D82DF5" w:rsidR="00795BE0" w:rsidRPr="007474A4" w:rsidRDefault="00795BE0" w:rsidP="006F1659">
      <w:pPr>
        <w:pStyle w:val="Heading4bold"/>
        <w:spacing w:line="360" w:lineRule="auto"/>
      </w:pPr>
      <w:r w:rsidRPr="0007572B">
        <w:t>Revaluation Reserve</w:t>
      </w:r>
    </w:p>
    <w:p w14:paraId="2AE509FC" w14:textId="001197B2" w:rsidR="00AC6E9D" w:rsidRDefault="00A05A12" w:rsidP="006F1659">
      <w:pPr>
        <w:spacing w:line="360" w:lineRule="auto"/>
        <w:rPr>
          <w:rFonts w:ascii="Arial" w:hAnsi="Arial" w:cs="Arial"/>
          <w:b/>
        </w:rPr>
      </w:pPr>
      <w:r w:rsidRPr="00A05A12">
        <w:rPr>
          <w:noProof/>
        </w:rPr>
        <w:drawing>
          <wp:inline distT="0" distB="0" distL="0" distR="0" wp14:anchorId="4F51AA3B" wp14:editId="456C56BB">
            <wp:extent cx="5975350" cy="1945640"/>
            <wp:effectExtent l="0" t="0" r="6350" b="0"/>
            <wp:docPr id="1040189302"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89302" name="Picture 41">
                      <a:extLst>
                        <a:ext uri="{C183D7F6-B498-43B3-948B-1728B52AA6E4}">
                          <adec:decorative xmlns:adec="http://schemas.microsoft.com/office/drawing/2017/decorative" val="1"/>
                        </a:ext>
                      </a:extLst>
                    </pic:cNvPr>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5975350" cy="1945640"/>
                    </a:xfrm>
                    <a:prstGeom prst="rect">
                      <a:avLst/>
                    </a:prstGeom>
                    <a:noFill/>
                    <a:ln>
                      <a:noFill/>
                    </a:ln>
                  </pic:spPr>
                </pic:pic>
              </a:graphicData>
            </a:graphic>
          </wp:inline>
        </w:drawing>
      </w:r>
    </w:p>
    <w:p w14:paraId="130F1027" w14:textId="77777777" w:rsidR="00A05A12" w:rsidRPr="0007572B" w:rsidRDefault="00A05A12" w:rsidP="006F1659">
      <w:pPr>
        <w:spacing w:line="360" w:lineRule="auto"/>
        <w:rPr>
          <w:rFonts w:ascii="Arial" w:hAnsi="Arial" w:cs="Arial"/>
          <w:b/>
        </w:rPr>
      </w:pPr>
    </w:p>
    <w:p w14:paraId="2A7E33B5" w14:textId="4E3D7CA6" w:rsidR="00795BE0" w:rsidRPr="00A05A12" w:rsidRDefault="00795BE0" w:rsidP="00A05A12">
      <w:pPr>
        <w:pStyle w:val="Heading4bold"/>
        <w:spacing w:line="360" w:lineRule="auto"/>
      </w:pPr>
      <w:r w:rsidRPr="0007572B">
        <w:t>Accumulated Absences Reserve</w:t>
      </w:r>
    </w:p>
    <w:p w14:paraId="1D07AD7E" w14:textId="07B01788" w:rsidR="00A05A12" w:rsidRDefault="00A05A12" w:rsidP="006F1659">
      <w:pPr>
        <w:spacing w:line="360" w:lineRule="auto"/>
        <w:rPr>
          <w:rFonts w:ascii="Arial" w:hAnsi="Arial" w:cs="Arial"/>
          <w:b/>
        </w:rPr>
      </w:pPr>
      <w:r w:rsidRPr="00A05A12">
        <w:rPr>
          <w:noProof/>
        </w:rPr>
        <w:drawing>
          <wp:inline distT="0" distB="0" distL="0" distR="0" wp14:anchorId="0E2D9734" wp14:editId="0BB5036C">
            <wp:extent cx="5779698" cy="1218589"/>
            <wp:effectExtent l="0" t="0" r="0" b="635"/>
            <wp:docPr id="1212533978"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533978" name="Picture 42">
                      <a:extLst>
                        <a:ext uri="{C183D7F6-B498-43B3-948B-1728B52AA6E4}">
                          <adec:decorative xmlns:adec="http://schemas.microsoft.com/office/drawing/2017/decorative" val="1"/>
                        </a:ext>
                      </a:extLs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5783492" cy="1219389"/>
                    </a:xfrm>
                    <a:prstGeom prst="rect">
                      <a:avLst/>
                    </a:prstGeom>
                    <a:noFill/>
                    <a:ln>
                      <a:noFill/>
                    </a:ln>
                  </pic:spPr>
                </pic:pic>
              </a:graphicData>
            </a:graphic>
          </wp:inline>
        </w:drawing>
      </w:r>
    </w:p>
    <w:p w14:paraId="148180A0" w14:textId="77777777" w:rsidR="00A05A12" w:rsidRPr="0007572B" w:rsidRDefault="00A05A12" w:rsidP="006F1659">
      <w:pPr>
        <w:spacing w:line="360" w:lineRule="auto"/>
        <w:rPr>
          <w:rFonts w:ascii="Arial" w:hAnsi="Arial" w:cs="Arial"/>
          <w:b/>
        </w:rPr>
      </w:pPr>
    </w:p>
    <w:p w14:paraId="469264B8" w14:textId="77777777" w:rsidR="00795BE0" w:rsidRPr="0007572B" w:rsidRDefault="00795BE0" w:rsidP="006F1659">
      <w:pPr>
        <w:pStyle w:val="Heading4bold"/>
        <w:spacing w:line="360" w:lineRule="auto"/>
      </w:pPr>
      <w:r w:rsidRPr="0007572B">
        <w:t>Deregulation Reserve</w:t>
      </w:r>
    </w:p>
    <w:p w14:paraId="792EC8FF" w14:textId="77777777" w:rsidR="00795BE0" w:rsidRPr="0007572B" w:rsidRDefault="00795BE0" w:rsidP="006F1659">
      <w:pPr>
        <w:spacing w:line="360" w:lineRule="auto"/>
        <w:rPr>
          <w:rFonts w:ascii="Arial" w:hAnsi="Arial" w:cs="Arial"/>
        </w:rPr>
      </w:pPr>
      <w:r w:rsidRPr="0007572B">
        <w:rPr>
          <w:rFonts w:ascii="Arial" w:hAnsi="Arial" w:cs="Arial"/>
        </w:rPr>
        <w:t>The Deregulation Reserve represents payments and losses incurred by TfGM with respect to deregulation on 25 October 1986, which were not charged to profit and loss.</w:t>
      </w:r>
    </w:p>
    <w:p w14:paraId="0269D26C" w14:textId="77777777" w:rsidR="00795BE0" w:rsidRDefault="00795BE0" w:rsidP="006F1659">
      <w:pPr>
        <w:spacing w:line="360" w:lineRule="auto"/>
        <w:rPr>
          <w:noProof/>
        </w:rPr>
      </w:pPr>
    </w:p>
    <w:p w14:paraId="30BA2DD6" w14:textId="7620E68E" w:rsidR="00795BE0" w:rsidRPr="0007572B" w:rsidRDefault="00A05A12" w:rsidP="006F1659">
      <w:pPr>
        <w:spacing w:line="360" w:lineRule="auto"/>
        <w:rPr>
          <w:rFonts w:ascii="Arial" w:hAnsi="Arial" w:cs="Arial"/>
          <w:b/>
          <w:sz w:val="22"/>
          <w:szCs w:val="22"/>
        </w:rPr>
      </w:pPr>
      <w:r w:rsidRPr="00A05A12">
        <w:rPr>
          <w:noProof/>
        </w:rPr>
        <w:drawing>
          <wp:inline distT="0" distB="0" distL="0" distR="0" wp14:anchorId="6038AC28" wp14:editId="3A50FCC8">
            <wp:extent cx="4873925" cy="620587"/>
            <wp:effectExtent l="0" t="0" r="3175" b="8255"/>
            <wp:docPr id="1355203171"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203171" name="Picture 43">
                      <a:extLst>
                        <a:ext uri="{C183D7F6-B498-43B3-948B-1728B52AA6E4}">
                          <adec:decorative xmlns:adec="http://schemas.microsoft.com/office/drawing/2017/decorative" val="1"/>
                        </a:ext>
                      </a:extLst>
                    </pic:cNvPr>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4898201" cy="623678"/>
                    </a:xfrm>
                    <a:prstGeom prst="rect">
                      <a:avLst/>
                    </a:prstGeom>
                    <a:noFill/>
                    <a:ln>
                      <a:noFill/>
                    </a:ln>
                  </pic:spPr>
                </pic:pic>
              </a:graphicData>
            </a:graphic>
          </wp:inline>
        </w:drawing>
      </w:r>
      <w:r w:rsidR="00795BE0" w:rsidRPr="0007572B">
        <w:rPr>
          <w:rFonts w:ascii="Arial" w:hAnsi="Arial" w:cs="Arial"/>
          <w:b/>
          <w:sz w:val="22"/>
          <w:szCs w:val="22"/>
        </w:rPr>
        <w:br w:type="page"/>
      </w:r>
    </w:p>
    <w:p w14:paraId="717D31D9" w14:textId="77777777" w:rsidR="00795BE0" w:rsidRPr="0007572B" w:rsidRDefault="00795BE0" w:rsidP="006F1659">
      <w:pPr>
        <w:pStyle w:val="Heading3greennumbered"/>
        <w:spacing w:line="360" w:lineRule="auto"/>
      </w:pPr>
      <w:bookmarkStart w:id="320" w:name="_Toc92894948"/>
      <w:bookmarkStart w:id="321" w:name="_Toc92895252"/>
      <w:bookmarkStart w:id="322" w:name="_Toc109922686"/>
      <w:r w:rsidRPr="0007572B">
        <w:lastRenderedPageBreak/>
        <w:t>5</w:t>
      </w:r>
      <w:r>
        <w:t>4</w:t>
      </w:r>
      <w:r w:rsidRPr="0007572B">
        <w:t xml:space="preserve"> Group Contingent Liabilities</w:t>
      </w:r>
      <w:bookmarkEnd w:id="320"/>
      <w:bookmarkEnd w:id="321"/>
      <w:bookmarkEnd w:id="322"/>
    </w:p>
    <w:p w14:paraId="6AEE5122" w14:textId="77777777" w:rsidR="00795BE0" w:rsidRDefault="00795BE0" w:rsidP="006F1659">
      <w:pPr>
        <w:spacing w:line="360" w:lineRule="auto"/>
        <w:rPr>
          <w:rFonts w:ascii="Arial" w:hAnsi="Arial" w:cs="Arial"/>
          <w:b/>
          <w:bCs/>
        </w:rPr>
      </w:pPr>
    </w:p>
    <w:p w14:paraId="57B4D2FD" w14:textId="20B67FAB" w:rsidR="001C7C79" w:rsidRPr="00B3635A" w:rsidRDefault="001C7C79" w:rsidP="006F1659">
      <w:pPr>
        <w:pStyle w:val="Heading4bold"/>
        <w:spacing w:after="0" w:line="360" w:lineRule="auto"/>
      </w:pPr>
      <w:bookmarkStart w:id="323" w:name="_Hlk109673158"/>
      <w:r w:rsidRPr="00B3635A">
        <w:t>Contingent Liabilities relating to GMP</w:t>
      </w:r>
      <w:r w:rsidR="00256B04" w:rsidRPr="00B3635A">
        <w:t>:</w:t>
      </w:r>
    </w:p>
    <w:p w14:paraId="0FD44D52" w14:textId="77777777" w:rsidR="001C7C79" w:rsidRPr="00B3635A" w:rsidRDefault="001C7C79" w:rsidP="006F1659">
      <w:pPr>
        <w:pStyle w:val="Normal0"/>
        <w:spacing w:line="360" w:lineRule="auto"/>
        <w:rPr>
          <w:rFonts w:ascii="Arial" w:hAnsi="Arial" w:cs="Arial"/>
          <w:sz w:val="24"/>
          <w:szCs w:val="24"/>
        </w:rPr>
      </w:pPr>
    </w:p>
    <w:bookmarkEnd w:id="323"/>
    <w:p w14:paraId="2E1D0831" w14:textId="319AEF4A" w:rsidR="00B3635A" w:rsidRPr="00CF6447" w:rsidRDefault="00B3635A" w:rsidP="00B3635A">
      <w:pPr>
        <w:spacing w:line="360" w:lineRule="auto"/>
        <w:rPr>
          <w:rFonts w:ascii="Arial" w:hAnsi="Arial" w:cs="Arial"/>
          <w:b/>
          <w:bCs/>
        </w:rPr>
      </w:pPr>
      <w:r w:rsidRPr="00B3635A">
        <w:rPr>
          <w:rFonts w:ascii="Arial" w:hAnsi="Arial" w:cs="Arial"/>
          <w:b/>
          <w:bCs/>
        </w:rPr>
        <w:t>McCloud/Sargeant Compensation Claims</w:t>
      </w:r>
    </w:p>
    <w:p w14:paraId="2AD00ABB" w14:textId="77777777" w:rsidR="00B3635A" w:rsidRPr="00B3635A" w:rsidRDefault="00B3635A" w:rsidP="00B3635A">
      <w:pPr>
        <w:spacing w:line="360" w:lineRule="auto"/>
        <w:rPr>
          <w:rFonts w:ascii="Arial" w:hAnsi="Arial" w:cs="Arial"/>
        </w:rPr>
      </w:pPr>
      <w:r w:rsidRPr="00B3635A">
        <w:rPr>
          <w:rFonts w:ascii="Arial" w:hAnsi="Arial" w:cs="Arial"/>
        </w:rPr>
        <w:t>Claimants have lodged claims for compensation under two active sets of litigation, Aarons and Penningtons.</w:t>
      </w:r>
    </w:p>
    <w:p w14:paraId="0A3873FD" w14:textId="77777777" w:rsidR="00B3635A" w:rsidRPr="00B3635A" w:rsidRDefault="00B3635A" w:rsidP="00B3635A">
      <w:pPr>
        <w:spacing w:line="360" w:lineRule="auto"/>
        <w:rPr>
          <w:rFonts w:ascii="Arial" w:hAnsi="Arial" w:cs="Arial"/>
        </w:rPr>
      </w:pPr>
    </w:p>
    <w:p w14:paraId="32C67266" w14:textId="77777777" w:rsidR="00B3635A" w:rsidRPr="00B3635A" w:rsidRDefault="00B3635A" w:rsidP="00B3635A">
      <w:pPr>
        <w:spacing w:line="360" w:lineRule="auto"/>
        <w:rPr>
          <w:rFonts w:ascii="Arial" w:hAnsi="Arial" w:cs="Arial"/>
          <w:b/>
          <w:bCs/>
        </w:rPr>
      </w:pPr>
      <w:r w:rsidRPr="00B3635A">
        <w:rPr>
          <w:rFonts w:ascii="Arial" w:hAnsi="Arial" w:cs="Arial"/>
          <w:b/>
          <w:bCs/>
        </w:rPr>
        <w:t>Aarons and Ors</w:t>
      </w:r>
    </w:p>
    <w:p w14:paraId="021F8375" w14:textId="77777777" w:rsidR="00B3635A" w:rsidRPr="00B3635A" w:rsidRDefault="00B3635A" w:rsidP="00B3635A">
      <w:pPr>
        <w:spacing w:line="360" w:lineRule="auto"/>
        <w:rPr>
          <w:rFonts w:ascii="Arial" w:hAnsi="Arial" w:cs="Arial"/>
        </w:rPr>
      </w:pPr>
      <w:r w:rsidRPr="00B3635A">
        <w:rPr>
          <w:rFonts w:ascii="Arial" w:hAnsi="Arial" w:cs="Arial"/>
        </w:rPr>
        <w:t>Government Legal Department settled the injury to feelings claims for Aarons on behalf of Chief Officers without seeking any financial contributions. Pecuniary loss claims have been stayed until the remedy is brought into force from 1st October 2023. The settlement of the injury to feelings claims for Aarons sets a helpful precedent, and therefore no liability in respect of compensation claims is recognised in these accounts.</w:t>
      </w:r>
    </w:p>
    <w:p w14:paraId="0E02CF29" w14:textId="77777777" w:rsidR="00B3635A" w:rsidRPr="00B3635A" w:rsidRDefault="00B3635A" w:rsidP="00B3635A">
      <w:pPr>
        <w:spacing w:line="360" w:lineRule="auto"/>
        <w:rPr>
          <w:rFonts w:ascii="Arial" w:hAnsi="Arial" w:cs="Arial"/>
          <w:b/>
          <w:bCs/>
        </w:rPr>
      </w:pPr>
    </w:p>
    <w:p w14:paraId="1CD21F75" w14:textId="77777777" w:rsidR="00B3635A" w:rsidRPr="00B3635A" w:rsidRDefault="00B3635A" w:rsidP="00B3635A">
      <w:pPr>
        <w:spacing w:line="360" w:lineRule="auto"/>
        <w:rPr>
          <w:rFonts w:ascii="Arial" w:hAnsi="Arial" w:cs="Arial"/>
          <w:b/>
          <w:bCs/>
        </w:rPr>
      </w:pPr>
      <w:r w:rsidRPr="00B3635A">
        <w:rPr>
          <w:rFonts w:ascii="Arial" w:hAnsi="Arial" w:cs="Arial"/>
          <w:b/>
          <w:bCs/>
        </w:rPr>
        <w:t>Penningtons</w:t>
      </w:r>
    </w:p>
    <w:p w14:paraId="36F4160A" w14:textId="440D8187" w:rsidR="00F06E01" w:rsidRDefault="00B3635A" w:rsidP="00B3635A">
      <w:pPr>
        <w:spacing w:line="360" w:lineRule="auto"/>
        <w:rPr>
          <w:rFonts w:ascii="Arial" w:hAnsi="Arial" w:cs="Arial"/>
        </w:rPr>
      </w:pPr>
      <w:r w:rsidRPr="00B3635A">
        <w:rPr>
          <w:rFonts w:ascii="Arial" w:hAnsi="Arial" w:cs="Arial"/>
        </w:rPr>
        <w:t>As at 31st March 2024, it is not possible to reliably estimate the extent or likelihood of these injury to feelings claims being successful, and therefore no liability in respect of compensation claims is recognised in these accounts.</w:t>
      </w:r>
    </w:p>
    <w:p w14:paraId="12A87566" w14:textId="77777777" w:rsidR="00B3635A" w:rsidRPr="001A2D52" w:rsidRDefault="00B3635A" w:rsidP="00B3635A">
      <w:pPr>
        <w:spacing w:line="360" w:lineRule="auto"/>
        <w:rPr>
          <w:rFonts w:ascii="Arial" w:hAnsi="Arial" w:cs="Arial"/>
          <w:highlight w:val="yellow"/>
        </w:rPr>
      </w:pPr>
    </w:p>
    <w:p w14:paraId="108247DA" w14:textId="552EF075" w:rsidR="00795BE0" w:rsidRPr="00B3635A" w:rsidRDefault="00795BE0" w:rsidP="006F1659">
      <w:pPr>
        <w:pStyle w:val="Heading4bold"/>
        <w:spacing w:after="0" w:line="360" w:lineRule="auto"/>
      </w:pPr>
      <w:r w:rsidRPr="00B3635A">
        <w:t>Contingent Liabilities relating to TfGM</w:t>
      </w:r>
      <w:r w:rsidR="00B3635A">
        <w:t>:</w:t>
      </w:r>
    </w:p>
    <w:p w14:paraId="47C9879F" w14:textId="77777777" w:rsidR="00B3635A" w:rsidRDefault="00B3635A" w:rsidP="006F1659">
      <w:pPr>
        <w:spacing w:line="360" w:lineRule="auto"/>
        <w:rPr>
          <w:rFonts w:ascii="Arial" w:hAnsi="Arial" w:cs="Arial"/>
        </w:rPr>
      </w:pPr>
    </w:p>
    <w:p w14:paraId="53EBA16C" w14:textId="34C013EF" w:rsidR="00795BE0" w:rsidRDefault="00B3635A" w:rsidP="006F1659">
      <w:pPr>
        <w:spacing w:line="360" w:lineRule="auto"/>
        <w:rPr>
          <w:rFonts w:ascii="Arial" w:hAnsi="Arial" w:cs="Arial"/>
          <w:b/>
          <w:bCs/>
          <w:color w:val="000000" w:themeColor="text1"/>
          <w:sz w:val="26"/>
          <w:szCs w:val="26"/>
        </w:rPr>
      </w:pPr>
      <w:r w:rsidRPr="00B3635A">
        <w:rPr>
          <w:rFonts w:ascii="Arial" w:hAnsi="Arial" w:cs="Arial"/>
        </w:rPr>
        <w:t>A contingent liability exists in relation to a claim received from a third party for damages. There are ongoing proceedings and liability is denied. Due to this, the final amount payable, if any, in relation to this claim is uncertain. The Directors consider that the provision of additional information could be prejudicial to its position in resolving this matter.</w:t>
      </w:r>
    </w:p>
    <w:p w14:paraId="10974535" w14:textId="77777777" w:rsidR="00256B04" w:rsidRDefault="00256B04" w:rsidP="006F1659">
      <w:pPr>
        <w:spacing w:line="360" w:lineRule="auto"/>
        <w:rPr>
          <w:rFonts w:ascii="Arial" w:hAnsi="Arial" w:cs="Arial"/>
          <w:b/>
          <w:bCs/>
          <w:color w:val="000000" w:themeColor="text1"/>
          <w:sz w:val="26"/>
          <w:szCs w:val="26"/>
        </w:rPr>
      </w:pPr>
    </w:p>
    <w:p w14:paraId="2FFF613D" w14:textId="77777777" w:rsidR="00A05A12" w:rsidRDefault="00A05A12">
      <w:pPr>
        <w:rPr>
          <w:rFonts w:ascii="Arial" w:eastAsia="Palatino Linotype" w:hAnsi="Arial" w:cs="Arial"/>
          <w:b/>
          <w:bCs/>
          <w:szCs w:val="28"/>
          <w:lang w:val="en-US"/>
        </w:rPr>
      </w:pPr>
      <w:bookmarkStart w:id="324" w:name="_Toc92894949"/>
      <w:bookmarkStart w:id="325" w:name="_Toc92895253"/>
      <w:bookmarkStart w:id="326" w:name="_Toc109922687"/>
      <w:r>
        <w:br w:type="page"/>
      </w:r>
    </w:p>
    <w:p w14:paraId="119C9A9B" w14:textId="6739D077" w:rsidR="00795BE0" w:rsidRPr="0007572B" w:rsidRDefault="00795BE0" w:rsidP="006F1659">
      <w:pPr>
        <w:pStyle w:val="Heading3greennumbered"/>
        <w:spacing w:line="360" w:lineRule="auto"/>
      </w:pPr>
      <w:r w:rsidRPr="0007572B">
        <w:lastRenderedPageBreak/>
        <w:t>5</w:t>
      </w:r>
      <w:r>
        <w:t>5</w:t>
      </w:r>
      <w:r w:rsidRPr="0007572B">
        <w:t xml:space="preserve"> Group Financial Instruments</w:t>
      </w:r>
      <w:bookmarkEnd w:id="324"/>
      <w:bookmarkEnd w:id="325"/>
      <w:bookmarkEnd w:id="326"/>
    </w:p>
    <w:p w14:paraId="3FE3F524" w14:textId="77777777" w:rsidR="00795BE0" w:rsidRDefault="00795BE0" w:rsidP="006F1659">
      <w:pPr>
        <w:spacing w:line="360" w:lineRule="auto"/>
        <w:rPr>
          <w:rFonts w:ascii="Arial" w:hAnsi="Arial" w:cs="Arial"/>
          <w:b/>
        </w:rPr>
      </w:pPr>
    </w:p>
    <w:p w14:paraId="27402ED6" w14:textId="77777777" w:rsidR="00795BE0" w:rsidRPr="0007572B" w:rsidRDefault="00795BE0" w:rsidP="006F1659">
      <w:pPr>
        <w:pStyle w:val="Heading4bold"/>
        <w:spacing w:line="360" w:lineRule="auto"/>
      </w:pPr>
      <w:r w:rsidRPr="0007572B">
        <w:t>Categories of Financial Instruments</w:t>
      </w:r>
    </w:p>
    <w:p w14:paraId="64518987" w14:textId="37FA8D83" w:rsidR="00795BE0" w:rsidRDefault="00795BE0" w:rsidP="006F1659">
      <w:pPr>
        <w:spacing w:line="360" w:lineRule="auto"/>
        <w:rPr>
          <w:rFonts w:ascii="Arial" w:hAnsi="Arial" w:cs="Arial"/>
        </w:rPr>
      </w:pPr>
      <w:r w:rsidRPr="0007572B">
        <w:rPr>
          <w:rFonts w:ascii="Arial" w:hAnsi="Arial" w:cs="Arial"/>
        </w:rPr>
        <w:t>The tables below show the categories of financial instruments which are carried in the Balance Sheet:</w:t>
      </w:r>
    </w:p>
    <w:p w14:paraId="50EC6EEA" w14:textId="1F9D8514" w:rsidR="0044773C" w:rsidRDefault="00A05A12" w:rsidP="006F1659">
      <w:pPr>
        <w:spacing w:line="360" w:lineRule="auto"/>
        <w:rPr>
          <w:rFonts w:ascii="Arial" w:hAnsi="Arial" w:cs="Arial"/>
        </w:rPr>
      </w:pPr>
      <w:r w:rsidRPr="00A05A12">
        <w:rPr>
          <w:noProof/>
        </w:rPr>
        <w:drawing>
          <wp:inline distT="0" distB="0" distL="0" distR="0" wp14:anchorId="0EC7E2C2" wp14:editId="026AE47E">
            <wp:extent cx="5975350" cy="1313815"/>
            <wp:effectExtent l="0" t="0" r="6350" b="635"/>
            <wp:docPr id="960805771"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805771" name="Picture 44">
                      <a:extLst>
                        <a:ext uri="{C183D7F6-B498-43B3-948B-1728B52AA6E4}">
                          <adec:decorative xmlns:adec="http://schemas.microsoft.com/office/drawing/2017/decorative" val="1"/>
                        </a:ext>
                      </a:extLst>
                    </pic:cNvPr>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5975350" cy="1313815"/>
                    </a:xfrm>
                    <a:prstGeom prst="rect">
                      <a:avLst/>
                    </a:prstGeom>
                    <a:noFill/>
                    <a:ln>
                      <a:noFill/>
                    </a:ln>
                  </pic:spPr>
                </pic:pic>
              </a:graphicData>
            </a:graphic>
          </wp:inline>
        </w:drawing>
      </w:r>
    </w:p>
    <w:p w14:paraId="24C1AEB7" w14:textId="77777777" w:rsidR="00A05A12" w:rsidRPr="0007572B" w:rsidRDefault="00A05A12" w:rsidP="006F1659">
      <w:pPr>
        <w:spacing w:line="360" w:lineRule="auto"/>
        <w:rPr>
          <w:rFonts w:ascii="Arial" w:hAnsi="Arial" w:cs="Arial"/>
        </w:rPr>
      </w:pPr>
    </w:p>
    <w:p w14:paraId="1D20F99B" w14:textId="5E442520" w:rsidR="0044773C" w:rsidRDefault="008671BE" w:rsidP="006F1659">
      <w:pPr>
        <w:spacing w:line="360" w:lineRule="auto"/>
        <w:rPr>
          <w:rFonts w:ascii="Arial" w:hAnsi="Arial" w:cs="Arial"/>
          <w:b/>
        </w:rPr>
      </w:pPr>
      <w:r w:rsidRPr="008671BE">
        <w:rPr>
          <w:noProof/>
        </w:rPr>
        <w:drawing>
          <wp:inline distT="0" distB="0" distL="0" distR="0" wp14:anchorId="6061CC65" wp14:editId="4FFE677C">
            <wp:extent cx="5975350" cy="742315"/>
            <wp:effectExtent l="0" t="0" r="6350" b="635"/>
            <wp:docPr id="1323058693"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058693" name="Picture 42">
                      <a:extLst>
                        <a:ext uri="{C183D7F6-B498-43B3-948B-1728B52AA6E4}">
                          <adec:decorative xmlns:adec="http://schemas.microsoft.com/office/drawing/2017/decorative" val="1"/>
                        </a:ext>
                      </a:extLst>
                    </pic:cNvPr>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975350" cy="742315"/>
                    </a:xfrm>
                    <a:prstGeom prst="rect">
                      <a:avLst/>
                    </a:prstGeom>
                    <a:noFill/>
                    <a:ln>
                      <a:noFill/>
                    </a:ln>
                  </pic:spPr>
                </pic:pic>
              </a:graphicData>
            </a:graphic>
          </wp:inline>
        </w:drawing>
      </w:r>
    </w:p>
    <w:p w14:paraId="70CCBFCC" w14:textId="77777777" w:rsidR="00A05A12" w:rsidRDefault="00A05A12" w:rsidP="006F1659">
      <w:pPr>
        <w:spacing w:line="360" w:lineRule="auto"/>
        <w:rPr>
          <w:rFonts w:ascii="Arial" w:hAnsi="Arial" w:cs="Arial"/>
          <w:b/>
        </w:rPr>
      </w:pPr>
    </w:p>
    <w:p w14:paraId="60E7FEC2" w14:textId="0600B6F3" w:rsidR="00A05A12" w:rsidRDefault="00A05A12" w:rsidP="006F1659">
      <w:pPr>
        <w:spacing w:line="360" w:lineRule="auto"/>
        <w:rPr>
          <w:rFonts w:ascii="Arial" w:hAnsi="Arial" w:cs="Arial"/>
          <w:b/>
        </w:rPr>
      </w:pPr>
      <w:r w:rsidRPr="00A05A12">
        <w:rPr>
          <w:noProof/>
        </w:rPr>
        <w:drawing>
          <wp:inline distT="0" distB="0" distL="0" distR="0" wp14:anchorId="45086AFC" wp14:editId="6DD4F049">
            <wp:extent cx="5975350" cy="879475"/>
            <wp:effectExtent l="0" t="0" r="6350" b="0"/>
            <wp:docPr id="620240675"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240675" name="Picture 46">
                      <a:extLst>
                        <a:ext uri="{C183D7F6-B498-43B3-948B-1728B52AA6E4}">
                          <adec:decorative xmlns:adec="http://schemas.microsoft.com/office/drawing/2017/decorative" val="1"/>
                        </a:ext>
                      </a:extLst>
                    </pic:cNvPr>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975350" cy="879475"/>
                    </a:xfrm>
                    <a:prstGeom prst="rect">
                      <a:avLst/>
                    </a:prstGeom>
                    <a:noFill/>
                    <a:ln>
                      <a:noFill/>
                    </a:ln>
                  </pic:spPr>
                </pic:pic>
              </a:graphicData>
            </a:graphic>
          </wp:inline>
        </w:drawing>
      </w:r>
    </w:p>
    <w:p w14:paraId="0B838CAC" w14:textId="77777777" w:rsidR="00A05A12" w:rsidRDefault="00A05A12" w:rsidP="006F1659">
      <w:pPr>
        <w:spacing w:line="360" w:lineRule="auto"/>
        <w:rPr>
          <w:rFonts w:ascii="Arial" w:hAnsi="Arial" w:cs="Arial"/>
          <w:b/>
        </w:rPr>
      </w:pPr>
    </w:p>
    <w:p w14:paraId="1019DAD6" w14:textId="76298140" w:rsidR="00A05A12" w:rsidRPr="00AE6A99" w:rsidRDefault="008671BE" w:rsidP="006F1659">
      <w:pPr>
        <w:spacing w:line="360" w:lineRule="auto"/>
        <w:rPr>
          <w:rFonts w:ascii="Arial" w:hAnsi="Arial" w:cs="Arial"/>
          <w:b/>
        </w:rPr>
      </w:pPr>
      <w:r w:rsidRPr="008671BE">
        <w:rPr>
          <w:noProof/>
        </w:rPr>
        <w:drawing>
          <wp:inline distT="0" distB="0" distL="0" distR="0" wp14:anchorId="61A5E17E" wp14:editId="1D132479">
            <wp:extent cx="5975350" cy="832485"/>
            <wp:effectExtent l="0" t="0" r="6350" b="5715"/>
            <wp:docPr id="722657872"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657872" name="Picture 44">
                      <a:extLst>
                        <a:ext uri="{C183D7F6-B498-43B3-948B-1728B52AA6E4}">
                          <adec:decorative xmlns:adec="http://schemas.microsoft.com/office/drawing/2017/decorative" val="1"/>
                        </a:ext>
                      </a:extLst>
                    </pic:cNvPr>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5975350" cy="832485"/>
                    </a:xfrm>
                    <a:prstGeom prst="rect">
                      <a:avLst/>
                    </a:prstGeom>
                    <a:noFill/>
                    <a:ln>
                      <a:noFill/>
                    </a:ln>
                  </pic:spPr>
                </pic:pic>
              </a:graphicData>
            </a:graphic>
          </wp:inline>
        </w:drawing>
      </w:r>
    </w:p>
    <w:p w14:paraId="79764DD2" w14:textId="77777777" w:rsidR="00795BE0" w:rsidRPr="0007572B" w:rsidRDefault="00795BE0" w:rsidP="006F1659">
      <w:pPr>
        <w:spacing w:line="360" w:lineRule="auto"/>
        <w:rPr>
          <w:rFonts w:ascii="Arial" w:hAnsi="Arial" w:cs="Arial"/>
        </w:rPr>
      </w:pPr>
    </w:p>
    <w:p w14:paraId="0F164735" w14:textId="77777777" w:rsidR="008671BE" w:rsidRDefault="008671BE">
      <w:pPr>
        <w:rPr>
          <w:rFonts w:ascii="Arial" w:hAnsi="Arial" w:cs="Arial"/>
          <w:b/>
          <w:bCs/>
        </w:rPr>
      </w:pPr>
      <w:r>
        <w:br w:type="page"/>
      </w:r>
    </w:p>
    <w:p w14:paraId="00A5D6A5" w14:textId="60A75936" w:rsidR="001174F5" w:rsidRPr="0007572B" w:rsidRDefault="00795BE0" w:rsidP="006F1659">
      <w:pPr>
        <w:pStyle w:val="Heading4bold"/>
        <w:spacing w:after="0" w:line="360" w:lineRule="auto"/>
      </w:pPr>
      <w:r w:rsidRPr="0007572B">
        <w:lastRenderedPageBreak/>
        <w:t>Income, Expenses, Gains and Losses</w:t>
      </w:r>
    </w:p>
    <w:p w14:paraId="4DFDA782" w14:textId="77777777" w:rsidR="009A1A83" w:rsidRDefault="009A1A83" w:rsidP="006F1659">
      <w:pPr>
        <w:spacing w:line="360" w:lineRule="auto"/>
        <w:rPr>
          <w:rFonts w:ascii="Arial" w:hAnsi="Arial" w:cs="Arial"/>
          <w:sz w:val="22"/>
          <w:szCs w:val="22"/>
        </w:rPr>
      </w:pPr>
    </w:p>
    <w:p w14:paraId="2F3E9B10" w14:textId="088E1664" w:rsidR="00795BE0" w:rsidRDefault="00795BE0" w:rsidP="006F1659">
      <w:pPr>
        <w:spacing w:line="360" w:lineRule="auto"/>
        <w:rPr>
          <w:rFonts w:ascii="Arial" w:hAnsi="Arial" w:cs="Arial"/>
          <w:sz w:val="22"/>
          <w:szCs w:val="22"/>
        </w:rPr>
      </w:pPr>
      <w:r w:rsidRPr="0007572B">
        <w:rPr>
          <w:rFonts w:ascii="Arial" w:hAnsi="Arial" w:cs="Arial"/>
          <w:sz w:val="22"/>
          <w:szCs w:val="22"/>
        </w:rPr>
        <w:t>The gains and losses recognised in the Group Comprehensive Income and Expenditure Statement in relation to financial instruments are summarised in the table below:</w:t>
      </w:r>
    </w:p>
    <w:p w14:paraId="4A8E2CA3" w14:textId="787B2B4A" w:rsidR="00112434" w:rsidRDefault="00112434" w:rsidP="006F1659">
      <w:pPr>
        <w:spacing w:line="360" w:lineRule="auto"/>
        <w:rPr>
          <w:rFonts w:ascii="Arial" w:hAnsi="Arial" w:cs="Arial"/>
          <w:b/>
          <w:sz w:val="22"/>
          <w:szCs w:val="22"/>
        </w:rPr>
      </w:pPr>
    </w:p>
    <w:p w14:paraId="09198B5A" w14:textId="69C85A14" w:rsidR="00A05A12" w:rsidRDefault="00A05A12" w:rsidP="006F1659">
      <w:pPr>
        <w:spacing w:line="360" w:lineRule="auto"/>
        <w:rPr>
          <w:rFonts w:ascii="Arial" w:hAnsi="Arial" w:cs="Arial"/>
          <w:sz w:val="22"/>
          <w:szCs w:val="22"/>
        </w:rPr>
      </w:pPr>
      <w:r w:rsidRPr="00A05A12">
        <w:rPr>
          <w:noProof/>
        </w:rPr>
        <w:drawing>
          <wp:inline distT="0" distB="0" distL="0" distR="0" wp14:anchorId="03126115" wp14:editId="10C67B3F">
            <wp:extent cx="5975350" cy="1991995"/>
            <wp:effectExtent l="0" t="0" r="6350" b="8255"/>
            <wp:docPr id="336024003"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024003" name="Picture 48">
                      <a:extLst>
                        <a:ext uri="{C183D7F6-B498-43B3-948B-1728B52AA6E4}">
                          <adec:decorative xmlns:adec="http://schemas.microsoft.com/office/drawing/2017/decorative" val="1"/>
                        </a:ext>
                      </a:extLst>
                    </pic:cNvPr>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5975350" cy="1991995"/>
                    </a:xfrm>
                    <a:prstGeom prst="rect">
                      <a:avLst/>
                    </a:prstGeom>
                    <a:noFill/>
                    <a:ln>
                      <a:noFill/>
                    </a:ln>
                  </pic:spPr>
                </pic:pic>
              </a:graphicData>
            </a:graphic>
          </wp:inline>
        </w:drawing>
      </w:r>
    </w:p>
    <w:p w14:paraId="12757A3B" w14:textId="77777777" w:rsidR="00DE7BF5" w:rsidRDefault="00DE7BF5" w:rsidP="006F1659">
      <w:pPr>
        <w:spacing w:line="360" w:lineRule="auto"/>
        <w:rPr>
          <w:rFonts w:ascii="Arial" w:hAnsi="Arial" w:cs="Arial"/>
          <w:sz w:val="22"/>
          <w:szCs w:val="22"/>
        </w:rPr>
      </w:pPr>
    </w:p>
    <w:p w14:paraId="3D5FA2F7" w14:textId="77777777" w:rsidR="00DE7BF5" w:rsidRPr="00112434" w:rsidRDefault="00DE7BF5" w:rsidP="006F1659">
      <w:pPr>
        <w:spacing w:line="360" w:lineRule="auto"/>
        <w:rPr>
          <w:rFonts w:ascii="Arial" w:hAnsi="Arial" w:cs="Arial"/>
          <w:sz w:val="22"/>
          <w:szCs w:val="22"/>
        </w:rPr>
      </w:pPr>
    </w:p>
    <w:p w14:paraId="3CE99096" w14:textId="57C0E63B" w:rsidR="00795BE0" w:rsidRPr="0007572B" w:rsidRDefault="00795BE0" w:rsidP="006F1659">
      <w:pPr>
        <w:pStyle w:val="Heading4bold"/>
        <w:spacing w:after="0" w:line="360" w:lineRule="auto"/>
      </w:pPr>
      <w:r w:rsidRPr="0007572B">
        <w:t>Fair Value of Assets and Liabilities</w:t>
      </w:r>
    </w:p>
    <w:p w14:paraId="675C8C6D" w14:textId="77777777" w:rsidR="00795BE0" w:rsidRPr="0007572B" w:rsidRDefault="00795BE0" w:rsidP="006F1659">
      <w:pPr>
        <w:spacing w:line="360" w:lineRule="auto"/>
        <w:rPr>
          <w:rFonts w:ascii="Arial" w:hAnsi="Arial" w:cs="Arial"/>
          <w:sz w:val="22"/>
          <w:szCs w:val="22"/>
        </w:rPr>
      </w:pPr>
    </w:p>
    <w:p w14:paraId="64842BCE" w14:textId="2F40B224" w:rsidR="00795BE0" w:rsidRDefault="00795BE0" w:rsidP="006F1659">
      <w:pPr>
        <w:spacing w:line="360" w:lineRule="auto"/>
        <w:rPr>
          <w:rFonts w:ascii="Arial" w:hAnsi="Arial" w:cs="Arial"/>
          <w:sz w:val="22"/>
          <w:szCs w:val="22"/>
        </w:rPr>
      </w:pPr>
      <w:r w:rsidRPr="0007572B">
        <w:rPr>
          <w:rFonts w:ascii="Arial" w:hAnsi="Arial" w:cs="Arial"/>
          <w:sz w:val="22"/>
          <w:szCs w:val="22"/>
        </w:rPr>
        <w:t>Set out below is a comparison by class of the carrying amounts and fair value of the Group financial assets and financial liabilities:</w:t>
      </w:r>
    </w:p>
    <w:p w14:paraId="3D91617E" w14:textId="3F66AE47" w:rsidR="00795BE0" w:rsidRDefault="00795BE0" w:rsidP="006F1659">
      <w:pPr>
        <w:spacing w:line="360" w:lineRule="auto"/>
        <w:rPr>
          <w:noProof/>
        </w:rPr>
      </w:pPr>
    </w:p>
    <w:p w14:paraId="5AD10F44" w14:textId="5564BA56" w:rsidR="00A05A12" w:rsidRDefault="008671BE" w:rsidP="006F1659">
      <w:pPr>
        <w:spacing w:line="360" w:lineRule="auto"/>
        <w:rPr>
          <w:noProof/>
        </w:rPr>
      </w:pPr>
      <w:r w:rsidRPr="008671BE">
        <w:rPr>
          <w:noProof/>
        </w:rPr>
        <w:drawing>
          <wp:inline distT="0" distB="0" distL="0" distR="0" wp14:anchorId="26D8F03F" wp14:editId="59CC6188">
            <wp:extent cx="5975350" cy="2160270"/>
            <wp:effectExtent l="0" t="0" r="6350" b="0"/>
            <wp:docPr id="653009946"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009946" name="Picture 43">
                      <a:extLst>
                        <a:ext uri="{C183D7F6-B498-43B3-948B-1728B52AA6E4}">
                          <adec:decorative xmlns:adec="http://schemas.microsoft.com/office/drawing/2017/decorative" val="1"/>
                        </a:ext>
                      </a:extLs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5975350" cy="2160270"/>
                    </a:xfrm>
                    <a:prstGeom prst="rect">
                      <a:avLst/>
                    </a:prstGeom>
                    <a:noFill/>
                    <a:ln>
                      <a:noFill/>
                    </a:ln>
                  </pic:spPr>
                </pic:pic>
              </a:graphicData>
            </a:graphic>
          </wp:inline>
        </w:drawing>
      </w:r>
    </w:p>
    <w:p w14:paraId="367600AF" w14:textId="77777777" w:rsidR="00A05A12" w:rsidRDefault="00A05A12" w:rsidP="006F1659">
      <w:pPr>
        <w:spacing w:line="360" w:lineRule="auto"/>
        <w:rPr>
          <w:rFonts w:ascii="Arial" w:hAnsi="Arial" w:cs="Arial"/>
          <w:noProof/>
          <w:sz w:val="22"/>
          <w:szCs w:val="22"/>
          <w:lang w:eastAsia="en-GB"/>
        </w:rPr>
      </w:pPr>
    </w:p>
    <w:p w14:paraId="2627248B" w14:textId="6C1D3092" w:rsidR="00795BE0" w:rsidRPr="00B3763B" w:rsidRDefault="00795BE0" w:rsidP="006F1659">
      <w:pPr>
        <w:spacing w:line="360" w:lineRule="auto"/>
        <w:rPr>
          <w:rFonts w:ascii="Arial" w:hAnsi="Arial" w:cs="Arial"/>
        </w:rPr>
      </w:pPr>
      <w:r w:rsidRPr="00B3763B">
        <w:rPr>
          <w:rFonts w:ascii="Arial" w:hAnsi="Arial" w:cs="Arial"/>
        </w:rPr>
        <w:t>The Authority holds £</w:t>
      </w:r>
      <w:r w:rsidR="00396731" w:rsidRPr="00B3763B">
        <w:rPr>
          <w:rFonts w:ascii="Arial" w:hAnsi="Arial" w:cs="Arial"/>
        </w:rPr>
        <w:t>4</w:t>
      </w:r>
      <w:r w:rsidR="00B3763B" w:rsidRPr="00B3763B">
        <w:rPr>
          <w:rFonts w:ascii="Arial" w:hAnsi="Arial" w:cs="Arial"/>
        </w:rPr>
        <w:t>5.289</w:t>
      </w:r>
      <w:r w:rsidR="00396731" w:rsidRPr="00B3763B">
        <w:rPr>
          <w:rFonts w:ascii="Arial" w:hAnsi="Arial" w:cs="Arial"/>
        </w:rPr>
        <w:t>m</w:t>
      </w:r>
      <w:r w:rsidRPr="00B3763B">
        <w:rPr>
          <w:rFonts w:ascii="Arial" w:hAnsi="Arial" w:cs="Arial"/>
        </w:rPr>
        <w:t xml:space="preserve"> in equity investments:</w:t>
      </w:r>
    </w:p>
    <w:p w14:paraId="46B1B346" w14:textId="77777777" w:rsidR="00795BE0" w:rsidRPr="00C41280" w:rsidRDefault="00795BE0" w:rsidP="006F1659">
      <w:pPr>
        <w:spacing w:line="360" w:lineRule="auto"/>
        <w:rPr>
          <w:rFonts w:ascii="Arial" w:hAnsi="Arial" w:cs="Arial"/>
          <w:highlight w:val="yellow"/>
        </w:rPr>
      </w:pPr>
    </w:p>
    <w:p w14:paraId="2A3768E9" w14:textId="1E18C1B0" w:rsidR="00795BE0" w:rsidRPr="00581295" w:rsidRDefault="00795BE0" w:rsidP="006F1659">
      <w:pPr>
        <w:spacing w:line="360" w:lineRule="auto"/>
        <w:rPr>
          <w:rFonts w:ascii="Arial" w:hAnsi="Arial" w:cs="Arial"/>
        </w:rPr>
      </w:pPr>
      <w:r w:rsidRPr="00B3763B">
        <w:rPr>
          <w:rFonts w:ascii="Arial" w:hAnsi="Arial" w:cs="Arial"/>
        </w:rPr>
        <w:t>£4</w:t>
      </w:r>
      <w:r w:rsidR="00B3763B" w:rsidRPr="00B3763B">
        <w:rPr>
          <w:rFonts w:ascii="Arial" w:hAnsi="Arial" w:cs="Arial"/>
        </w:rPr>
        <w:t>0.839</w:t>
      </w:r>
      <w:r w:rsidRPr="00B3763B">
        <w:rPr>
          <w:rFonts w:ascii="Arial" w:hAnsi="Arial" w:cs="Arial"/>
        </w:rPr>
        <w:t xml:space="preserve">m within the single entity accounts relates to a number of businesses that either previously held loans with the Authority and which have converted to equity investments or are a direct equity investment. These shares are not traded in active markets. The shares are valued based on level 2 - observable input data from the companies, such as </w:t>
      </w:r>
      <w:r w:rsidRPr="00B3763B">
        <w:rPr>
          <w:rFonts w:ascii="Arial" w:hAnsi="Arial" w:cs="Arial"/>
        </w:rPr>
        <w:lastRenderedPageBreak/>
        <w:t xml:space="preserve">latest filed accounts and management accounting reports. There have been no transfers between input levels or changes in valuation techniques during </w:t>
      </w:r>
      <w:r w:rsidR="00D1125B" w:rsidRPr="00B3763B">
        <w:rPr>
          <w:rFonts w:ascii="Arial" w:hAnsi="Arial" w:cs="Arial"/>
        </w:rPr>
        <w:t>202</w:t>
      </w:r>
      <w:r w:rsidR="00B3763B" w:rsidRPr="00B3763B">
        <w:rPr>
          <w:rFonts w:ascii="Arial" w:hAnsi="Arial" w:cs="Arial"/>
        </w:rPr>
        <w:t>3</w:t>
      </w:r>
      <w:r w:rsidR="00D1125B" w:rsidRPr="00B3763B">
        <w:rPr>
          <w:rFonts w:ascii="Arial" w:hAnsi="Arial" w:cs="Arial"/>
        </w:rPr>
        <w:t>/2</w:t>
      </w:r>
      <w:r w:rsidR="00B3763B" w:rsidRPr="00B3763B">
        <w:rPr>
          <w:rFonts w:ascii="Arial" w:hAnsi="Arial" w:cs="Arial"/>
        </w:rPr>
        <w:t>4</w:t>
      </w:r>
      <w:r w:rsidRPr="00B3763B">
        <w:rPr>
          <w:rFonts w:ascii="Arial" w:hAnsi="Arial" w:cs="Arial"/>
        </w:rPr>
        <w:t xml:space="preserve"> for this class of asset.</w:t>
      </w:r>
    </w:p>
    <w:p w14:paraId="2E1B77BE" w14:textId="77777777" w:rsidR="00795BE0" w:rsidRPr="00882716" w:rsidRDefault="00795BE0" w:rsidP="006F1659">
      <w:pPr>
        <w:spacing w:line="360" w:lineRule="auto"/>
        <w:rPr>
          <w:rFonts w:ascii="Arial" w:hAnsi="Arial" w:cs="Arial"/>
        </w:rPr>
      </w:pPr>
    </w:p>
    <w:p w14:paraId="6ECD7E6D" w14:textId="384E1A46" w:rsidR="00795BE0" w:rsidRPr="00882716" w:rsidRDefault="00795BE0" w:rsidP="006F1659">
      <w:pPr>
        <w:spacing w:line="360" w:lineRule="auto"/>
        <w:rPr>
          <w:rFonts w:ascii="Arial" w:hAnsi="Arial" w:cs="Arial"/>
        </w:rPr>
      </w:pPr>
      <w:bookmarkStart w:id="327" w:name="_Hlk109073824"/>
      <w:r w:rsidRPr="00B3763B">
        <w:rPr>
          <w:rFonts w:ascii="Arial" w:hAnsi="Arial" w:cs="Arial"/>
        </w:rPr>
        <w:t>£</w:t>
      </w:r>
      <w:r w:rsidR="00396731" w:rsidRPr="00B3763B">
        <w:rPr>
          <w:rFonts w:ascii="Arial" w:hAnsi="Arial" w:cs="Arial"/>
        </w:rPr>
        <w:t>4</w:t>
      </w:r>
      <w:r w:rsidR="00B3763B" w:rsidRPr="00B3763B">
        <w:rPr>
          <w:rFonts w:ascii="Arial" w:hAnsi="Arial" w:cs="Arial"/>
        </w:rPr>
        <w:t>.</w:t>
      </w:r>
      <w:r w:rsidR="00396731" w:rsidRPr="00B3763B">
        <w:rPr>
          <w:rFonts w:ascii="Arial" w:hAnsi="Arial" w:cs="Arial"/>
        </w:rPr>
        <w:t>4</w:t>
      </w:r>
      <w:r w:rsidR="00581295" w:rsidRPr="00B3763B">
        <w:rPr>
          <w:rFonts w:ascii="Arial" w:hAnsi="Arial" w:cs="Arial"/>
        </w:rPr>
        <w:t>50</w:t>
      </w:r>
      <w:r w:rsidR="00396731" w:rsidRPr="00B3763B">
        <w:rPr>
          <w:rFonts w:ascii="Arial" w:hAnsi="Arial" w:cs="Arial"/>
        </w:rPr>
        <w:t>m</w:t>
      </w:r>
      <w:r w:rsidRPr="00B3763B">
        <w:rPr>
          <w:rFonts w:ascii="Arial" w:hAnsi="Arial" w:cs="Arial"/>
        </w:rPr>
        <w:t xml:space="preserve"> of TfGM long</w:t>
      </w:r>
      <w:r w:rsidR="00F3496D" w:rsidRPr="00B3763B">
        <w:rPr>
          <w:rFonts w:ascii="Arial" w:hAnsi="Arial" w:cs="Arial"/>
        </w:rPr>
        <w:t xml:space="preserve"> </w:t>
      </w:r>
      <w:r w:rsidRPr="00B3763B">
        <w:rPr>
          <w:rFonts w:ascii="Arial" w:hAnsi="Arial" w:cs="Arial"/>
        </w:rPr>
        <w:t xml:space="preserve">term investments evaluated based on level </w:t>
      </w:r>
      <w:r w:rsidR="00B3763B" w:rsidRPr="00B3763B">
        <w:rPr>
          <w:rFonts w:ascii="Arial" w:hAnsi="Arial" w:cs="Arial"/>
        </w:rPr>
        <w:t>2</w:t>
      </w:r>
      <w:r w:rsidRPr="00B3763B">
        <w:rPr>
          <w:rFonts w:ascii="Arial" w:hAnsi="Arial" w:cs="Arial"/>
        </w:rPr>
        <w:t xml:space="preserve"> – </w:t>
      </w:r>
      <w:r w:rsidR="00B3763B" w:rsidRPr="00B3763B">
        <w:rPr>
          <w:rFonts w:ascii="Arial" w:hAnsi="Arial" w:cs="Arial"/>
        </w:rPr>
        <w:t>significant observable</w:t>
      </w:r>
      <w:r w:rsidRPr="00B3763B">
        <w:rPr>
          <w:rFonts w:ascii="Arial" w:hAnsi="Arial" w:cs="Arial"/>
        </w:rPr>
        <w:t xml:space="preserve"> inputs</w:t>
      </w:r>
      <w:r w:rsidR="00B3763B" w:rsidRPr="00B3763B">
        <w:rPr>
          <w:rFonts w:ascii="Arial" w:hAnsi="Arial" w:cs="Arial"/>
        </w:rPr>
        <w:t>. There have been no changes in valuation technique during the financial year.</w:t>
      </w:r>
    </w:p>
    <w:bookmarkEnd w:id="327"/>
    <w:p w14:paraId="5C780399" w14:textId="77777777" w:rsidR="00795BE0" w:rsidRPr="00E12104" w:rsidRDefault="00795BE0" w:rsidP="006F1659">
      <w:pPr>
        <w:spacing w:line="360" w:lineRule="auto"/>
        <w:rPr>
          <w:rFonts w:ascii="Arial" w:hAnsi="Arial" w:cs="Arial"/>
        </w:rPr>
      </w:pPr>
    </w:p>
    <w:p w14:paraId="032EE2EC" w14:textId="639D7E58" w:rsidR="00795BE0" w:rsidRPr="00924B0A" w:rsidRDefault="00795BE0" w:rsidP="006F1659">
      <w:pPr>
        <w:spacing w:line="360" w:lineRule="auto"/>
        <w:rPr>
          <w:rFonts w:ascii="Arial" w:hAnsi="Arial" w:cs="Arial"/>
        </w:rPr>
      </w:pPr>
      <w:r w:rsidRPr="00924B0A">
        <w:rPr>
          <w:rFonts w:ascii="Arial" w:hAnsi="Arial" w:cs="Arial"/>
        </w:rPr>
        <w:t>Other Financial Assets and Financial Liabilities are carried in the balance sheet at amortised cost, with carrying values as disclosed above. Their fair values disclosed in the table below have been assessed by calculating the present value of the cash flows that will take place over the remaining term of the instruments, using the following assumptions</w:t>
      </w:r>
      <w:r w:rsidR="0061311B">
        <w:rPr>
          <w:rFonts w:ascii="Arial" w:hAnsi="Arial" w:cs="Arial"/>
        </w:rPr>
        <w:t>:</w:t>
      </w:r>
    </w:p>
    <w:p w14:paraId="38C41F26" w14:textId="77777777" w:rsidR="00795BE0" w:rsidRPr="00C41280" w:rsidRDefault="00795BE0" w:rsidP="006F1659">
      <w:pPr>
        <w:spacing w:line="360" w:lineRule="auto"/>
        <w:rPr>
          <w:rFonts w:ascii="Arial" w:hAnsi="Arial" w:cs="Arial"/>
          <w:highlight w:val="yellow"/>
        </w:rPr>
      </w:pPr>
    </w:p>
    <w:p w14:paraId="56EBBD1D" w14:textId="66B9B7CB" w:rsidR="00795BE0" w:rsidRPr="00924B0A" w:rsidRDefault="00795BE0" w:rsidP="006F1659">
      <w:pPr>
        <w:pStyle w:val="Normal0"/>
        <w:numPr>
          <w:ilvl w:val="0"/>
          <w:numId w:val="56"/>
        </w:numPr>
        <w:spacing w:line="360" w:lineRule="auto"/>
        <w:rPr>
          <w:rFonts w:ascii="Arial" w:eastAsia="Verdana" w:hAnsi="Arial" w:cs="Arial"/>
          <w:sz w:val="24"/>
          <w:szCs w:val="24"/>
          <w:lang w:val="en-GB"/>
        </w:rPr>
      </w:pPr>
      <w:r w:rsidRPr="00924B0A">
        <w:rPr>
          <w:rFonts w:ascii="Arial" w:eastAsia="Verdana" w:hAnsi="Arial" w:cs="Arial"/>
          <w:sz w:val="24"/>
          <w:szCs w:val="24"/>
          <w:lang w:val="en-GB"/>
        </w:rPr>
        <w:t>The fair value of cash and cash equivalents (which includes other investments), short</w:t>
      </w:r>
      <w:r w:rsidR="00F3496D">
        <w:rPr>
          <w:rFonts w:ascii="Arial" w:eastAsia="Verdana" w:hAnsi="Arial" w:cs="Arial"/>
          <w:sz w:val="24"/>
          <w:szCs w:val="24"/>
          <w:lang w:val="en-GB"/>
        </w:rPr>
        <w:t xml:space="preserve"> </w:t>
      </w:r>
      <w:r w:rsidRPr="00924B0A">
        <w:rPr>
          <w:rFonts w:ascii="Arial" w:eastAsia="Verdana" w:hAnsi="Arial" w:cs="Arial"/>
          <w:sz w:val="24"/>
          <w:szCs w:val="24"/>
          <w:lang w:val="en-GB"/>
        </w:rPr>
        <w:t>term debtors and short</w:t>
      </w:r>
      <w:r w:rsidR="00F3496D">
        <w:rPr>
          <w:rFonts w:ascii="Arial" w:eastAsia="Verdana" w:hAnsi="Arial" w:cs="Arial"/>
          <w:sz w:val="24"/>
          <w:szCs w:val="24"/>
          <w:lang w:val="en-GB"/>
        </w:rPr>
        <w:t xml:space="preserve"> </w:t>
      </w:r>
      <w:r w:rsidRPr="00924B0A">
        <w:rPr>
          <w:rFonts w:ascii="Arial" w:eastAsia="Verdana" w:hAnsi="Arial" w:cs="Arial"/>
          <w:sz w:val="24"/>
          <w:szCs w:val="24"/>
          <w:lang w:val="en-GB"/>
        </w:rPr>
        <w:t>term creditors is taken to be their carrying amount as this is deemed to provide a reasonable approximation in accordance with the CIPFA Code of Practice.</w:t>
      </w:r>
    </w:p>
    <w:p w14:paraId="2CC2D6E1" w14:textId="77777777" w:rsidR="00795BE0" w:rsidRPr="000E1954" w:rsidRDefault="00795BE0" w:rsidP="006F1659">
      <w:pPr>
        <w:pStyle w:val="Normal0"/>
        <w:spacing w:line="360" w:lineRule="auto"/>
        <w:ind w:left="720"/>
        <w:rPr>
          <w:rFonts w:ascii="Arial" w:eastAsia="Verdana" w:hAnsi="Arial" w:cs="Arial"/>
          <w:sz w:val="24"/>
          <w:szCs w:val="24"/>
          <w:lang w:val="en-GB"/>
        </w:rPr>
      </w:pPr>
    </w:p>
    <w:p w14:paraId="49BA4B4E" w14:textId="10FC8962" w:rsidR="00795BE0" w:rsidRPr="000E1954" w:rsidRDefault="00795BE0" w:rsidP="006F1659">
      <w:pPr>
        <w:pStyle w:val="Normal0"/>
        <w:numPr>
          <w:ilvl w:val="0"/>
          <w:numId w:val="36"/>
        </w:numPr>
        <w:spacing w:line="360" w:lineRule="auto"/>
        <w:rPr>
          <w:rFonts w:ascii="Arial" w:eastAsia="Verdana" w:hAnsi="Arial" w:cs="Arial"/>
          <w:sz w:val="24"/>
          <w:szCs w:val="24"/>
          <w:lang w:val="en-GB"/>
        </w:rPr>
      </w:pPr>
      <w:r w:rsidRPr="000E1954">
        <w:rPr>
          <w:rFonts w:ascii="Arial" w:eastAsia="Verdana" w:hAnsi="Arial" w:cs="Arial"/>
          <w:sz w:val="24"/>
          <w:szCs w:val="24"/>
          <w:lang w:val="en-GB"/>
        </w:rPr>
        <w:t>The fair value of long</w:t>
      </w:r>
      <w:r w:rsidR="00F3496D">
        <w:rPr>
          <w:rFonts w:ascii="Arial" w:eastAsia="Verdana" w:hAnsi="Arial" w:cs="Arial"/>
          <w:sz w:val="24"/>
          <w:szCs w:val="24"/>
          <w:lang w:val="en-GB"/>
        </w:rPr>
        <w:t xml:space="preserve"> </w:t>
      </w:r>
      <w:r w:rsidRPr="000E1954">
        <w:rPr>
          <w:rFonts w:ascii="Arial" w:eastAsia="Verdana" w:hAnsi="Arial" w:cs="Arial"/>
          <w:sz w:val="24"/>
          <w:szCs w:val="24"/>
          <w:lang w:val="en-GB"/>
        </w:rPr>
        <w:t>term debtors within the single entity accounts has been evaluated and where these relate to loan advances greater than £3m, prevailing benchmark market rates have been applied to provide the fair value. All other long</w:t>
      </w:r>
      <w:r w:rsidR="00F3496D">
        <w:rPr>
          <w:rFonts w:ascii="Arial" w:eastAsia="Verdana" w:hAnsi="Arial" w:cs="Arial"/>
          <w:sz w:val="24"/>
          <w:szCs w:val="24"/>
          <w:lang w:val="en-GB"/>
        </w:rPr>
        <w:t xml:space="preserve"> </w:t>
      </w:r>
      <w:r w:rsidRPr="000E1954">
        <w:rPr>
          <w:rFonts w:ascii="Arial" w:eastAsia="Verdana" w:hAnsi="Arial" w:cs="Arial"/>
          <w:sz w:val="24"/>
          <w:szCs w:val="24"/>
          <w:lang w:val="en-GB"/>
        </w:rPr>
        <w:t xml:space="preserve">term debtors are included at their carrying value. </w:t>
      </w:r>
    </w:p>
    <w:p w14:paraId="0AE7D9D0" w14:textId="77777777" w:rsidR="00795BE0" w:rsidRPr="00C41280" w:rsidRDefault="00795BE0" w:rsidP="006F1659">
      <w:pPr>
        <w:pStyle w:val="Normal0"/>
        <w:spacing w:line="360" w:lineRule="auto"/>
        <w:ind w:left="720"/>
        <w:rPr>
          <w:rFonts w:ascii="Arial" w:eastAsia="Verdana" w:hAnsi="Arial" w:cs="Arial"/>
          <w:sz w:val="24"/>
          <w:szCs w:val="24"/>
          <w:highlight w:val="yellow"/>
          <w:lang w:val="en-GB"/>
        </w:rPr>
      </w:pPr>
    </w:p>
    <w:p w14:paraId="7B9BB84E" w14:textId="77777777" w:rsidR="00795BE0" w:rsidRPr="00342B6D" w:rsidRDefault="00795BE0" w:rsidP="006F1659">
      <w:pPr>
        <w:pStyle w:val="Normal0"/>
        <w:numPr>
          <w:ilvl w:val="0"/>
          <w:numId w:val="36"/>
        </w:numPr>
        <w:spacing w:line="360" w:lineRule="auto"/>
        <w:rPr>
          <w:rFonts w:ascii="Arial" w:eastAsia="Verdana" w:hAnsi="Arial" w:cs="Arial"/>
          <w:sz w:val="24"/>
          <w:szCs w:val="24"/>
          <w:lang w:val="en-GB"/>
        </w:rPr>
      </w:pPr>
      <w:r w:rsidRPr="00342B6D">
        <w:rPr>
          <w:rFonts w:ascii="Arial" w:eastAsia="Verdana" w:hAnsi="Arial" w:cs="Arial"/>
          <w:sz w:val="24"/>
          <w:szCs w:val="24"/>
          <w:lang w:val="en-GB"/>
        </w:rPr>
        <w:t xml:space="preserve">Fair value for deferred liabilities in the single entity accounts in relation to the historical Greater Manchester Loan Fund is held at cost as this debt is not tradeable in any principal or alternative market. </w:t>
      </w:r>
    </w:p>
    <w:p w14:paraId="1FFA8DEF" w14:textId="77777777" w:rsidR="00795BE0" w:rsidRPr="00342B6D" w:rsidRDefault="00795BE0" w:rsidP="006F1659">
      <w:pPr>
        <w:spacing w:line="360" w:lineRule="auto"/>
        <w:rPr>
          <w:rFonts w:ascii="Arial" w:hAnsi="Arial" w:cs="Arial"/>
        </w:rPr>
      </w:pPr>
    </w:p>
    <w:p w14:paraId="6A23DE91" w14:textId="77777777" w:rsidR="00795BE0" w:rsidRPr="00342B6D" w:rsidRDefault="00795BE0" w:rsidP="006F1659">
      <w:pPr>
        <w:pStyle w:val="Normal0"/>
        <w:numPr>
          <w:ilvl w:val="0"/>
          <w:numId w:val="36"/>
        </w:numPr>
        <w:spacing w:line="360" w:lineRule="auto"/>
        <w:rPr>
          <w:rFonts w:ascii="Arial" w:eastAsia="Verdana" w:hAnsi="Arial" w:cs="Arial"/>
          <w:sz w:val="24"/>
          <w:szCs w:val="24"/>
          <w:lang w:val="en-GB"/>
        </w:rPr>
      </w:pPr>
      <w:r w:rsidRPr="00342B6D">
        <w:rPr>
          <w:rFonts w:ascii="Arial" w:eastAsia="Verdana" w:hAnsi="Arial" w:cs="Arial"/>
          <w:sz w:val="24"/>
          <w:szCs w:val="24"/>
          <w:lang w:val="en-GB"/>
        </w:rPr>
        <w:t>Fair value for PFI schemes cannot be obtained as there is no comparable information available, and these have therefore been shown at cost.</w:t>
      </w:r>
    </w:p>
    <w:p w14:paraId="7D1E4B38" w14:textId="77777777" w:rsidR="00795BE0" w:rsidRPr="00C41280" w:rsidRDefault="00795BE0" w:rsidP="006F1659">
      <w:pPr>
        <w:pStyle w:val="Normal0"/>
        <w:spacing w:line="360" w:lineRule="auto"/>
        <w:ind w:left="720"/>
        <w:rPr>
          <w:rFonts w:ascii="Arial" w:eastAsia="Verdana" w:hAnsi="Arial" w:cs="Arial"/>
          <w:sz w:val="24"/>
          <w:szCs w:val="24"/>
          <w:highlight w:val="yellow"/>
          <w:lang w:val="en-GB"/>
        </w:rPr>
      </w:pPr>
    </w:p>
    <w:p w14:paraId="0E38AECA" w14:textId="23D723F8" w:rsidR="00795BE0" w:rsidRPr="008803FF" w:rsidRDefault="00795BE0" w:rsidP="006F1659">
      <w:pPr>
        <w:numPr>
          <w:ilvl w:val="0"/>
          <w:numId w:val="56"/>
        </w:numPr>
        <w:spacing w:line="360" w:lineRule="auto"/>
        <w:rPr>
          <w:rFonts w:ascii="Arial" w:hAnsi="Arial" w:cs="Arial"/>
        </w:rPr>
      </w:pPr>
      <w:bookmarkStart w:id="328" w:name="_Hlk109072659"/>
      <w:r w:rsidRPr="008803FF">
        <w:rPr>
          <w:rFonts w:ascii="Arial" w:hAnsi="Arial" w:cs="Arial"/>
        </w:rPr>
        <w:t>For loans from the PWLB, premature repayment rates from the PWLB have been applied to provide the fair value; by applying new loan rates their fair value would be £</w:t>
      </w:r>
      <w:r w:rsidR="00581295" w:rsidRPr="008803FF">
        <w:rPr>
          <w:rFonts w:ascii="Arial" w:hAnsi="Arial" w:cs="Arial"/>
        </w:rPr>
        <w:t>5</w:t>
      </w:r>
      <w:r w:rsidR="008803FF" w:rsidRPr="008803FF">
        <w:rPr>
          <w:rFonts w:ascii="Arial" w:hAnsi="Arial" w:cs="Arial"/>
        </w:rPr>
        <w:t>04.467</w:t>
      </w:r>
      <w:r w:rsidR="00581295" w:rsidRPr="008803FF">
        <w:rPr>
          <w:rFonts w:ascii="Arial" w:hAnsi="Arial" w:cs="Arial"/>
        </w:rPr>
        <w:t>m</w:t>
      </w:r>
      <w:r w:rsidRPr="008803FF">
        <w:rPr>
          <w:rFonts w:ascii="Arial" w:hAnsi="Arial" w:cs="Arial"/>
        </w:rPr>
        <w:t>.</w:t>
      </w:r>
    </w:p>
    <w:p w14:paraId="2F963035" w14:textId="77777777" w:rsidR="00795BE0" w:rsidRPr="008803FF" w:rsidRDefault="00795BE0" w:rsidP="006F1659">
      <w:pPr>
        <w:spacing w:line="360" w:lineRule="auto"/>
        <w:ind w:left="720"/>
        <w:rPr>
          <w:rFonts w:ascii="Arial" w:hAnsi="Arial" w:cs="Arial"/>
        </w:rPr>
      </w:pPr>
    </w:p>
    <w:p w14:paraId="2FC43D44" w14:textId="1E247557" w:rsidR="00795BE0" w:rsidRPr="008803FF" w:rsidRDefault="00795BE0" w:rsidP="006F1659">
      <w:pPr>
        <w:numPr>
          <w:ilvl w:val="0"/>
          <w:numId w:val="56"/>
        </w:numPr>
        <w:spacing w:line="360" w:lineRule="auto"/>
        <w:rPr>
          <w:rFonts w:ascii="Arial" w:hAnsi="Arial" w:cs="Arial"/>
        </w:rPr>
      </w:pPr>
      <w:r w:rsidRPr="008803FF">
        <w:rPr>
          <w:rFonts w:ascii="Arial" w:hAnsi="Arial" w:cs="Arial"/>
        </w:rPr>
        <w:lastRenderedPageBreak/>
        <w:t>For non-PWLB loans payable, premature repayment rates have been applied to provide the fair value; by applying new loan rates their fair value would be £</w:t>
      </w:r>
      <w:r w:rsidR="008803FF" w:rsidRPr="008803FF">
        <w:rPr>
          <w:rFonts w:ascii="Arial" w:hAnsi="Arial" w:cs="Arial"/>
        </w:rPr>
        <w:t>767.401</w:t>
      </w:r>
      <w:r w:rsidR="00581295" w:rsidRPr="008803FF">
        <w:rPr>
          <w:rFonts w:ascii="Arial" w:hAnsi="Arial" w:cs="Arial"/>
        </w:rPr>
        <w:t>m</w:t>
      </w:r>
      <w:r w:rsidRPr="008803FF">
        <w:rPr>
          <w:rFonts w:ascii="Arial" w:hAnsi="Arial" w:cs="Arial"/>
        </w:rPr>
        <w:t>.</w:t>
      </w:r>
    </w:p>
    <w:bookmarkEnd w:id="328"/>
    <w:p w14:paraId="166F35A5" w14:textId="77777777" w:rsidR="00795BE0" w:rsidRPr="00C41280" w:rsidRDefault="00795BE0" w:rsidP="006F1659">
      <w:pPr>
        <w:spacing w:line="360" w:lineRule="auto"/>
        <w:ind w:left="720"/>
        <w:rPr>
          <w:rFonts w:ascii="Arial" w:hAnsi="Arial" w:cs="Arial"/>
          <w:highlight w:val="yellow"/>
        </w:rPr>
      </w:pPr>
    </w:p>
    <w:p w14:paraId="4369A98C" w14:textId="77777777" w:rsidR="00795BE0" w:rsidRPr="00342B6D" w:rsidRDefault="00795BE0" w:rsidP="006F1659">
      <w:pPr>
        <w:pStyle w:val="Normal0"/>
        <w:numPr>
          <w:ilvl w:val="0"/>
          <w:numId w:val="56"/>
        </w:numPr>
        <w:spacing w:line="360" w:lineRule="auto"/>
        <w:rPr>
          <w:rFonts w:ascii="Arial" w:eastAsia="Verdana" w:hAnsi="Arial" w:cs="Arial"/>
          <w:sz w:val="24"/>
          <w:szCs w:val="24"/>
          <w:lang w:val="en-GB"/>
        </w:rPr>
      </w:pPr>
      <w:r w:rsidRPr="00342B6D">
        <w:rPr>
          <w:rFonts w:ascii="Arial" w:eastAsia="Verdana" w:hAnsi="Arial" w:cs="Arial"/>
          <w:sz w:val="24"/>
          <w:szCs w:val="24"/>
          <w:lang w:val="en-GB"/>
        </w:rPr>
        <w:t>The valuation techniques used for PWLB and non-PWLB debt are level 2 –observable inputs. There have been no changes in valuation technique during the financial year.</w:t>
      </w:r>
    </w:p>
    <w:p w14:paraId="479A38F3" w14:textId="77777777" w:rsidR="00795BE0" w:rsidRPr="00C41280" w:rsidRDefault="00795BE0" w:rsidP="006F1659">
      <w:pPr>
        <w:pStyle w:val="Normal0"/>
        <w:spacing w:line="360" w:lineRule="auto"/>
        <w:rPr>
          <w:rFonts w:ascii="Arial" w:eastAsia="Verdana" w:hAnsi="Arial" w:cs="Arial"/>
          <w:sz w:val="24"/>
          <w:szCs w:val="24"/>
          <w:highlight w:val="yellow"/>
          <w:lang w:val="en-GB"/>
        </w:rPr>
      </w:pPr>
    </w:p>
    <w:p w14:paraId="02879AFF" w14:textId="77777777" w:rsidR="00795BE0" w:rsidRPr="00342B6D" w:rsidRDefault="00795BE0" w:rsidP="006F1659">
      <w:pPr>
        <w:pStyle w:val="Normal0"/>
        <w:spacing w:line="360" w:lineRule="auto"/>
        <w:ind w:left="360"/>
        <w:rPr>
          <w:rFonts w:ascii="Arial" w:eastAsia="Verdana" w:hAnsi="Arial" w:cs="Arial"/>
          <w:sz w:val="24"/>
          <w:szCs w:val="24"/>
          <w:lang w:val="en-GB"/>
        </w:rPr>
      </w:pPr>
      <w:r w:rsidRPr="00342B6D">
        <w:rPr>
          <w:rFonts w:ascii="Arial" w:eastAsia="Verdana" w:hAnsi="Arial" w:cs="Arial"/>
          <w:sz w:val="24"/>
          <w:szCs w:val="24"/>
          <w:lang w:val="en-GB"/>
        </w:rPr>
        <w:t>The purpose of the fair value disclosure is primarily to provide a comparison with the carrying value, which includes accrued interest as at the balance sheet date. The Authority has therefore included accrued interest in the fair value calculation.</w:t>
      </w:r>
    </w:p>
    <w:p w14:paraId="2751DE83" w14:textId="77777777" w:rsidR="00795BE0" w:rsidRPr="00342B6D" w:rsidRDefault="00795BE0" w:rsidP="006F1659">
      <w:pPr>
        <w:pStyle w:val="Normal0"/>
        <w:spacing w:line="360" w:lineRule="auto"/>
        <w:ind w:left="720"/>
        <w:rPr>
          <w:rFonts w:ascii="Arial" w:eastAsia="Verdana" w:hAnsi="Arial" w:cs="Arial"/>
          <w:sz w:val="24"/>
          <w:szCs w:val="24"/>
          <w:lang w:val="en-GB"/>
        </w:rPr>
      </w:pPr>
    </w:p>
    <w:p w14:paraId="0AD21213" w14:textId="77777777" w:rsidR="00795BE0" w:rsidRPr="00342B6D" w:rsidRDefault="00795BE0" w:rsidP="006F1659">
      <w:pPr>
        <w:pStyle w:val="Normal0"/>
        <w:spacing w:line="360" w:lineRule="auto"/>
        <w:ind w:left="360"/>
        <w:rPr>
          <w:rFonts w:ascii="Arial" w:eastAsia="Verdana" w:hAnsi="Arial" w:cs="Arial"/>
          <w:sz w:val="24"/>
          <w:szCs w:val="24"/>
          <w:lang w:val="en-GB"/>
        </w:rPr>
      </w:pPr>
      <w:r w:rsidRPr="00342B6D">
        <w:rPr>
          <w:rFonts w:ascii="Arial" w:eastAsia="Verdana" w:hAnsi="Arial" w:cs="Arial"/>
          <w:sz w:val="24"/>
          <w:szCs w:val="24"/>
          <w:lang w:val="en-GB"/>
        </w:rPr>
        <w:t>The discount rates used for the evaluation were obtained by the Authority from Link Asset Services. The Link Asset Group is a leading and independent provider of capital financing, treasury advisory and strategic advisory consulting services to the public sector.</w:t>
      </w:r>
    </w:p>
    <w:p w14:paraId="380C1C26" w14:textId="77777777" w:rsidR="00795BE0" w:rsidRPr="00C41280" w:rsidRDefault="00795BE0" w:rsidP="006F1659">
      <w:pPr>
        <w:pStyle w:val="Normal0"/>
        <w:spacing w:line="360" w:lineRule="auto"/>
        <w:ind w:left="360"/>
        <w:rPr>
          <w:rFonts w:ascii="Arial" w:eastAsia="Verdana" w:hAnsi="Arial" w:cs="Arial"/>
          <w:sz w:val="24"/>
          <w:szCs w:val="24"/>
          <w:highlight w:val="yellow"/>
          <w:lang w:val="en-GB"/>
        </w:rPr>
      </w:pPr>
    </w:p>
    <w:p w14:paraId="43A0AEF4" w14:textId="77777777" w:rsidR="00795BE0" w:rsidRPr="00342B6D" w:rsidRDefault="00795BE0" w:rsidP="006F1659">
      <w:pPr>
        <w:spacing w:line="360" w:lineRule="auto"/>
        <w:ind w:left="360"/>
        <w:rPr>
          <w:rFonts w:ascii="Arial" w:hAnsi="Arial" w:cs="Arial"/>
        </w:rPr>
      </w:pPr>
      <w:r w:rsidRPr="00342B6D">
        <w:rPr>
          <w:rFonts w:ascii="Arial" w:eastAsia="Verdana" w:hAnsi="Arial" w:cs="Arial"/>
        </w:rPr>
        <w:t>Assumptions used, which do not have a material effect on the fair value evaluation are</w:t>
      </w:r>
      <w:r>
        <w:rPr>
          <w:rFonts w:ascii="Arial" w:eastAsia="Verdana" w:hAnsi="Arial" w:cs="Arial"/>
        </w:rPr>
        <w:t>;</w:t>
      </w:r>
      <w:r w:rsidRPr="00342B6D">
        <w:rPr>
          <w:rFonts w:ascii="Arial" w:eastAsia="Verdana" w:hAnsi="Arial" w:cs="Arial"/>
        </w:rPr>
        <w:t xml:space="preserve"> interest is calculated using a 365-day basis; interest is paid on the maturity date; no adjustment is made to the interest value and date where a relevant date occurs on a non-working day.</w:t>
      </w:r>
    </w:p>
    <w:p w14:paraId="553109FC" w14:textId="13E58DFA" w:rsidR="0061311B" w:rsidRDefault="0061311B" w:rsidP="006F1659">
      <w:pPr>
        <w:spacing w:line="360" w:lineRule="auto"/>
        <w:rPr>
          <w:rFonts w:ascii="Arial" w:hAnsi="Arial" w:cs="Arial"/>
        </w:rPr>
      </w:pPr>
    </w:p>
    <w:p w14:paraId="5234624D" w14:textId="2C04F4D3" w:rsidR="00795BE0" w:rsidRDefault="00795BE0" w:rsidP="006F1659">
      <w:pPr>
        <w:spacing w:line="360" w:lineRule="auto"/>
        <w:ind w:left="360"/>
        <w:rPr>
          <w:rFonts w:ascii="Arial" w:hAnsi="Arial" w:cs="Arial"/>
        </w:rPr>
      </w:pPr>
      <w:r w:rsidRPr="00342B6D">
        <w:rPr>
          <w:rFonts w:ascii="Arial" w:hAnsi="Arial" w:cs="Arial"/>
        </w:rPr>
        <w:t>Loans and Borrowings of the Group are set out by type of loan and by maturity in the table below:</w:t>
      </w:r>
    </w:p>
    <w:p w14:paraId="109B3C37" w14:textId="77777777" w:rsidR="002201A2" w:rsidRPr="0007572B" w:rsidRDefault="002201A2" w:rsidP="006F1659">
      <w:pPr>
        <w:spacing w:line="360" w:lineRule="auto"/>
        <w:ind w:left="360"/>
        <w:rPr>
          <w:rFonts w:ascii="Arial" w:hAnsi="Arial" w:cs="Arial"/>
        </w:rPr>
      </w:pPr>
    </w:p>
    <w:p w14:paraId="68D2D39C" w14:textId="4F3676CB" w:rsidR="00795BE0" w:rsidRPr="0007572B" w:rsidRDefault="00A05A12" w:rsidP="006F1659">
      <w:pPr>
        <w:spacing w:line="360" w:lineRule="auto"/>
        <w:rPr>
          <w:rFonts w:ascii="Arial" w:hAnsi="Arial" w:cs="Arial"/>
          <w:b/>
          <w:sz w:val="22"/>
          <w:szCs w:val="22"/>
        </w:rPr>
      </w:pPr>
      <w:r w:rsidRPr="00A05A12">
        <w:rPr>
          <w:noProof/>
        </w:rPr>
        <w:lastRenderedPageBreak/>
        <w:drawing>
          <wp:inline distT="0" distB="0" distL="0" distR="0" wp14:anchorId="59475E33" wp14:editId="38E37D43">
            <wp:extent cx="5975350" cy="3952875"/>
            <wp:effectExtent l="0" t="0" r="6350" b="9525"/>
            <wp:docPr id="397817305"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817305" name="Picture 50">
                      <a:extLst>
                        <a:ext uri="{C183D7F6-B498-43B3-948B-1728B52AA6E4}">
                          <adec:decorative xmlns:adec="http://schemas.microsoft.com/office/drawing/2017/decorative" val="1"/>
                        </a:ext>
                      </a:extLs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5975350" cy="3952875"/>
                    </a:xfrm>
                    <a:prstGeom prst="rect">
                      <a:avLst/>
                    </a:prstGeom>
                    <a:noFill/>
                    <a:ln>
                      <a:noFill/>
                    </a:ln>
                  </pic:spPr>
                </pic:pic>
              </a:graphicData>
            </a:graphic>
          </wp:inline>
        </w:drawing>
      </w:r>
    </w:p>
    <w:p w14:paraId="32A7A275" w14:textId="77777777" w:rsidR="00882716" w:rsidRDefault="00882716" w:rsidP="006F1659">
      <w:pPr>
        <w:spacing w:line="360" w:lineRule="auto"/>
        <w:rPr>
          <w:rFonts w:ascii="Arial" w:eastAsia="Palatino Linotype" w:hAnsi="Arial" w:cs="Arial"/>
          <w:b/>
          <w:bCs/>
          <w:szCs w:val="28"/>
          <w:lang w:val="en-US"/>
        </w:rPr>
      </w:pPr>
      <w:bookmarkStart w:id="329" w:name="_Toc92894950"/>
      <w:bookmarkStart w:id="330" w:name="_Toc92895254"/>
      <w:r>
        <w:br w:type="page"/>
      </w:r>
    </w:p>
    <w:p w14:paraId="7B0CF570" w14:textId="2B24824E" w:rsidR="00795BE0" w:rsidRPr="0007572B" w:rsidRDefault="00795BE0" w:rsidP="006F1659">
      <w:pPr>
        <w:pStyle w:val="Heading3greennumbered"/>
        <w:spacing w:line="360" w:lineRule="auto"/>
      </w:pPr>
      <w:bookmarkStart w:id="331" w:name="_Toc109922688"/>
      <w:r w:rsidRPr="0007572B">
        <w:lastRenderedPageBreak/>
        <w:t>5</w:t>
      </w:r>
      <w:r>
        <w:t>6</w:t>
      </w:r>
      <w:r w:rsidRPr="0007572B">
        <w:t xml:space="preserve"> Group Nature and Extent of Risks arising from Financial Instruments</w:t>
      </w:r>
      <w:bookmarkEnd w:id="329"/>
      <w:bookmarkEnd w:id="330"/>
      <w:bookmarkEnd w:id="331"/>
    </w:p>
    <w:p w14:paraId="3B30CDDD" w14:textId="77777777" w:rsidR="00795BE0" w:rsidRDefault="00795BE0" w:rsidP="006F1659">
      <w:pPr>
        <w:spacing w:line="360" w:lineRule="auto"/>
        <w:rPr>
          <w:rFonts w:ascii="Arial" w:eastAsiaTheme="minorHAnsi" w:hAnsi="Arial" w:cs="Arial"/>
        </w:rPr>
      </w:pPr>
    </w:p>
    <w:p w14:paraId="5A565AA5" w14:textId="35D7F32A" w:rsidR="00795BE0" w:rsidRDefault="00795BE0" w:rsidP="006F1659">
      <w:pPr>
        <w:spacing w:after="160" w:line="360" w:lineRule="auto"/>
        <w:rPr>
          <w:rFonts w:ascii="Arial" w:eastAsiaTheme="minorHAnsi" w:hAnsi="Arial" w:cs="Arial"/>
        </w:rPr>
      </w:pPr>
      <w:r w:rsidRPr="0007572B">
        <w:rPr>
          <w:rFonts w:ascii="Arial" w:eastAsiaTheme="minorHAnsi" w:hAnsi="Arial" w:cs="Arial"/>
        </w:rPr>
        <w:t>The Authority’s risks are explained in note 30, this narrative covers the risk associated with TfGM, NWEH</w:t>
      </w:r>
      <w:r w:rsidR="008B1A29">
        <w:rPr>
          <w:rFonts w:ascii="Arial" w:eastAsiaTheme="minorHAnsi" w:hAnsi="Arial" w:cs="Arial"/>
        </w:rPr>
        <w:t>,</w:t>
      </w:r>
      <w:r w:rsidRPr="0007572B">
        <w:rPr>
          <w:rFonts w:ascii="Arial" w:eastAsiaTheme="minorHAnsi" w:hAnsi="Arial" w:cs="Arial"/>
          <w:color w:val="FF0000"/>
        </w:rPr>
        <w:t xml:space="preserve"> </w:t>
      </w:r>
      <w:r w:rsidRPr="0007572B">
        <w:rPr>
          <w:rFonts w:ascii="Arial" w:eastAsiaTheme="minorHAnsi" w:hAnsi="Arial" w:cs="Arial"/>
        </w:rPr>
        <w:t xml:space="preserve">FoFLP </w:t>
      </w:r>
      <w:r w:rsidR="008B1A29">
        <w:rPr>
          <w:rFonts w:ascii="Arial" w:eastAsiaTheme="minorHAnsi" w:hAnsi="Arial" w:cs="Arial"/>
        </w:rPr>
        <w:t xml:space="preserve">and </w:t>
      </w:r>
      <w:r w:rsidR="002B049C">
        <w:rPr>
          <w:rFonts w:ascii="Arial" w:eastAsiaTheme="minorHAnsi" w:hAnsi="Arial" w:cs="Arial"/>
        </w:rPr>
        <w:t>GME2</w:t>
      </w:r>
      <w:r w:rsidR="008B1A29" w:rsidRPr="008B1A29">
        <w:rPr>
          <w:rFonts w:ascii="Arial" w:eastAsiaTheme="minorHAnsi" w:hAnsi="Arial" w:cs="Arial"/>
        </w:rPr>
        <w:t xml:space="preserve">LP </w:t>
      </w:r>
      <w:r w:rsidRPr="008B1A29">
        <w:rPr>
          <w:rFonts w:ascii="Arial" w:eastAsiaTheme="minorHAnsi" w:hAnsi="Arial" w:cs="Arial"/>
        </w:rPr>
        <w:t xml:space="preserve">financial </w:t>
      </w:r>
      <w:r w:rsidRPr="0007572B">
        <w:rPr>
          <w:rFonts w:ascii="Arial" w:eastAsiaTheme="minorHAnsi" w:hAnsi="Arial" w:cs="Arial"/>
        </w:rPr>
        <w:t>instruments.</w:t>
      </w:r>
    </w:p>
    <w:p w14:paraId="19DF82D4" w14:textId="77777777" w:rsidR="005E2778" w:rsidRPr="0007572B" w:rsidRDefault="005E2778" w:rsidP="006F1659">
      <w:pPr>
        <w:spacing w:after="160" w:line="360" w:lineRule="auto"/>
        <w:rPr>
          <w:rFonts w:ascii="Arial" w:eastAsiaTheme="minorHAnsi" w:hAnsi="Arial" w:cs="Arial"/>
        </w:rPr>
      </w:pPr>
    </w:p>
    <w:p w14:paraId="3DE05118" w14:textId="77777777" w:rsidR="00795BE0" w:rsidRPr="0007572B" w:rsidRDefault="00795BE0" w:rsidP="006F1659">
      <w:pPr>
        <w:pStyle w:val="Heading4bold"/>
        <w:spacing w:line="360" w:lineRule="auto"/>
        <w:rPr>
          <w:rFonts w:eastAsiaTheme="minorHAnsi"/>
        </w:rPr>
      </w:pPr>
      <w:r w:rsidRPr="0007572B">
        <w:rPr>
          <w:rFonts w:eastAsiaTheme="minorHAnsi"/>
        </w:rPr>
        <w:t>Risk Factors</w:t>
      </w:r>
    </w:p>
    <w:p w14:paraId="6193E7CC" w14:textId="77777777" w:rsidR="00795BE0" w:rsidRPr="005E2778" w:rsidRDefault="00795BE0" w:rsidP="006F1659">
      <w:pPr>
        <w:pStyle w:val="Heading5underline"/>
        <w:spacing w:line="360" w:lineRule="auto"/>
        <w:rPr>
          <w:b/>
          <w:bCs/>
          <w:u w:val="none"/>
        </w:rPr>
      </w:pPr>
      <w:r w:rsidRPr="005E2778">
        <w:rPr>
          <w:b/>
          <w:bCs/>
          <w:u w:val="none"/>
        </w:rPr>
        <w:t>TfGM</w:t>
      </w:r>
    </w:p>
    <w:p w14:paraId="02307466" w14:textId="77777777" w:rsidR="00795BE0" w:rsidRPr="00A333FE" w:rsidRDefault="00795BE0" w:rsidP="006F1659">
      <w:pPr>
        <w:spacing w:line="360" w:lineRule="auto"/>
        <w:rPr>
          <w:rFonts w:ascii="Arial" w:eastAsiaTheme="minorHAnsi" w:hAnsi="Arial" w:cs="Arial"/>
        </w:rPr>
      </w:pPr>
      <w:r w:rsidRPr="00A333FE">
        <w:rPr>
          <w:rFonts w:ascii="Arial" w:eastAsiaTheme="minorHAnsi" w:hAnsi="Arial" w:cs="Arial"/>
        </w:rPr>
        <w:t xml:space="preserve">TfGM has a credit risk management policy that establishes guidelines and processes for credit risk assessments conducted on customer accounts, via a licence to Companywatch. Assessments consider historic financial information and an overall financial health score based on cashflow, balance sheet liquidity, and income and expenditure analysis. </w:t>
      </w:r>
    </w:p>
    <w:p w14:paraId="17EE2720" w14:textId="77777777" w:rsidR="00795BE0" w:rsidRPr="000162E7" w:rsidRDefault="00795BE0" w:rsidP="006F1659">
      <w:pPr>
        <w:spacing w:line="360" w:lineRule="auto"/>
        <w:rPr>
          <w:rFonts w:ascii="Arial" w:eastAsiaTheme="minorHAnsi" w:hAnsi="Arial" w:cs="Arial"/>
          <w:highlight w:val="yellow"/>
        </w:rPr>
      </w:pPr>
    </w:p>
    <w:p w14:paraId="638C144E" w14:textId="77777777" w:rsidR="00D031BB" w:rsidRPr="00E60A5A" w:rsidRDefault="00D031BB" w:rsidP="00D031BB">
      <w:pPr>
        <w:spacing w:line="360" w:lineRule="auto"/>
        <w:rPr>
          <w:rFonts w:ascii="Arial" w:eastAsiaTheme="minorHAnsi" w:hAnsi="Arial" w:cs="Arial"/>
        </w:rPr>
      </w:pPr>
      <w:r w:rsidRPr="00E60A5A">
        <w:rPr>
          <w:rFonts w:ascii="Arial" w:eastAsiaTheme="minorHAnsi" w:hAnsi="Arial" w:cs="Arial"/>
        </w:rPr>
        <w:t>As at 31 March 2024, a substantial proportion of the total debtors relate to central government and local authority bodies which are deemed to be low credit risk</w:t>
      </w:r>
      <w:r w:rsidRPr="00E60A5A">
        <w:rPr>
          <w:rFonts w:ascii="Arial" w:hAnsi="Arial" w:cs="Arial"/>
        </w:rPr>
        <w:t>.</w:t>
      </w:r>
    </w:p>
    <w:p w14:paraId="0FF3E87A" w14:textId="77777777" w:rsidR="00D031BB" w:rsidRPr="00E60A5A" w:rsidRDefault="00D031BB" w:rsidP="00D031BB">
      <w:pPr>
        <w:spacing w:line="360" w:lineRule="auto"/>
        <w:rPr>
          <w:rFonts w:ascii="Arial" w:eastAsiaTheme="minorHAnsi" w:hAnsi="Arial" w:cs="Arial"/>
        </w:rPr>
      </w:pPr>
      <w:r w:rsidRPr="00E60A5A">
        <w:rPr>
          <w:rFonts w:ascii="Arial" w:eastAsiaTheme="minorHAnsi" w:hAnsi="Arial" w:cs="Arial"/>
        </w:rPr>
        <w:t xml:space="preserve"> </w:t>
      </w:r>
    </w:p>
    <w:p w14:paraId="1B2A58A1" w14:textId="77777777" w:rsidR="00D031BB" w:rsidRPr="00E60A5A" w:rsidRDefault="00D031BB" w:rsidP="00D031BB">
      <w:pPr>
        <w:spacing w:line="360" w:lineRule="auto"/>
        <w:rPr>
          <w:rFonts w:ascii="Arial" w:eastAsiaTheme="minorHAnsi" w:hAnsi="Arial" w:cs="Arial"/>
        </w:rPr>
      </w:pPr>
      <w:r w:rsidRPr="00E60A5A">
        <w:rPr>
          <w:rFonts w:ascii="Arial" w:eastAsiaTheme="minorHAnsi" w:hAnsi="Arial" w:cs="Arial"/>
        </w:rPr>
        <w:t>The remaining £46.0m of debtors relate to other entities and individuals, including £8.2m trade debtors, of which 61%% are past due, with 15% of these being in the more than 30 days past due category.</w:t>
      </w:r>
    </w:p>
    <w:p w14:paraId="138E9AA3" w14:textId="77777777" w:rsidR="00795BE0" w:rsidRPr="00235431" w:rsidRDefault="00795BE0" w:rsidP="006F1659">
      <w:pPr>
        <w:spacing w:line="360" w:lineRule="auto"/>
        <w:rPr>
          <w:rFonts w:ascii="Arial" w:eastAsiaTheme="minorHAnsi" w:hAnsi="Arial" w:cs="Arial"/>
          <w:highlight w:val="yellow"/>
        </w:rPr>
      </w:pPr>
    </w:p>
    <w:p w14:paraId="60CF20ED" w14:textId="77777777" w:rsidR="00795BE0" w:rsidRDefault="00795BE0" w:rsidP="005E2778">
      <w:pPr>
        <w:spacing w:line="360" w:lineRule="auto"/>
        <w:rPr>
          <w:rFonts w:ascii="Arial" w:eastAsiaTheme="minorHAnsi" w:hAnsi="Arial" w:cs="Arial"/>
        </w:rPr>
      </w:pPr>
      <w:r w:rsidRPr="000162E7">
        <w:rPr>
          <w:rFonts w:ascii="Arial" w:eastAsiaTheme="minorHAnsi" w:hAnsi="Arial" w:cs="Arial"/>
        </w:rPr>
        <w:t>A prudent view is taken in respect of impairment of trade debtors.</w:t>
      </w:r>
    </w:p>
    <w:p w14:paraId="697C7BAE" w14:textId="77777777" w:rsidR="005E2778" w:rsidRPr="000162E7" w:rsidRDefault="005E2778" w:rsidP="005E2778">
      <w:pPr>
        <w:spacing w:line="360" w:lineRule="auto"/>
        <w:rPr>
          <w:rFonts w:ascii="Arial" w:eastAsiaTheme="minorHAnsi" w:hAnsi="Arial" w:cs="Arial"/>
        </w:rPr>
      </w:pPr>
    </w:p>
    <w:p w14:paraId="052F0968" w14:textId="77777777" w:rsidR="00795BE0" w:rsidRDefault="00795BE0" w:rsidP="005E2778">
      <w:pPr>
        <w:spacing w:line="360" w:lineRule="auto"/>
        <w:rPr>
          <w:rFonts w:ascii="Arial" w:eastAsiaTheme="minorHAnsi" w:hAnsi="Arial" w:cs="Arial"/>
        </w:rPr>
      </w:pPr>
      <w:r w:rsidRPr="000162E7">
        <w:rPr>
          <w:rFonts w:ascii="Arial" w:eastAsiaTheme="minorHAnsi" w:hAnsi="Arial" w:cs="Arial"/>
        </w:rPr>
        <w:t>TfGM bears no interest rate risk in relation to loans and borrowings, as all existing loans are at a fixed rate. Where required, short term funding for working capital is provided by GMCA at zero interest.</w:t>
      </w:r>
    </w:p>
    <w:p w14:paraId="425D4D49" w14:textId="77777777" w:rsidR="005E2778" w:rsidRPr="000162E7" w:rsidRDefault="005E2778" w:rsidP="005E2778">
      <w:pPr>
        <w:spacing w:line="360" w:lineRule="auto"/>
        <w:rPr>
          <w:rFonts w:ascii="Arial" w:eastAsiaTheme="minorHAnsi" w:hAnsi="Arial" w:cs="Arial"/>
        </w:rPr>
      </w:pPr>
    </w:p>
    <w:p w14:paraId="78887E12" w14:textId="77777777" w:rsidR="00795BE0" w:rsidRDefault="00795BE0" w:rsidP="005E2778">
      <w:pPr>
        <w:spacing w:line="360" w:lineRule="auto"/>
        <w:rPr>
          <w:rFonts w:ascii="Arial" w:eastAsiaTheme="minorHAnsi" w:hAnsi="Arial" w:cs="Arial"/>
        </w:rPr>
      </w:pPr>
      <w:r w:rsidRPr="000162E7">
        <w:rPr>
          <w:rFonts w:ascii="Arial" w:eastAsiaTheme="minorHAnsi" w:hAnsi="Arial" w:cs="Arial"/>
        </w:rPr>
        <w:t>Currency risk is not a significant factor for TfGM, as it ensures that substantially all financial assets and liabilities are contracted for in sterling. The value of contracts denominated in Euros is not material.</w:t>
      </w:r>
    </w:p>
    <w:p w14:paraId="687F8CFE" w14:textId="77777777" w:rsidR="005E2778" w:rsidRPr="000162E7" w:rsidRDefault="005E2778" w:rsidP="005E2778">
      <w:pPr>
        <w:spacing w:line="360" w:lineRule="auto"/>
        <w:rPr>
          <w:rFonts w:ascii="Arial" w:eastAsiaTheme="minorHAnsi" w:hAnsi="Arial" w:cs="Arial"/>
        </w:rPr>
      </w:pPr>
    </w:p>
    <w:p w14:paraId="27596796" w14:textId="77777777" w:rsidR="00795BE0" w:rsidRPr="000162E7" w:rsidRDefault="00795BE0" w:rsidP="005E2778">
      <w:pPr>
        <w:spacing w:line="360" w:lineRule="auto"/>
        <w:rPr>
          <w:rFonts w:ascii="Arial" w:eastAsiaTheme="minorHAnsi" w:hAnsi="Arial" w:cs="Arial"/>
        </w:rPr>
      </w:pPr>
      <w:r w:rsidRPr="000162E7">
        <w:rPr>
          <w:rFonts w:ascii="Arial" w:eastAsiaTheme="minorHAnsi" w:hAnsi="Arial" w:cs="Arial"/>
        </w:rPr>
        <w:t>Equity price risk is not a factor for TfGM since it holds no tradable investments.</w:t>
      </w:r>
    </w:p>
    <w:p w14:paraId="2A84CD14" w14:textId="77777777" w:rsidR="00D031BB" w:rsidRDefault="00D031BB" w:rsidP="005E2778">
      <w:pPr>
        <w:spacing w:line="360" w:lineRule="auto"/>
        <w:rPr>
          <w:rFonts w:ascii="Arial" w:eastAsiaTheme="minorHAnsi" w:hAnsi="Arial" w:cs="Arial"/>
        </w:rPr>
      </w:pPr>
    </w:p>
    <w:p w14:paraId="2BE7A076" w14:textId="7769A250" w:rsidR="00795BE0" w:rsidRDefault="00795BE0" w:rsidP="005E2778">
      <w:pPr>
        <w:spacing w:line="360" w:lineRule="auto"/>
        <w:rPr>
          <w:rFonts w:ascii="Arial" w:eastAsiaTheme="minorHAnsi" w:hAnsi="Arial" w:cs="Arial"/>
        </w:rPr>
      </w:pPr>
      <w:r w:rsidRPr="002E200A">
        <w:rPr>
          <w:rFonts w:ascii="Arial" w:eastAsiaTheme="minorHAnsi" w:hAnsi="Arial" w:cs="Arial"/>
        </w:rPr>
        <w:lastRenderedPageBreak/>
        <w:t>Risks are managed in accordance with the Annual Governance Statement. Management of TfGM’s cash balances and funding requirements is undertaken by the daily assessment of available funds for short</w:t>
      </w:r>
      <w:r w:rsidR="00F3496D">
        <w:rPr>
          <w:rFonts w:ascii="Arial" w:eastAsiaTheme="minorHAnsi" w:hAnsi="Arial" w:cs="Arial"/>
        </w:rPr>
        <w:t xml:space="preserve"> </w:t>
      </w:r>
      <w:r w:rsidRPr="002E200A">
        <w:rPr>
          <w:rFonts w:ascii="Arial" w:eastAsiaTheme="minorHAnsi" w:hAnsi="Arial" w:cs="Arial"/>
        </w:rPr>
        <w:t>term deposits; and the regular preparation of detailed treasury and cash flow forecasts which are reviewed by the Head of Finance and the Director of Finance and Corporate Services. Where necessary, mitigating actions are taken and agreement is sought from GMCA officers if further funding is required to cover, for example, short term cash flow requirements arising from the timing difference between expenditure and grant monies being applied for and received.</w:t>
      </w:r>
    </w:p>
    <w:p w14:paraId="25E93515" w14:textId="77777777" w:rsidR="005E2778" w:rsidRPr="0007572B" w:rsidRDefault="005E2778" w:rsidP="005E2778">
      <w:pPr>
        <w:spacing w:after="240" w:line="360" w:lineRule="auto"/>
        <w:rPr>
          <w:rFonts w:ascii="Arial" w:eastAsiaTheme="minorHAnsi" w:hAnsi="Arial" w:cs="Arial"/>
        </w:rPr>
      </w:pPr>
    </w:p>
    <w:p w14:paraId="7003A6D5" w14:textId="26622C7D" w:rsidR="00795BE0" w:rsidRPr="005E2778" w:rsidRDefault="00795BE0" w:rsidP="006F1659">
      <w:pPr>
        <w:pStyle w:val="Heading5underline"/>
        <w:spacing w:line="360" w:lineRule="auto"/>
        <w:rPr>
          <w:b/>
          <w:bCs/>
          <w:u w:val="none"/>
        </w:rPr>
      </w:pPr>
      <w:r w:rsidRPr="005E2778">
        <w:rPr>
          <w:b/>
          <w:bCs/>
          <w:u w:val="none"/>
        </w:rPr>
        <w:t>NWEH</w:t>
      </w:r>
      <w:r w:rsidR="00C42A8A" w:rsidRPr="005E2778">
        <w:rPr>
          <w:b/>
          <w:bCs/>
          <w:u w:val="none"/>
        </w:rPr>
        <w:t xml:space="preserve">, </w:t>
      </w:r>
      <w:r w:rsidRPr="005E2778">
        <w:rPr>
          <w:b/>
          <w:bCs/>
          <w:u w:val="none"/>
        </w:rPr>
        <w:t>FoFLP</w:t>
      </w:r>
      <w:r w:rsidR="00C42A8A" w:rsidRPr="005E2778">
        <w:rPr>
          <w:b/>
          <w:bCs/>
          <w:u w:val="none"/>
        </w:rPr>
        <w:t xml:space="preserve"> and </w:t>
      </w:r>
      <w:r w:rsidR="00C42A8A" w:rsidRPr="005E2778">
        <w:rPr>
          <w:rFonts w:cs="Arial"/>
          <w:b/>
          <w:bCs/>
          <w:u w:val="none"/>
        </w:rPr>
        <w:t>GME2LP</w:t>
      </w:r>
      <w:r w:rsidRPr="005E2778">
        <w:rPr>
          <w:b/>
          <w:bCs/>
          <w:u w:val="none"/>
        </w:rPr>
        <w:t xml:space="preserve"> (LPs)</w:t>
      </w:r>
    </w:p>
    <w:p w14:paraId="57241CA8" w14:textId="77777777" w:rsidR="00795BE0" w:rsidRDefault="00795BE0" w:rsidP="006F1659">
      <w:pPr>
        <w:spacing w:after="160" w:line="360" w:lineRule="auto"/>
        <w:rPr>
          <w:rFonts w:ascii="Arial" w:eastAsiaTheme="minorHAnsi" w:hAnsi="Arial" w:cs="Arial"/>
        </w:rPr>
      </w:pPr>
      <w:r w:rsidRPr="0007572B">
        <w:rPr>
          <w:rFonts w:ascii="Arial" w:eastAsiaTheme="minorHAnsi" w:hAnsi="Arial" w:cs="Arial"/>
        </w:rPr>
        <w:t>The LPs’ principal risks are liquidity, credit and capital management, for which risk management programmes are in place to limit the adverse effect of such risks in their financial position.</w:t>
      </w:r>
    </w:p>
    <w:p w14:paraId="567FCBCD" w14:textId="77777777" w:rsidR="005E2778" w:rsidRPr="005E2778" w:rsidRDefault="005E2778" w:rsidP="005E2778">
      <w:pPr>
        <w:spacing w:line="360" w:lineRule="auto"/>
        <w:rPr>
          <w:rFonts w:ascii="Arial" w:eastAsiaTheme="minorHAnsi" w:hAnsi="Arial" w:cs="Arial"/>
          <w:b/>
          <w:bCs/>
        </w:rPr>
      </w:pPr>
    </w:p>
    <w:p w14:paraId="1F6C4CCC" w14:textId="77777777" w:rsidR="00795BE0" w:rsidRPr="005E2778" w:rsidRDefault="00795BE0" w:rsidP="006F1659">
      <w:pPr>
        <w:pStyle w:val="Heading5underline"/>
        <w:spacing w:line="360" w:lineRule="auto"/>
        <w:rPr>
          <w:b/>
          <w:bCs/>
          <w:w w:val="100"/>
          <w:u w:val="none"/>
        </w:rPr>
      </w:pPr>
      <w:r w:rsidRPr="005E2778">
        <w:rPr>
          <w:b/>
          <w:bCs/>
          <w:w w:val="100"/>
          <w:u w:val="none"/>
        </w:rPr>
        <w:t>Liquidity risk</w:t>
      </w:r>
    </w:p>
    <w:p w14:paraId="7D7EB8CC" w14:textId="5C526B9A" w:rsidR="008B1A29" w:rsidRDefault="00795BE0" w:rsidP="006F1659">
      <w:pPr>
        <w:spacing w:after="160" w:line="360" w:lineRule="auto"/>
        <w:rPr>
          <w:rFonts w:ascii="Arial" w:eastAsiaTheme="minorHAnsi" w:hAnsi="Arial" w:cs="Arial"/>
        </w:rPr>
      </w:pPr>
      <w:r w:rsidRPr="0007572B">
        <w:rPr>
          <w:rFonts w:ascii="Arial" w:eastAsiaTheme="minorHAnsi" w:hAnsi="Arial" w:cs="Arial"/>
        </w:rPr>
        <w:t xml:space="preserve">Liquidity risk is the risk that the LPs will have difficulty in meeting their obligations as and when they fall due. The LPs’ approach to liquidity is to utilise cash flow forecasting to ensure that they will always have sufficient liquidity to meet liabilities as and when they fall due without incurring unacceptable credit risk or risking damage to the LPs’ reputations. </w:t>
      </w:r>
    </w:p>
    <w:p w14:paraId="79B5EEAF" w14:textId="77777777" w:rsidR="005E2778" w:rsidRPr="0007572B" w:rsidRDefault="005E2778" w:rsidP="005E2778">
      <w:pPr>
        <w:spacing w:line="360" w:lineRule="auto"/>
        <w:rPr>
          <w:rFonts w:ascii="Arial" w:eastAsiaTheme="minorHAnsi" w:hAnsi="Arial" w:cs="Arial"/>
        </w:rPr>
      </w:pPr>
    </w:p>
    <w:p w14:paraId="3DE33F22" w14:textId="77777777" w:rsidR="00795BE0" w:rsidRPr="005E2778" w:rsidRDefault="00795BE0" w:rsidP="006F1659">
      <w:pPr>
        <w:pStyle w:val="Heading5underline"/>
        <w:spacing w:line="360" w:lineRule="auto"/>
        <w:rPr>
          <w:b/>
          <w:bCs/>
          <w:u w:val="none"/>
        </w:rPr>
      </w:pPr>
      <w:r w:rsidRPr="005E2778">
        <w:rPr>
          <w:b/>
          <w:bCs/>
          <w:u w:val="none"/>
        </w:rPr>
        <w:t>Credit risk</w:t>
      </w:r>
    </w:p>
    <w:p w14:paraId="51F9D81D" w14:textId="77777777" w:rsidR="00795BE0" w:rsidRDefault="00795BE0" w:rsidP="005E2778">
      <w:pPr>
        <w:spacing w:line="360" w:lineRule="auto"/>
        <w:rPr>
          <w:rFonts w:ascii="Arial" w:eastAsiaTheme="minorHAnsi" w:hAnsi="Arial" w:cs="Arial"/>
        </w:rPr>
      </w:pPr>
      <w:r w:rsidRPr="0007572B">
        <w:rPr>
          <w:rFonts w:ascii="Arial" w:eastAsiaTheme="minorHAnsi" w:hAnsi="Arial" w:cs="Arial"/>
        </w:rPr>
        <w:t>Credit risk arises for the funds from both deposits with banks and credit exposures to borrowers.</w:t>
      </w:r>
    </w:p>
    <w:p w14:paraId="2A8FF21E" w14:textId="77777777" w:rsidR="005E2778" w:rsidRPr="0007572B" w:rsidRDefault="005E2778" w:rsidP="005E2778">
      <w:pPr>
        <w:spacing w:line="360" w:lineRule="auto"/>
        <w:rPr>
          <w:rFonts w:ascii="Arial" w:eastAsiaTheme="minorHAnsi" w:hAnsi="Arial" w:cs="Arial"/>
        </w:rPr>
      </w:pPr>
    </w:p>
    <w:p w14:paraId="78E4A56D" w14:textId="3DCFF2A5" w:rsidR="00795BE0" w:rsidRPr="003D3B7D" w:rsidRDefault="00795BE0" w:rsidP="006F1659">
      <w:pPr>
        <w:spacing w:line="360" w:lineRule="auto"/>
        <w:rPr>
          <w:rFonts w:ascii="Arial" w:eastAsiaTheme="minorHAnsi" w:hAnsi="Arial" w:cs="Arial"/>
        </w:rPr>
      </w:pPr>
      <w:r w:rsidRPr="0007572B">
        <w:rPr>
          <w:rFonts w:ascii="Arial" w:eastAsiaTheme="minorHAnsi" w:hAnsi="Arial" w:cs="Arial"/>
        </w:rPr>
        <w:t xml:space="preserve">The LPs’ credit risk in relation to bank deposits is minimised by following the GMCA’s Annual Investment Strategy, which requires that deposits are not made with financial institutions unless they meet identified minimum credit criteria, in accordance with the Fitch and Moody’s Ratings Services. The Annual Investment Strategy also imposes a maximum sum to be invested with a financial institution located within each category. Deposits are not made with banks and financial institutions unless they meet the </w:t>
      </w:r>
      <w:r w:rsidRPr="00ED0268">
        <w:rPr>
          <w:rFonts w:ascii="Arial" w:eastAsiaTheme="minorHAnsi" w:hAnsi="Arial" w:cs="Arial"/>
        </w:rPr>
        <w:t xml:space="preserve">minimum requirements of the investment criteria </w:t>
      </w:r>
      <w:r w:rsidRPr="005E2778">
        <w:rPr>
          <w:rFonts w:ascii="Arial" w:eastAsiaTheme="minorHAnsi" w:hAnsi="Arial" w:cs="Arial"/>
        </w:rPr>
        <w:t xml:space="preserve">outlined in Note 30. All investments </w:t>
      </w:r>
      <w:r w:rsidRPr="005E2778">
        <w:rPr>
          <w:rFonts w:ascii="Arial" w:eastAsiaTheme="minorHAnsi" w:hAnsi="Arial" w:cs="Arial"/>
        </w:rPr>
        <w:lastRenderedPageBreak/>
        <w:t>held as at 31 March 202</w:t>
      </w:r>
      <w:r w:rsidR="005E2778" w:rsidRPr="005E2778">
        <w:rPr>
          <w:rFonts w:ascii="Arial" w:eastAsiaTheme="minorHAnsi" w:hAnsi="Arial" w:cs="Arial"/>
        </w:rPr>
        <w:t>4</w:t>
      </w:r>
      <w:r w:rsidRPr="005E2778">
        <w:rPr>
          <w:rFonts w:ascii="Arial" w:eastAsiaTheme="minorHAnsi" w:hAnsi="Arial" w:cs="Arial"/>
        </w:rPr>
        <w:t xml:space="preserve"> were with the HM Treasury Debt Management Office, other local authorities or UK banks and building societies.</w:t>
      </w:r>
      <w:r w:rsidRPr="003D3B7D">
        <w:rPr>
          <w:rFonts w:ascii="Arial" w:eastAsiaTheme="minorHAnsi" w:hAnsi="Arial" w:cs="Arial"/>
        </w:rPr>
        <w:t xml:space="preserve"> </w:t>
      </w:r>
    </w:p>
    <w:p w14:paraId="76AB3F14" w14:textId="77777777" w:rsidR="00795BE0" w:rsidRPr="003D3B7D" w:rsidRDefault="00795BE0" w:rsidP="006F1659">
      <w:pPr>
        <w:spacing w:line="360" w:lineRule="auto"/>
        <w:rPr>
          <w:rFonts w:ascii="Arial" w:eastAsiaTheme="minorHAnsi" w:hAnsi="Arial" w:cs="Arial"/>
        </w:rPr>
      </w:pPr>
    </w:p>
    <w:p w14:paraId="229FE578" w14:textId="77777777" w:rsidR="00795BE0" w:rsidRDefault="00795BE0" w:rsidP="005E2778">
      <w:pPr>
        <w:spacing w:line="360" w:lineRule="auto"/>
        <w:rPr>
          <w:rFonts w:ascii="Arial" w:eastAsiaTheme="minorHAnsi" w:hAnsi="Arial" w:cs="Arial"/>
        </w:rPr>
      </w:pPr>
      <w:r w:rsidRPr="005E2778">
        <w:rPr>
          <w:rFonts w:ascii="Arial" w:eastAsiaTheme="minorHAnsi" w:hAnsi="Arial" w:cs="Arial"/>
        </w:rPr>
        <w:t>The Authority has not used any non-credit rated institutions (for instance smaller building societies or bank subsidiaries where the parent has a satisfactory rating).</w:t>
      </w:r>
    </w:p>
    <w:p w14:paraId="63F79815" w14:textId="77777777" w:rsidR="005E2778" w:rsidRPr="005E2778" w:rsidRDefault="005E2778" w:rsidP="005E2778">
      <w:pPr>
        <w:spacing w:line="360" w:lineRule="auto"/>
        <w:rPr>
          <w:rFonts w:ascii="Arial" w:eastAsiaTheme="minorHAnsi" w:hAnsi="Arial" w:cs="Arial"/>
        </w:rPr>
      </w:pPr>
    </w:p>
    <w:p w14:paraId="6B32E22A" w14:textId="77777777" w:rsidR="00795BE0" w:rsidRDefault="00795BE0" w:rsidP="005E2778">
      <w:pPr>
        <w:spacing w:line="360" w:lineRule="auto"/>
        <w:rPr>
          <w:rFonts w:ascii="Arial" w:eastAsiaTheme="minorHAnsi" w:hAnsi="Arial" w:cs="Arial"/>
        </w:rPr>
      </w:pPr>
      <w:r w:rsidRPr="005E2778">
        <w:rPr>
          <w:rFonts w:ascii="Arial" w:eastAsiaTheme="minorHAnsi" w:hAnsi="Arial" w:cs="Arial"/>
        </w:rPr>
        <w:t>The purpose of the LPs is to provide short term funding into urban development projects in the North-West via their sub-funds. This provides credit risk in relation to each borrower and project. The LPs manage this risk by setting agreed investment parameters under the Contingent Loan Agreements and the Investment Adviser and Operator Agreements in place, with detailed due diligence undertaken for all borrowers and projects.</w:t>
      </w:r>
    </w:p>
    <w:p w14:paraId="24CC3346" w14:textId="77777777" w:rsidR="005E2778" w:rsidRPr="003D3B7D" w:rsidRDefault="005E2778" w:rsidP="005E2778">
      <w:pPr>
        <w:spacing w:line="360" w:lineRule="auto"/>
        <w:rPr>
          <w:rFonts w:ascii="Arial" w:eastAsiaTheme="minorHAnsi" w:hAnsi="Arial" w:cs="Arial"/>
        </w:rPr>
      </w:pPr>
    </w:p>
    <w:p w14:paraId="1A1B6098" w14:textId="29E25F05" w:rsidR="00795BE0" w:rsidRPr="005E2778" w:rsidRDefault="00795BE0" w:rsidP="005E2778">
      <w:pPr>
        <w:spacing w:line="360" w:lineRule="auto"/>
        <w:rPr>
          <w:rFonts w:ascii="Arial" w:eastAsiaTheme="minorHAnsi" w:hAnsi="Arial" w:cs="Arial"/>
        </w:rPr>
      </w:pPr>
      <w:r w:rsidRPr="003D3B7D">
        <w:rPr>
          <w:rFonts w:ascii="Arial" w:eastAsiaTheme="minorHAnsi" w:hAnsi="Arial" w:cs="Arial"/>
        </w:rPr>
        <w:t xml:space="preserve">Each investment is subject to approval by the investment funds’ board, in addition to CBRE’s investment board as Investment Adviser to the funds. These are predominantly senior loans and as such carry prudent loan to values secured on tangible real estate </w:t>
      </w:r>
      <w:r w:rsidRPr="005E2778">
        <w:rPr>
          <w:rFonts w:ascii="Arial" w:eastAsiaTheme="minorHAnsi" w:hAnsi="Arial" w:cs="Arial"/>
        </w:rPr>
        <w:t>assets. CBRE, in its capacity as Investment Adviser and Operator, monitor the projects throughout the loan term, reporting progress to the board and providing recommendations as appropriate. No defaults have been suffered by the funds to date, and none of the loans as at 31 March 202</w:t>
      </w:r>
      <w:r w:rsidR="005E2778">
        <w:rPr>
          <w:rFonts w:ascii="Arial" w:eastAsiaTheme="minorHAnsi" w:hAnsi="Arial" w:cs="Arial"/>
        </w:rPr>
        <w:t>4</w:t>
      </w:r>
      <w:r w:rsidRPr="005E2778">
        <w:rPr>
          <w:rFonts w:ascii="Arial" w:eastAsiaTheme="minorHAnsi" w:hAnsi="Arial" w:cs="Arial"/>
        </w:rPr>
        <w:t xml:space="preserve"> were in default.</w:t>
      </w:r>
    </w:p>
    <w:p w14:paraId="3CD6E73D" w14:textId="77777777" w:rsidR="005E2778" w:rsidRPr="005E2778" w:rsidRDefault="005E2778" w:rsidP="005E2778">
      <w:pPr>
        <w:spacing w:line="360" w:lineRule="auto"/>
        <w:rPr>
          <w:rFonts w:ascii="Arial" w:eastAsiaTheme="minorHAnsi" w:hAnsi="Arial" w:cs="Arial"/>
        </w:rPr>
      </w:pPr>
    </w:p>
    <w:p w14:paraId="27555A19" w14:textId="77777777" w:rsidR="00795BE0" w:rsidRPr="005E2778" w:rsidRDefault="00795BE0" w:rsidP="006F1659">
      <w:pPr>
        <w:pStyle w:val="Heading5underline"/>
        <w:spacing w:line="360" w:lineRule="auto"/>
        <w:rPr>
          <w:b/>
          <w:bCs/>
          <w:u w:val="none"/>
        </w:rPr>
      </w:pPr>
      <w:r w:rsidRPr="005E2778">
        <w:rPr>
          <w:b/>
          <w:bCs/>
          <w:u w:val="none"/>
        </w:rPr>
        <w:t>Capital management</w:t>
      </w:r>
    </w:p>
    <w:p w14:paraId="106E3160" w14:textId="77777777" w:rsidR="00795BE0" w:rsidRPr="005E2778" w:rsidRDefault="00795BE0" w:rsidP="005E2778">
      <w:pPr>
        <w:spacing w:line="360" w:lineRule="auto"/>
        <w:rPr>
          <w:rFonts w:ascii="Arial" w:eastAsiaTheme="minorHAnsi" w:hAnsi="Arial" w:cs="Arial"/>
        </w:rPr>
      </w:pPr>
      <w:r w:rsidRPr="005E2778">
        <w:rPr>
          <w:rFonts w:ascii="Arial" w:eastAsiaTheme="minorHAnsi" w:hAnsi="Arial" w:cs="Arial"/>
        </w:rPr>
        <w:t>The LPs’ finance their operations through the management of working capital and ultimately from the support of their partners if required.</w:t>
      </w:r>
    </w:p>
    <w:p w14:paraId="3EE7889D" w14:textId="77777777" w:rsidR="005E2778" w:rsidRPr="005E2778" w:rsidRDefault="005E2778" w:rsidP="005E2778">
      <w:pPr>
        <w:spacing w:line="360" w:lineRule="auto"/>
        <w:rPr>
          <w:rFonts w:ascii="Arial" w:eastAsiaTheme="minorHAnsi" w:hAnsi="Arial" w:cs="Arial"/>
        </w:rPr>
      </w:pPr>
    </w:p>
    <w:p w14:paraId="48068F74" w14:textId="77777777" w:rsidR="00795BE0" w:rsidRPr="005E2778" w:rsidRDefault="00795BE0" w:rsidP="006F1659">
      <w:pPr>
        <w:pStyle w:val="Heading4bold"/>
        <w:spacing w:line="360" w:lineRule="auto"/>
        <w:rPr>
          <w:rFonts w:eastAsiaTheme="minorHAnsi"/>
        </w:rPr>
      </w:pPr>
      <w:r w:rsidRPr="005E2778">
        <w:rPr>
          <w:rFonts w:eastAsiaTheme="minorHAnsi"/>
        </w:rPr>
        <w:t>Hedging Instruments</w:t>
      </w:r>
    </w:p>
    <w:p w14:paraId="3EBA3D11" w14:textId="2BFC2EE3" w:rsidR="00795BE0" w:rsidRDefault="00795BE0" w:rsidP="006F1659">
      <w:pPr>
        <w:spacing w:after="160" w:line="360" w:lineRule="auto"/>
        <w:rPr>
          <w:rFonts w:ascii="Arial" w:eastAsiaTheme="minorHAnsi" w:hAnsi="Arial" w:cs="Arial"/>
        </w:rPr>
      </w:pPr>
      <w:r w:rsidRPr="005E2778">
        <w:rPr>
          <w:rFonts w:ascii="Arial" w:eastAsiaTheme="minorHAnsi" w:hAnsi="Arial" w:cs="Arial"/>
        </w:rPr>
        <w:t>Neither TfGM, NWEH</w:t>
      </w:r>
      <w:r w:rsidR="00C42A8A" w:rsidRPr="005E2778">
        <w:rPr>
          <w:rFonts w:ascii="Arial" w:eastAsiaTheme="minorHAnsi" w:hAnsi="Arial" w:cs="Arial"/>
        </w:rPr>
        <w:t xml:space="preserve">, </w:t>
      </w:r>
      <w:r w:rsidRPr="005E2778">
        <w:rPr>
          <w:rFonts w:ascii="Arial" w:eastAsiaTheme="minorHAnsi" w:hAnsi="Arial" w:cs="Arial"/>
        </w:rPr>
        <w:t>FoFLP</w:t>
      </w:r>
      <w:r w:rsidR="00C42A8A" w:rsidRPr="005E2778">
        <w:rPr>
          <w:rFonts w:ascii="Arial" w:eastAsiaTheme="minorHAnsi" w:hAnsi="Arial" w:cs="Arial"/>
        </w:rPr>
        <w:t xml:space="preserve"> nor GME2LP</w:t>
      </w:r>
      <w:r w:rsidRPr="005E2778">
        <w:rPr>
          <w:rFonts w:ascii="Arial" w:eastAsiaTheme="minorHAnsi" w:hAnsi="Arial" w:cs="Arial"/>
        </w:rPr>
        <w:t xml:space="preserve"> hold any financial instruments that could be classified as hedging instruments.</w:t>
      </w:r>
    </w:p>
    <w:p w14:paraId="76C83899" w14:textId="77777777" w:rsidR="0066778F" w:rsidRDefault="0066778F" w:rsidP="006F1659">
      <w:pPr>
        <w:spacing w:after="160" w:line="360" w:lineRule="auto"/>
        <w:rPr>
          <w:rFonts w:ascii="Arial" w:eastAsiaTheme="minorHAnsi" w:hAnsi="Arial" w:cs="Arial"/>
        </w:rPr>
      </w:pPr>
    </w:p>
    <w:p w14:paraId="17E006B6" w14:textId="77777777" w:rsidR="00E4417E" w:rsidRDefault="00E4417E" w:rsidP="006F1659">
      <w:pPr>
        <w:spacing w:line="360" w:lineRule="auto"/>
        <w:rPr>
          <w:rFonts w:ascii="Arial" w:eastAsia="Palatino Linotype" w:hAnsi="Arial" w:cs="Arial"/>
          <w:b/>
          <w:bCs/>
          <w:szCs w:val="28"/>
          <w:lang w:val="en-US"/>
        </w:rPr>
      </w:pPr>
      <w:bookmarkStart w:id="332" w:name="_Toc92894951"/>
      <w:bookmarkStart w:id="333" w:name="_Toc92895255"/>
      <w:bookmarkStart w:id="334" w:name="_Toc109922689"/>
      <w:r>
        <w:br w:type="page"/>
      </w:r>
    </w:p>
    <w:p w14:paraId="09C58C8C" w14:textId="137558E5" w:rsidR="00795BE0" w:rsidRPr="0007572B" w:rsidRDefault="00795BE0" w:rsidP="006F1659">
      <w:pPr>
        <w:pStyle w:val="Heading3greennumbered"/>
        <w:spacing w:line="360" w:lineRule="auto"/>
      </w:pPr>
      <w:r w:rsidRPr="0007572B">
        <w:lastRenderedPageBreak/>
        <w:t>5</w:t>
      </w:r>
      <w:r>
        <w:t>7</w:t>
      </w:r>
      <w:r w:rsidRPr="0007572B">
        <w:t xml:space="preserve"> Group Related Party Transactions</w:t>
      </w:r>
      <w:bookmarkEnd w:id="332"/>
      <w:bookmarkEnd w:id="333"/>
      <w:bookmarkEnd w:id="334"/>
    </w:p>
    <w:p w14:paraId="7AAD8264" w14:textId="77777777" w:rsidR="00795BE0" w:rsidRPr="0007572B" w:rsidRDefault="00795BE0" w:rsidP="006F1659">
      <w:pPr>
        <w:spacing w:line="360" w:lineRule="auto"/>
        <w:rPr>
          <w:rFonts w:ascii="Arial" w:hAnsi="Arial" w:cs="Arial"/>
        </w:rPr>
      </w:pPr>
    </w:p>
    <w:p w14:paraId="6D70249F" w14:textId="77777777" w:rsidR="00795BE0" w:rsidRPr="0007572B" w:rsidRDefault="00795BE0" w:rsidP="006F1659">
      <w:pPr>
        <w:spacing w:line="360" w:lineRule="auto"/>
        <w:rPr>
          <w:rFonts w:ascii="Arial" w:eastAsiaTheme="minorHAnsi" w:hAnsi="Arial" w:cs="Arial"/>
        </w:rPr>
      </w:pPr>
      <w:r w:rsidRPr="0007572B">
        <w:rPr>
          <w:rFonts w:ascii="Arial" w:hAnsi="Arial" w:cs="Arial"/>
        </w:rPr>
        <w:t>The</w:t>
      </w:r>
      <w:r w:rsidRPr="0007572B">
        <w:rPr>
          <w:rFonts w:ascii="Arial" w:eastAsiaTheme="minorHAnsi" w:hAnsi="Arial" w:cs="Arial"/>
        </w:rPr>
        <w:t xml:space="preserve"> Group is required to disclose material transactions with related parties - bodies or individuals that have the potential to control or influence the Group or to be controlled or influenced by the Group. </w:t>
      </w:r>
    </w:p>
    <w:p w14:paraId="0239CFFE" w14:textId="77777777" w:rsidR="00795BE0" w:rsidRPr="0007572B" w:rsidRDefault="00795BE0" w:rsidP="006F1659">
      <w:pPr>
        <w:spacing w:line="360" w:lineRule="auto"/>
        <w:rPr>
          <w:rFonts w:ascii="Arial" w:eastAsiaTheme="minorHAnsi" w:hAnsi="Arial" w:cs="Arial"/>
        </w:rPr>
      </w:pPr>
    </w:p>
    <w:p w14:paraId="7876DB49" w14:textId="0FEF0D63" w:rsidR="00464DD2" w:rsidRDefault="00795BE0" w:rsidP="006F1659">
      <w:pPr>
        <w:spacing w:line="360" w:lineRule="auto"/>
        <w:rPr>
          <w:rFonts w:ascii="Arial" w:hAnsi="Arial" w:cs="Arial"/>
        </w:rPr>
      </w:pPr>
      <w:r w:rsidRPr="0007572B">
        <w:rPr>
          <w:rFonts w:ascii="Arial" w:hAnsi="Arial" w:cs="Arial"/>
        </w:rPr>
        <w:t>Transactions and balances between the Authority and its related parties are disclosed in note 31.</w:t>
      </w:r>
      <w:r w:rsidR="0010781E">
        <w:rPr>
          <w:rFonts w:ascii="Arial" w:hAnsi="Arial" w:cs="Arial"/>
        </w:rPr>
        <w:t xml:space="preserve"> Transactions between the Authority and those included within the group have been removed on consolidation.</w:t>
      </w:r>
    </w:p>
    <w:p w14:paraId="07B7B44F" w14:textId="31B221B7" w:rsidR="00795BE0" w:rsidRDefault="00795BE0" w:rsidP="006F1659">
      <w:pPr>
        <w:spacing w:line="360" w:lineRule="auto"/>
        <w:rPr>
          <w:rFonts w:ascii="Arial" w:eastAsia="Palatino Linotype" w:hAnsi="Arial"/>
          <w:b/>
          <w:lang w:val="en-US"/>
        </w:rPr>
      </w:pPr>
      <w:bookmarkStart w:id="335" w:name="_Toc92894952"/>
      <w:bookmarkStart w:id="336" w:name="_Toc92895256"/>
    </w:p>
    <w:p w14:paraId="158EBE0C" w14:textId="013D1C69" w:rsidR="00464DD2" w:rsidRDefault="00464DD2" w:rsidP="006F1659">
      <w:pPr>
        <w:pStyle w:val="Heading4bold"/>
        <w:spacing w:after="0" w:line="360" w:lineRule="auto"/>
      </w:pPr>
      <w:r w:rsidRPr="00741CBC">
        <w:t>T</w:t>
      </w:r>
      <w:r w:rsidR="00AC7857">
        <w:t>FG</w:t>
      </w:r>
      <w:r w:rsidRPr="00741CBC">
        <w:t>M</w:t>
      </w:r>
    </w:p>
    <w:p w14:paraId="201D8D1B" w14:textId="534C79F9" w:rsidR="00464DD2" w:rsidRDefault="00464DD2" w:rsidP="006F1659">
      <w:pPr>
        <w:spacing w:line="360" w:lineRule="auto"/>
        <w:rPr>
          <w:rFonts w:ascii="Arial" w:hAnsi="Arial" w:cs="Arial"/>
        </w:rPr>
      </w:pPr>
      <w:r w:rsidRPr="008E5C10">
        <w:rPr>
          <w:rFonts w:ascii="Arial" w:hAnsi="Arial" w:cs="Arial"/>
        </w:rPr>
        <w:t>The following entities are consolidated within the GMCA group accounts; the Chief Constable of Greater Manchester, NW Evergreen Holdings Limited Partnership, Greater Manchester Evergreen 2 Limited Partnership and Greater Manchester Fund of Funds Limited Partnership. No transactions took place between TfGM and any of these entities.</w:t>
      </w:r>
    </w:p>
    <w:p w14:paraId="37F02F7B" w14:textId="145A5C5A" w:rsidR="00AC7857" w:rsidRDefault="00AC7857" w:rsidP="006F1659">
      <w:pPr>
        <w:spacing w:line="360" w:lineRule="auto"/>
        <w:rPr>
          <w:rFonts w:ascii="Arial" w:hAnsi="Arial" w:cs="Arial"/>
        </w:rPr>
      </w:pPr>
    </w:p>
    <w:p w14:paraId="699593ED" w14:textId="620C488E" w:rsidR="00AC7857" w:rsidRPr="00741CBC" w:rsidRDefault="00AC7857" w:rsidP="006F1659">
      <w:pPr>
        <w:spacing w:line="360" w:lineRule="auto"/>
        <w:rPr>
          <w:rFonts w:ascii="Arial" w:hAnsi="Arial" w:cs="Arial"/>
        </w:rPr>
      </w:pPr>
      <w:r>
        <w:rPr>
          <w:rFonts w:ascii="Arial" w:hAnsi="Arial" w:cs="Arial"/>
        </w:rPr>
        <w:t xml:space="preserve">Greater Manchester Accessible Transport Limited and Piccadilly Triangle Developments are subsidiaries of TFGM, see below for related party transactions. </w:t>
      </w:r>
    </w:p>
    <w:p w14:paraId="28BB07DF" w14:textId="77777777" w:rsidR="00464DD2" w:rsidRDefault="00464DD2" w:rsidP="006F1659">
      <w:pPr>
        <w:spacing w:line="360" w:lineRule="auto"/>
        <w:rPr>
          <w:rFonts w:ascii="Arial" w:hAnsi="Arial" w:cs="Arial"/>
        </w:rPr>
      </w:pPr>
    </w:p>
    <w:p w14:paraId="2A29BF4B" w14:textId="77777777" w:rsidR="00464DD2" w:rsidRPr="00196AB4" w:rsidRDefault="00464DD2" w:rsidP="006F1659">
      <w:pPr>
        <w:pStyle w:val="Heading4bold"/>
        <w:spacing w:line="360" w:lineRule="auto"/>
      </w:pPr>
      <w:r w:rsidRPr="00196AB4">
        <w:t>Greater Manchester Accessible Transport Limited</w:t>
      </w:r>
      <w:r>
        <w:t xml:space="preserve"> (GMATL) </w:t>
      </w:r>
    </w:p>
    <w:p w14:paraId="1E9C6C73" w14:textId="42FB396B" w:rsidR="00464DD2" w:rsidRDefault="00AC7857" w:rsidP="006F1659">
      <w:pPr>
        <w:spacing w:line="360" w:lineRule="auto"/>
        <w:rPr>
          <w:rFonts w:ascii="Arial" w:hAnsi="Arial" w:cs="Arial"/>
        </w:rPr>
      </w:pPr>
      <w:r>
        <w:rPr>
          <w:rFonts w:ascii="Arial" w:hAnsi="Arial" w:cs="Arial"/>
        </w:rPr>
        <w:t>Subsidiary of TFGM, r</w:t>
      </w:r>
      <w:r w:rsidR="00464DD2" w:rsidRPr="00196AB4">
        <w:rPr>
          <w:rFonts w:ascii="Arial" w:hAnsi="Arial" w:cs="Arial"/>
        </w:rPr>
        <w:t>elated party by virtue of shared group</w:t>
      </w:r>
    </w:p>
    <w:p w14:paraId="7E7DC933" w14:textId="50B2D157" w:rsidR="00464DD2" w:rsidRDefault="00464DD2" w:rsidP="006F1659">
      <w:pPr>
        <w:spacing w:line="360" w:lineRule="auto"/>
        <w:rPr>
          <w:rFonts w:ascii="Arial" w:hAnsi="Arial" w:cs="Arial"/>
        </w:rPr>
      </w:pPr>
    </w:p>
    <w:p w14:paraId="19500024" w14:textId="7BB4C818" w:rsidR="0075784B" w:rsidRDefault="0075784B" w:rsidP="006F1659">
      <w:pPr>
        <w:spacing w:line="360" w:lineRule="auto"/>
        <w:rPr>
          <w:rFonts w:ascii="Arial" w:hAnsi="Arial" w:cs="Arial"/>
        </w:rPr>
      </w:pPr>
      <w:r w:rsidRPr="0075784B">
        <w:rPr>
          <w:noProof/>
        </w:rPr>
        <w:drawing>
          <wp:inline distT="0" distB="0" distL="0" distR="0" wp14:anchorId="67F2139C" wp14:editId="2972EC64">
            <wp:extent cx="3191510" cy="1026795"/>
            <wp:effectExtent l="0" t="0" r="8890" b="1905"/>
            <wp:docPr id="1891802924"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802924" name="Picture 51">
                      <a:extLst>
                        <a:ext uri="{C183D7F6-B498-43B3-948B-1728B52AA6E4}">
                          <adec:decorative xmlns:adec="http://schemas.microsoft.com/office/drawing/2017/decorative" val="1"/>
                        </a:ext>
                      </a:extLst>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191510" cy="1026795"/>
                    </a:xfrm>
                    <a:prstGeom prst="rect">
                      <a:avLst/>
                    </a:prstGeom>
                    <a:noFill/>
                    <a:ln>
                      <a:noFill/>
                    </a:ln>
                  </pic:spPr>
                </pic:pic>
              </a:graphicData>
            </a:graphic>
          </wp:inline>
        </w:drawing>
      </w:r>
    </w:p>
    <w:p w14:paraId="77E6E17A" w14:textId="77777777" w:rsidR="00080B54" w:rsidRDefault="00080B54" w:rsidP="006F1659">
      <w:pPr>
        <w:spacing w:line="360" w:lineRule="auto"/>
        <w:rPr>
          <w:rFonts w:ascii="Arial" w:hAnsi="Arial" w:cs="Arial"/>
        </w:rPr>
      </w:pPr>
    </w:p>
    <w:p w14:paraId="3A9C9760" w14:textId="77777777" w:rsidR="00464DD2" w:rsidRPr="00741CBC" w:rsidRDefault="00464DD2" w:rsidP="006F1659">
      <w:pPr>
        <w:pStyle w:val="Heading4bold"/>
        <w:spacing w:line="360" w:lineRule="auto"/>
      </w:pPr>
      <w:r w:rsidRPr="00741CBC">
        <w:t>Piccadilly Triangle Developments</w:t>
      </w:r>
      <w:r>
        <w:t xml:space="preserve"> LLP</w:t>
      </w:r>
    </w:p>
    <w:p w14:paraId="2468135F" w14:textId="05AC9B7D" w:rsidR="00464DD2" w:rsidRDefault="00AC7857" w:rsidP="006F1659">
      <w:pPr>
        <w:spacing w:line="360" w:lineRule="auto"/>
        <w:rPr>
          <w:rFonts w:ascii="Arial" w:hAnsi="Arial" w:cs="Arial"/>
        </w:rPr>
      </w:pPr>
      <w:r>
        <w:rPr>
          <w:rFonts w:ascii="Arial" w:hAnsi="Arial" w:cs="Arial"/>
        </w:rPr>
        <w:t xml:space="preserve">Subsidiary of TFGM, related party by virtue of shared group. </w:t>
      </w:r>
      <w:r w:rsidR="00464DD2">
        <w:rPr>
          <w:rFonts w:ascii="Arial" w:hAnsi="Arial" w:cs="Arial"/>
        </w:rPr>
        <w:t>T</w:t>
      </w:r>
      <w:r w:rsidR="00464DD2" w:rsidRPr="00741CBC">
        <w:rPr>
          <w:rFonts w:ascii="Arial" w:hAnsi="Arial" w:cs="Arial"/>
        </w:rPr>
        <w:t>fGM and Manchester City Council are partners in Piccadilly Triangle Developments LLP (PTD LLP). TfGM has a 50% share of PTD LLP. This partnership is for the development of an area of land in Manchester, which commenced in May 2005</w:t>
      </w:r>
    </w:p>
    <w:p w14:paraId="4777BB3A" w14:textId="3949197F" w:rsidR="00AC7857" w:rsidRDefault="00AC7857" w:rsidP="006F1659">
      <w:pPr>
        <w:spacing w:line="360" w:lineRule="auto"/>
        <w:rPr>
          <w:rFonts w:ascii="Arial" w:hAnsi="Arial" w:cs="Arial"/>
        </w:rPr>
      </w:pPr>
    </w:p>
    <w:p w14:paraId="497F8C92" w14:textId="5C6E901F" w:rsidR="0075784B" w:rsidRDefault="0075784B" w:rsidP="006F1659">
      <w:pPr>
        <w:spacing w:line="360" w:lineRule="auto"/>
        <w:rPr>
          <w:rFonts w:ascii="Arial" w:hAnsi="Arial" w:cs="Arial"/>
        </w:rPr>
      </w:pPr>
      <w:r w:rsidRPr="0075784B">
        <w:rPr>
          <w:noProof/>
        </w:rPr>
        <w:lastRenderedPageBreak/>
        <w:drawing>
          <wp:inline distT="0" distB="0" distL="0" distR="0" wp14:anchorId="2FD85ECF" wp14:editId="3054F5FE">
            <wp:extent cx="3191510" cy="1026795"/>
            <wp:effectExtent l="0" t="0" r="8890" b="1905"/>
            <wp:docPr id="1454339539"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339539" name="Picture 52">
                      <a:extLst>
                        <a:ext uri="{C183D7F6-B498-43B3-948B-1728B52AA6E4}">
                          <adec:decorative xmlns:adec="http://schemas.microsoft.com/office/drawing/2017/decorative" val="1"/>
                        </a:ext>
                      </a:extLst>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191510" cy="1026795"/>
                    </a:xfrm>
                    <a:prstGeom prst="rect">
                      <a:avLst/>
                    </a:prstGeom>
                    <a:noFill/>
                    <a:ln>
                      <a:noFill/>
                    </a:ln>
                  </pic:spPr>
                </pic:pic>
              </a:graphicData>
            </a:graphic>
          </wp:inline>
        </w:drawing>
      </w:r>
    </w:p>
    <w:p w14:paraId="2B44F4AE" w14:textId="77777777" w:rsidR="00AC7857" w:rsidRDefault="00AC7857" w:rsidP="006F1659">
      <w:pPr>
        <w:spacing w:line="360" w:lineRule="auto"/>
        <w:rPr>
          <w:rFonts w:ascii="Arial" w:hAnsi="Arial" w:cs="Arial"/>
        </w:rPr>
      </w:pPr>
    </w:p>
    <w:p w14:paraId="04E010E6" w14:textId="77777777" w:rsidR="00464DD2" w:rsidRDefault="00464DD2" w:rsidP="006F1659">
      <w:pPr>
        <w:pStyle w:val="Heading4bold"/>
        <w:spacing w:after="0" w:line="360" w:lineRule="auto"/>
      </w:pPr>
      <w:r w:rsidRPr="00741CBC">
        <w:t>GMP</w:t>
      </w:r>
    </w:p>
    <w:p w14:paraId="22F4EEAB" w14:textId="77777777" w:rsidR="00464DD2" w:rsidRDefault="00464DD2" w:rsidP="006F1659">
      <w:pPr>
        <w:spacing w:line="360" w:lineRule="auto"/>
        <w:rPr>
          <w:rFonts w:ascii="Arial" w:hAnsi="Arial" w:cs="Arial"/>
        </w:rPr>
      </w:pPr>
      <w:r w:rsidRPr="008E5C10">
        <w:rPr>
          <w:rFonts w:ascii="Arial" w:hAnsi="Arial" w:cs="Arial"/>
        </w:rPr>
        <w:t xml:space="preserve">The following entities are consolidated within the GMCA group accounts; the Chief Constable of Greater Manchester, NW Evergreen Holdings Limited Partnership, Greater Manchester Evergreen 2 Limited Partnership and Greater Manchester Fund of Funds Limited </w:t>
      </w:r>
      <w:r w:rsidRPr="0075784B">
        <w:rPr>
          <w:rFonts w:ascii="Arial" w:hAnsi="Arial" w:cs="Arial"/>
        </w:rPr>
        <w:t>Partnership. No transactions took place between GMP and any of these entities.</w:t>
      </w:r>
    </w:p>
    <w:p w14:paraId="2974E8EB" w14:textId="77777777" w:rsidR="00464DD2" w:rsidRPr="00741CBC" w:rsidRDefault="00464DD2" w:rsidP="006F1659">
      <w:pPr>
        <w:spacing w:line="360" w:lineRule="auto"/>
        <w:rPr>
          <w:rFonts w:ascii="Arial" w:hAnsi="Arial" w:cs="Arial"/>
        </w:rPr>
      </w:pPr>
    </w:p>
    <w:p w14:paraId="05184E33" w14:textId="77777777" w:rsidR="00464DD2" w:rsidRDefault="00464DD2" w:rsidP="006F1659">
      <w:pPr>
        <w:pStyle w:val="Heading4bold"/>
        <w:spacing w:line="360" w:lineRule="auto"/>
      </w:pPr>
      <w:r>
        <w:t xml:space="preserve">Senior Police officers and Senior Employees  </w:t>
      </w:r>
    </w:p>
    <w:p w14:paraId="107CB14E" w14:textId="77777777" w:rsidR="00464DD2" w:rsidRPr="008F61D1" w:rsidRDefault="00464DD2" w:rsidP="006F1659">
      <w:pPr>
        <w:spacing w:line="360" w:lineRule="auto"/>
        <w:jc w:val="both"/>
        <w:rPr>
          <w:rFonts w:ascii="Arial" w:hAnsi="Arial" w:cs="Arial"/>
        </w:rPr>
      </w:pPr>
      <w:r w:rsidRPr="008F61D1">
        <w:rPr>
          <w:rFonts w:ascii="Arial" w:hAnsi="Arial" w:cs="Arial"/>
        </w:rPr>
        <w:t xml:space="preserve">Senior officers and staff were asked to declare any material, financial transactions with the Chief Constable by themselves, by their close family, or by any organisation in which they or their close family have a controlling interest. </w:t>
      </w:r>
    </w:p>
    <w:p w14:paraId="151F0B18" w14:textId="77777777" w:rsidR="00FC3C2B" w:rsidRDefault="00FC3C2B" w:rsidP="006F1659">
      <w:pPr>
        <w:pStyle w:val="Default"/>
        <w:spacing w:line="360" w:lineRule="auto"/>
        <w:rPr>
          <w:rFonts w:eastAsia="Palatino Linotype"/>
          <w:b/>
          <w:lang w:val="en-US"/>
        </w:rPr>
      </w:pPr>
    </w:p>
    <w:p w14:paraId="413AF3FC" w14:textId="7B9F8DF2" w:rsidR="00423CA5" w:rsidRDefault="00423CA5" w:rsidP="00423CA5">
      <w:pPr>
        <w:pStyle w:val="Default"/>
        <w:spacing w:line="360" w:lineRule="auto"/>
        <w:rPr>
          <w:rFonts w:eastAsia="Palatino Linotype"/>
          <w:bCs/>
          <w:lang w:val="en-US"/>
        </w:rPr>
      </w:pPr>
      <w:r w:rsidRPr="00423CA5">
        <w:rPr>
          <w:rFonts w:eastAsia="Palatino Linotype"/>
          <w:bCs/>
          <w:lang w:val="en-US"/>
        </w:rPr>
        <w:t>During 2023/24 Odd Arts, a registered charity of which an Assistant Chief Constable is a Trustee, was paid £700 to deliver a workshop (no payments were made in 2022/23).</w:t>
      </w:r>
      <w:r>
        <w:rPr>
          <w:rFonts w:eastAsia="Palatino Linotype"/>
          <w:bCs/>
          <w:lang w:val="en-US"/>
        </w:rPr>
        <w:t xml:space="preserve"> </w:t>
      </w:r>
      <w:r w:rsidRPr="00423CA5">
        <w:rPr>
          <w:rFonts w:eastAsia="Palatino Linotype"/>
          <w:bCs/>
          <w:lang w:val="en-US"/>
        </w:rPr>
        <w:t xml:space="preserve">The charity works with young people in Greater Manchester who are at risk of getting involved in criminality. The Assistant Chief Constable did not take part in any discussion, </w:t>
      </w:r>
      <w:r>
        <w:rPr>
          <w:rFonts w:eastAsia="Palatino Linotype"/>
          <w:bCs/>
          <w:lang w:val="en-US"/>
        </w:rPr>
        <w:t>d</w:t>
      </w:r>
      <w:r w:rsidRPr="00423CA5">
        <w:rPr>
          <w:rFonts w:eastAsia="Palatino Linotype"/>
          <w:bCs/>
          <w:lang w:val="en-US"/>
        </w:rPr>
        <w:t>ecision or administration relating to the payment.</w:t>
      </w:r>
    </w:p>
    <w:p w14:paraId="5B95CC66" w14:textId="77777777" w:rsidR="00423CA5" w:rsidRPr="00423CA5" w:rsidRDefault="00423CA5" w:rsidP="00423CA5">
      <w:pPr>
        <w:pStyle w:val="Default"/>
        <w:spacing w:line="360" w:lineRule="auto"/>
        <w:rPr>
          <w:rFonts w:eastAsia="Palatino Linotype"/>
          <w:bCs/>
          <w:lang w:val="en-US"/>
        </w:rPr>
      </w:pPr>
    </w:p>
    <w:p w14:paraId="0DAEDCF9" w14:textId="46ED6BE1" w:rsidR="00423CA5" w:rsidRDefault="00423CA5" w:rsidP="00423CA5">
      <w:pPr>
        <w:pStyle w:val="Default"/>
        <w:spacing w:line="360" w:lineRule="auto"/>
        <w:rPr>
          <w:rFonts w:eastAsia="Palatino Linotype"/>
          <w:bCs/>
          <w:lang w:val="en-US"/>
        </w:rPr>
      </w:pPr>
      <w:r w:rsidRPr="00423CA5">
        <w:rPr>
          <w:rFonts w:eastAsia="Palatino Linotype"/>
          <w:bCs/>
          <w:lang w:val="en-US"/>
        </w:rPr>
        <w:t>A payment for 13 annual insurance levies totaling £27,514 was made to the Chief Police Officers Staff Association during 2023/24 (11 were paid in 2022/23 totaling £28,125), of which an Assistant Chief Officer is a Director and Secretary. The organisation arranges the legal expenses insurance for Chief Police Officers and staff. The Assistant Chief Officer did not take part in any discussion, decision or administration relating to the payments.</w:t>
      </w:r>
    </w:p>
    <w:p w14:paraId="575335DA" w14:textId="77777777" w:rsidR="00423CA5" w:rsidRPr="00423CA5" w:rsidRDefault="00423CA5" w:rsidP="00423CA5">
      <w:pPr>
        <w:pStyle w:val="Default"/>
        <w:spacing w:line="360" w:lineRule="auto"/>
        <w:rPr>
          <w:rFonts w:eastAsia="Palatino Linotype"/>
          <w:bCs/>
          <w:lang w:val="en-US"/>
        </w:rPr>
      </w:pPr>
    </w:p>
    <w:p w14:paraId="1A2B9EC3" w14:textId="1D5075E6" w:rsidR="00423CA5" w:rsidRPr="00423CA5" w:rsidRDefault="00423CA5" w:rsidP="00423CA5">
      <w:pPr>
        <w:pStyle w:val="Default"/>
        <w:spacing w:line="360" w:lineRule="auto"/>
        <w:rPr>
          <w:rFonts w:eastAsia="Palatino Linotype"/>
          <w:bCs/>
          <w:lang w:val="en-US"/>
        </w:rPr>
      </w:pPr>
      <w:r w:rsidRPr="00423CA5">
        <w:rPr>
          <w:rFonts w:eastAsia="Palatino Linotype"/>
          <w:bCs/>
          <w:lang w:val="en-US"/>
        </w:rPr>
        <w:t>During 2023/24 GMP received contributions totaling £9,603 from the North West Forces for the administrative support to the North West Pension Board, of which an Assistant Chief Officer is Vice Chair.</w:t>
      </w:r>
    </w:p>
    <w:p w14:paraId="34ECD9E1" w14:textId="3F879AA6" w:rsidR="0010781E" w:rsidRDefault="0010781E" w:rsidP="006F1659">
      <w:pPr>
        <w:spacing w:line="360" w:lineRule="auto"/>
        <w:rPr>
          <w:rFonts w:ascii="Arial" w:eastAsia="Palatino Linotype" w:hAnsi="Arial" w:cs="Arial"/>
          <w:b/>
          <w:bCs/>
          <w:szCs w:val="28"/>
          <w:lang w:val="en-US"/>
        </w:rPr>
      </w:pPr>
      <w:bookmarkStart w:id="337" w:name="_Toc109922690"/>
    </w:p>
    <w:p w14:paraId="2D8CEF4D" w14:textId="72835F53" w:rsidR="00795BE0" w:rsidRPr="00B11466" w:rsidRDefault="00795BE0" w:rsidP="006F1659">
      <w:pPr>
        <w:pStyle w:val="Heading3greennumbered"/>
        <w:spacing w:line="360" w:lineRule="auto"/>
      </w:pPr>
      <w:r w:rsidRPr="00B11466">
        <w:lastRenderedPageBreak/>
        <w:t>5</w:t>
      </w:r>
      <w:r>
        <w:t>8</w:t>
      </w:r>
      <w:r w:rsidRPr="00B11466">
        <w:t>a Group Cash Flow Statement - Adjustments to Net Cash Flows from Operating Activities</w:t>
      </w:r>
      <w:bookmarkEnd w:id="335"/>
      <w:bookmarkEnd w:id="336"/>
      <w:bookmarkEnd w:id="337"/>
    </w:p>
    <w:p w14:paraId="12C52415" w14:textId="77777777" w:rsidR="00795BE0" w:rsidRPr="0007572B" w:rsidRDefault="00795BE0" w:rsidP="006F1659">
      <w:pPr>
        <w:spacing w:line="360" w:lineRule="auto"/>
        <w:rPr>
          <w:rFonts w:ascii="Arial" w:hAnsi="Arial" w:cs="Arial"/>
        </w:rPr>
      </w:pPr>
    </w:p>
    <w:p w14:paraId="350D9351" w14:textId="41B082E0" w:rsidR="00423CA5" w:rsidRDefault="00795BE0" w:rsidP="006F1659">
      <w:pPr>
        <w:spacing w:line="360" w:lineRule="auto"/>
        <w:rPr>
          <w:rFonts w:ascii="Arial" w:hAnsi="Arial" w:cs="Arial"/>
        </w:rPr>
      </w:pPr>
      <w:r w:rsidRPr="0007572B">
        <w:rPr>
          <w:rFonts w:ascii="Arial" w:hAnsi="Arial" w:cs="Arial"/>
        </w:rPr>
        <w:t>The cash flows for operating activities include the following items:</w:t>
      </w:r>
      <w:bookmarkStart w:id="338" w:name="_Toc92894953"/>
      <w:bookmarkStart w:id="339" w:name="_Toc92895257"/>
      <w:bookmarkStart w:id="340" w:name="_Toc109922691"/>
    </w:p>
    <w:p w14:paraId="3E9AF537" w14:textId="77777777" w:rsidR="00423CA5" w:rsidRPr="00423CA5" w:rsidRDefault="00423CA5" w:rsidP="006F1659">
      <w:pPr>
        <w:spacing w:line="360" w:lineRule="auto"/>
        <w:rPr>
          <w:rFonts w:ascii="Arial" w:hAnsi="Arial" w:cs="Arial"/>
        </w:rPr>
      </w:pPr>
    </w:p>
    <w:p w14:paraId="407AB523" w14:textId="799D3CBC" w:rsidR="001174F5" w:rsidRDefault="00980D35" w:rsidP="006F1659">
      <w:pPr>
        <w:spacing w:line="360" w:lineRule="auto"/>
        <w:rPr>
          <w:rFonts w:ascii="Arial" w:eastAsia="Palatino Linotype" w:hAnsi="Arial" w:cs="Arial"/>
          <w:b/>
          <w:bCs/>
          <w:szCs w:val="28"/>
          <w:lang w:val="en-US"/>
        </w:rPr>
      </w:pPr>
      <w:r w:rsidRPr="00980D35">
        <w:rPr>
          <w:noProof/>
        </w:rPr>
        <w:drawing>
          <wp:inline distT="0" distB="0" distL="0" distR="0" wp14:anchorId="600CF2D4" wp14:editId="0A495161">
            <wp:extent cx="5579110" cy="3709670"/>
            <wp:effectExtent l="0" t="0" r="2540" b="5080"/>
            <wp:docPr id="146734221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342219" name="Picture 4">
                      <a:extLst>
                        <a:ext uri="{C183D7F6-B498-43B3-948B-1728B52AA6E4}">
                          <adec:decorative xmlns:adec="http://schemas.microsoft.com/office/drawing/2017/decorative" val="1"/>
                        </a:ext>
                      </a:extLst>
                    </pic:cNvPr>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5579110" cy="3709670"/>
                    </a:xfrm>
                    <a:prstGeom prst="rect">
                      <a:avLst/>
                    </a:prstGeom>
                    <a:noFill/>
                    <a:ln>
                      <a:noFill/>
                    </a:ln>
                  </pic:spPr>
                </pic:pic>
              </a:graphicData>
            </a:graphic>
          </wp:inline>
        </w:drawing>
      </w:r>
      <w:r w:rsidR="001174F5">
        <w:br w:type="page"/>
      </w:r>
    </w:p>
    <w:p w14:paraId="6FB8DCC5" w14:textId="538F6DF8" w:rsidR="00795BE0" w:rsidRPr="0007572B" w:rsidRDefault="00795BE0" w:rsidP="006F1659">
      <w:pPr>
        <w:pStyle w:val="Heading3greennumbered"/>
        <w:spacing w:line="360" w:lineRule="auto"/>
      </w:pPr>
      <w:r w:rsidRPr="0007572B">
        <w:lastRenderedPageBreak/>
        <w:t>5</w:t>
      </w:r>
      <w:r>
        <w:t>8</w:t>
      </w:r>
      <w:r w:rsidRPr="0007572B">
        <w:t>b Group Cash Flow Statement - Investing Activities</w:t>
      </w:r>
      <w:bookmarkEnd w:id="338"/>
      <w:bookmarkEnd w:id="339"/>
      <w:bookmarkEnd w:id="340"/>
    </w:p>
    <w:p w14:paraId="21FA6F99" w14:textId="42E80A3C" w:rsidR="00795BE0" w:rsidRDefault="00795BE0" w:rsidP="006F1659">
      <w:pPr>
        <w:spacing w:line="360" w:lineRule="auto"/>
        <w:rPr>
          <w:rFonts w:ascii="Arial" w:hAnsi="Arial" w:cs="Arial"/>
          <w:b/>
          <w:highlight w:val="yellow"/>
        </w:rPr>
      </w:pPr>
    </w:p>
    <w:p w14:paraId="5ADD74C4" w14:textId="75AEF4D5" w:rsidR="00D417B7" w:rsidRDefault="008671BE" w:rsidP="006F1659">
      <w:pPr>
        <w:spacing w:line="360" w:lineRule="auto"/>
        <w:rPr>
          <w:rFonts w:ascii="Arial" w:hAnsi="Arial" w:cs="Arial"/>
          <w:b/>
          <w:highlight w:val="yellow"/>
        </w:rPr>
      </w:pPr>
      <w:r w:rsidRPr="008671BE">
        <w:rPr>
          <w:noProof/>
        </w:rPr>
        <w:drawing>
          <wp:inline distT="0" distB="0" distL="0" distR="0" wp14:anchorId="6A64E1BA" wp14:editId="39C3A824">
            <wp:extent cx="5581650" cy="1422400"/>
            <wp:effectExtent l="0" t="0" r="0" b="6350"/>
            <wp:docPr id="1008057078"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57078" name="Picture 45">
                      <a:extLst>
                        <a:ext uri="{C183D7F6-B498-43B3-948B-1728B52AA6E4}">
                          <adec:decorative xmlns:adec="http://schemas.microsoft.com/office/drawing/2017/decorative" val="1"/>
                        </a:ext>
                      </a:extLst>
                    </pic:cNvPr>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5581650" cy="1422400"/>
                    </a:xfrm>
                    <a:prstGeom prst="rect">
                      <a:avLst/>
                    </a:prstGeom>
                    <a:noFill/>
                    <a:ln>
                      <a:noFill/>
                    </a:ln>
                  </pic:spPr>
                </pic:pic>
              </a:graphicData>
            </a:graphic>
          </wp:inline>
        </w:drawing>
      </w:r>
    </w:p>
    <w:p w14:paraId="1E710590" w14:textId="77777777" w:rsidR="00D417B7" w:rsidRPr="0007572B" w:rsidRDefault="00D417B7" w:rsidP="006F1659">
      <w:pPr>
        <w:spacing w:line="360" w:lineRule="auto"/>
        <w:rPr>
          <w:rFonts w:ascii="Arial" w:hAnsi="Arial" w:cs="Arial"/>
          <w:b/>
          <w:highlight w:val="yellow"/>
        </w:rPr>
      </w:pPr>
    </w:p>
    <w:p w14:paraId="273A1A5A" w14:textId="77777777" w:rsidR="00795BE0" w:rsidRPr="0007572B" w:rsidRDefault="00795BE0" w:rsidP="006F1659">
      <w:pPr>
        <w:pStyle w:val="Heading3greennumbered"/>
        <w:spacing w:line="360" w:lineRule="auto"/>
      </w:pPr>
      <w:bookmarkStart w:id="341" w:name="_Toc92894954"/>
      <w:bookmarkStart w:id="342" w:name="_Toc92895258"/>
      <w:bookmarkStart w:id="343" w:name="_Toc109922692"/>
      <w:r w:rsidRPr="0007572B">
        <w:t>5</w:t>
      </w:r>
      <w:r>
        <w:t>8</w:t>
      </w:r>
      <w:r w:rsidRPr="0007572B">
        <w:t>c Group Cash Flow Statement - Financing Activities</w:t>
      </w:r>
      <w:bookmarkEnd w:id="341"/>
      <w:bookmarkEnd w:id="342"/>
      <w:bookmarkEnd w:id="343"/>
    </w:p>
    <w:p w14:paraId="70560ED5" w14:textId="773F54BA" w:rsidR="00795BE0" w:rsidRPr="0007572B" w:rsidRDefault="00795BE0" w:rsidP="006F1659">
      <w:pPr>
        <w:spacing w:line="360" w:lineRule="auto"/>
        <w:rPr>
          <w:rFonts w:ascii="Arial" w:hAnsi="Arial" w:cs="Arial"/>
          <w:b/>
        </w:rPr>
      </w:pPr>
    </w:p>
    <w:p w14:paraId="517D170D" w14:textId="2AB2F49C" w:rsidR="00795BE0" w:rsidRDefault="00980D35" w:rsidP="006F1659">
      <w:pPr>
        <w:spacing w:line="360" w:lineRule="auto"/>
        <w:rPr>
          <w:rFonts w:ascii="Arial" w:eastAsia="Palatino Linotype" w:hAnsi="Arial" w:cs="Arial"/>
          <w:b/>
          <w:bCs/>
          <w:szCs w:val="28"/>
          <w:lang w:val="en-US"/>
        </w:rPr>
      </w:pPr>
      <w:bookmarkStart w:id="344" w:name="_Toc92894955"/>
      <w:bookmarkStart w:id="345" w:name="_Toc92895259"/>
      <w:r w:rsidRPr="00980D35">
        <w:rPr>
          <w:noProof/>
        </w:rPr>
        <w:drawing>
          <wp:inline distT="0" distB="0" distL="0" distR="0" wp14:anchorId="05EC9EC1" wp14:editId="221645DF">
            <wp:extent cx="5579110" cy="1169035"/>
            <wp:effectExtent l="0" t="0" r="2540" b="0"/>
            <wp:docPr id="72079834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98347" name="Picture 2">
                      <a:extLst>
                        <a:ext uri="{C183D7F6-B498-43B3-948B-1728B52AA6E4}">
                          <adec:decorative xmlns:adec="http://schemas.microsoft.com/office/drawing/2017/decorative" val="1"/>
                        </a:ext>
                      </a:extLst>
                    </pic:cNvPr>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5579110" cy="1169035"/>
                    </a:xfrm>
                    <a:prstGeom prst="rect">
                      <a:avLst/>
                    </a:prstGeom>
                    <a:noFill/>
                    <a:ln>
                      <a:noFill/>
                    </a:ln>
                  </pic:spPr>
                </pic:pic>
              </a:graphicData>
            </a:graphic>
          </wp:inline>
        </w:drawing>
      </w:r>
    </w:p>
    <w:p w14:paraId="0765E675" w14:textId="77777777" w:rsidR="00980D35" w:rsidRDefault="00980D35" w:rsidP="006F1659">
      <w:pPr>
        <w:spacing w:line="360" w:lineRule="auto"/>
        <w:rPr>
          <w:rFonts w:ascii="Arial" w:eastAsia="Palatino Linotype" w:hAnsi="Arial" w:cs="Arial"/>
          <w:b/>
          <w:bCs/>
          <w:szCs w:val="28"/>
          <w:lang w:val="en-US"/>
        </w:rPr>
      </w:pPr>
    </w:p>
    <w:p w14:paraId="46EA24CA" w14:textId="77777777" w:rsidR="00795BE0" w:rsidRPr="00B11466" w:rsidRDefault="00795BE0" w:rsidP="006F1659">
      <w:pPr>
        <w:pStyle w:val="Heading3greennumbered"/>
        <w:spacing w:line="360" w:lineRule="auto"/>
      </w:pPr>
      <w:bookmarkStart w:id="346" w:name="_Toc109922693"/>
      <w:r w:rsidRPr="00B11466">
        <w:t>5</w:t>
      </w:r>
      <w:r>
        <w:t>8</w:t>
      </w:r>
      <w:r w:rsidRPr="00B11466">
        <w:t>d Group Cash Flow Statement – Reconciliation of Liabilities Arising from Financing Activities</w:t>
      </w:r>
      <w:bookmarkEnd w:id="344"/>
      <w:bookmarkEnd w:id="345"/>
      <w:bookmarkEnd w:id="346"/>
    </w:p>
    <w:p w14:paraId="1F9235C6" w14:textId="77777777" w:rsidR="00795BE0" w:rsidRDefault="00795BE0" w:rsidP="006F1659">
      <w:pPr>
        <w:spacing w:line="360" w:lineRule="auto"/>
        <w:rPr>
          <w:rFonts w:ascii="Arial" w:hAnsi="Arial" w:cs="Arial"/>
          <w:b/>
        </w:rPr>
      </w:pPr>
    </w:p>
    <w:p w14:paraId="78EF955D" w14:textId="78276FFE" w:rsidR="003A3F65" w:rsidRDefault="00051B9A" w:rsidP="006F1659">
      <w:pPr>
        <w:spacing w:line="360" w:lineRule="auto"/>
        <w:rPr>
          <w:rFonts w:ascii="Arial" w:hAnsi="Arial" w:cs="Arial"/>
          <w:b/>
        </w:rPr>
      </w:pPr>
      <w:r w:rsidRPr="00051B9A">
        <w:rPr>
          <w:noProof/>
        </w:rPr>
        <w:drawing>
          <wp:inline distT="0" distB="0" distL="0" distR="0" wp14:anchorId="2EE1C5F1" wp14:editId="684814DB">
            <wp:extent cx="5975350" cy="1043940"/>
            <wp:effectExtent l="0" t="0" r="6350" b="3810"/>
            <wp:docPr id="707476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4764" name="Picture 59">
                      <a:extLst>
                        <a:ext uri="{C183D7F6-B498-43B3-948B-1728B52AA6E4}">
                          <adec:decorative xmlns:adec="http://schemas.microsoft.com/office/drawing/2017/decorative" val="1"/>
                        </a:ext>
                      </a:extLst>
                    </pic:cNvPr>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5975350" cy="1043940"/>
                    </a:xfrm>
                    <a:prstGeom prst="rect">
                      <a:avLst/>
                    </a:prstGeom>
                    <a:noFill/>
                    <a:ln>
                      <a:noFill/>
                    </a:ln>
                  </pic:spPr>
                </pic:pic>
              </a:graphicData>
            </a:graphic>
          </wp:inline>
        </w:drawing>
      </w:r>
    </w:p>
    <w:p w14:paraId="47259EFB" w14:textId="261677EA" w:rsidR="00795BE0" w:rsidRDefault="00795BE0" w:rsidP="006F1659">
      <w:pPr>
        <w:spacing w:line="360" w:lineRule="auto"/>
        <w:rPr>
          <w:noProof/>
        </w:rPr>
      </w:pPr>
    </w:p>
    <w:p w14:paraId="2C7B9F65" w14:textId="058D9651" w:rsidR="00423CA5" w:rsidRDefault="00051B9A" w:rsidP="006F1659">
      <w:pPr>
        <w:spacing w:line="360" w:lineRule="auto"/>
        <w:rPr>
          <w:rFonts w:ascii="Arial" w:hAnsi="Arial" w:cs="Arial"/>
          <w:b/>
        </w:rPr>
      </w:pPr>
      <w:r w:rsidRPr="00051B9A">
        <w:rPr>
          <w:noProof/>
        </w:rPr>
        <w:drawing>
          <wp:inline distT="0" distB="0" distL="0" distR="0" wp14:anchorId="6C0DD8AD" wp14:editId="4B8338DA">
            <wp:extent cx="5975350" cy="1141730"/>
            <wp:effectExtent l="0" t="0" r="6350" b="1270"/>
            <wp:docPr id="902717807"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717807" name="Picture 60">
                      <a:extLst>
                        <a:ext uri="{C183D7F6-B498-43B3-948B-1728B52AA6E4}">
                          <adec:decorative xmlns:adec="http://schemas.microsoft.com/office/drawing/2017/decorative" val="1"/>
                        </a:ext>
                      </a:extLst>
                    </pic:cNvPr>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5975350" cy="1141730"/>
                    </a:xfrm>
                    <a:prstGeom prst="rect">
                      <a:avLst/>
                    </a:prstGeom>
                    <a:noFill/>
                    <a:ln>
                      <a:noFill/>
                    </a:ln>
                  </pic:spPr>
                </pic:pic>
              </a:graphicData>
            </a:graphic>
          </wp:inline>
        </w:drawing>
      </w:r>
    </w:p>
    <w:p w14:paraId="0950E9EA" w14:textId="77777777" w:rsidR="00795BE0" w:rsidRPr="0007572B" w:rsidRDefault="00795BE0" w:rsidP="006F1659">
      <w:pPr>
        <w:spacing w:line="360" w:lineRule="auto"/>
        <w:rPr>
          <w:rFonts w:ascii="Arial" w:hAnsi="Arial" w:cs="Arial"/>
          <w:b/>
        </w:rPr>
      </w:pPr>
    </w:p>
    <w:p w14:paraId="002A6A9D" w14:textId="7F2F90FA"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b/>
          <w:color w:val="000000"/>
        </w:rPr>
      </w:pPr>
    </w:p>
    <w:p w14:paraId="7648A9C7"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b/>
          <w:color w:val="000000"/>
        </w:rPr>
      </w:pPr>
    </w:p>
    <w:p w14:paraId="5CA61F98"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b/>
          <w:color w:val="000000"/>
          <w:sz w:val="22"/>
          <w:szCs w:val="22"/>
        </w:rPr>
        <w:sectPr w:rsidR="00795BE0" w:rsidRPr="0007572B" w:rsidSect="004833A2">
          <w:pgSz w:w="11906" w:h="16838"/>
          <w:pgMar w:top="946" w:right="1416" w:bottom="1440" w:left="1080" w:header="283" w:footer="567" w:gutter="0"/>
          <w:cols w:space="708"/>
          <w:docGrid w:linePitch="360"/>
        </w:sectPr>
      </w:pPr>
    </w:p>
    <w:p w14:paraId="6C16EC73" w14:textId="77777777" w:rsidR="00795BE0" w:rsidRPr="0007572B" w:rsidRDefault="00795BE0" w:rsidP="006F1659">
      <w:pPr>
        <w:pStyle w:val="Heading3greennumbered"/>
        <w:spacing w:line="360" w:lineRule="auto"/>
      </w:pPr>
      <w:bookmarkStart w:id="347" w:name="_Toc92894956"/>
      <w:bookmarkStart w:id="348" w:name="_Toc92895260"/>
      <w:bookmarkStart w:id="349" w:name="_Toc109922694"/>
      <w:r>
        <w:lastRenderedPageBreak/>
        <w:t>59</w:t>
      </w:r>
      <w:r w:rsidRPr="0007572B">
        <w:t xml:space="preserve"> Group Defined Benefit Pension Schemes</w:t>
      </w:r>
      <w:bookmarkEnd w:id="347"/>
      <w:bookmarkEnd w:id="348"/>
      <w:bookmarkEnd w:id="349"/>
    </w:p>
    <w:p w14:paraId="4679D6A3" w14:textId="77777777" w:rsidR="00795BE0" w:rsidRDefault="00795BE0" w:rsidP="006F1659">
      <w:pPr>
        <w:spacing w:line="360" w:lineRule="auto"/>
        <w:rPr>
          <w:rFonts w:ascii="Arial" w:hAnsi="Arial" w:cs="Arial"/>
        </w:rPr>
      </w:pPr>
    </w:p>
    <w:p w14:paraId="4B2C038E" w14:textId="77777777" w:rsidR="00795BE0" w:rsidRPr="0007572B" w:rsidRDefault="00795BE0" w:rsidP="006F1659">
      <w:pPr>
        <w:spacing w:line="360" w:lineRule="auto"/>
        <w:rPr>
          <w:rFonts w:ascii="Arial" w:hAnsi="Arial" w:cs="Arial"/>
        </w:rPr>
      </w:pPr>
      <w:r w:rsidRPr="0007572B">
        <w:rPr>
          <w:rFonts w:ascii="Arial" w:hAnsi="Arial" w:cs="Arial"/>
        </w:rPr>
        <w:t>Employees of the Group are divided between two separate defined benefit pension schemes:</w:t>
      </w:r>
    </w:p>
    <w:p w14:paraId="72913E57" w14:textId="77777777" w:rsidR="00795BE0" w:rsidRPr="0007572B" w:rsidRDefault="00795BE0" w:rsidP="006F1659">
      <w:pPr>
        <w:spacing w:line="360" w:lineRule="auto"/>
        <w:rPr>
          <w:rFonts w:ascii="Arial" w:hAnsi="Arial" w:cs="Arial"/>
        </w:rPr>
      </w:pPr>
    </w:p>
    <w:p w14:paraId="4911950D" w14:textId="77777777" w:rsidR="00795BE0" w:rsidRPr="0007572B" w:rsidRDefault="00795BE0" w:rsidP="006F1659">
      <w:pPr>
        <w:spacing w:line="360" w:lineRule="auto"/>
        <w:rPr>
          <w:rFonts w:ascii="Arial" w:hAnsi="Arial" w:cs="Arial"/>
        </w:rPr>
      </w:pPr>
      <w:r w:rsidRPr="0007572B">
        <w:rPr>
          <w:rFonts w:ascii="Arial" w:hAnsi="Arial" w:cs="Arial"/>
          <w:b/>
        </w:rPr>
        <w:t xml:space="preserve">The </w:t>
      </w:r>
      <w:r>
        <w:rPr>
          <w:rFonts w:ascii="Arial" w:hAnsi="Arial" w:cs="Arial"/>
          <w:b/>
        </w:rPr>
        <w:t xml:space="preserve">Fire Service Pension Scheme and the </w:t>
      </w:r>
      <w:r w:rsidRPr="0007572B">
        <w:rPr>
          <w:rFonts w:ascii="Arial" w:hAnsi="Arial" w:cs="Arial"/>
          <w:b/>
        </w:rPr>
        <w:t>Police Service Pension Scheme</w:t>
      </w:r>
      <w:r w:rsidRPr="0007572B">
        <w:rPr>
          <w:rFonts w:ascii="Arial" w:hAnsi="Arial" w:cs="Arial"/>
        </w:rPr>
        <w:t xml:space="preserve"> for its uniformed </w:t>
      </w:r>
      <w:r>
        <w:rPr>
          <w:rFonts w:ascii="Arial" w:hAnsi="Arial" w:cs="Arial"/>
        </w:rPr>
        <w:t xml:space="preserve">firefighters and </w:t>
      </w:r>
      <w:r w:rsidRPr="0007572B">
        <w:rPr>
          <w:rFonts w:ascii="Arial" w:hAnsi="Arial" w:cs="Arial"/>
        </w:rPr>
        <w:t xml:space="preserve">police officers </w:t>
      </w:r>
      <w:r>
        <w:rPr>
          <w:rFonts w:ascii="Arial" w:hAnsi="Arial" w:cs="Arial"/>
        </w:rPr>
        <w:t>–</w:t>
      </w:r>
      <w:r w:rsidRPr="0007572B">
        <w:rPr>
          <w:rFonts w:ascii="Arial" w:hAnsi="Arial" w:cs="Arial"/>
        </w:rPr>
        <w:t xml:space="preserve"> </w:t>
      </w:r>
      <w:r>
        <w:rPr>
          <w:rFonts w:ascii="Arial" w:hAnsi="Arial" w:cs="Arial"/>
        </w:rPr>
        <w:t xml:space="preserve">these are separate but similar unfunded schemes, </w:t>
      </w:r>
      <w:r w:rsidRPr="0007572B">
        <w:rPr>
          <w:rFonts w:ascii="Arial" w:hAnsi="Arial" w:cs="Arial"/>
        </w:rPr>
        <w:t>meaning that there are no investment assets built up to meet the pensions liabilities, and cash has to be generated to meet actual pensions payments as they eventually fall due.</w:t>
      </w:r>
    </w:p>
    <w:p w14:paraId="429000E5" w14:textId="77777777" w:rsidR="00795BE0" w:rsidRPr="0007572B" w:rsidRDefault="00795BE0" w:rsidP="006F1659">
      <w:pPr>
        <w:spacing w:line="360" w:lineRule="auto"/>
        <w:rPr>
          <w:rFonts w:ascii="Arial" w:hAnsi="Arial" w:cs="Arial"/>
        </w:rPr>
      </w:pPr>
    </w:p>
    <w:p w14:paraId="297F1D9F" w14:textId="77777777" w:rsidR="00795BE0" w:rsidRDefault="00795BE0" w:rsidP="006F1659">
      <w:pPr>
        <w:spacing w:line="360" w:lineRule="auto"/>
        <w:rPr>
          <w:rFonts w:ascii="Arial" w:hAnsi="Arial" w:cs="Arial"/>
        </w:rPr>
      </w:pPr>
      <w:r w:rsidRPr="0007572B">
        <w:rPr>
          <w:rFonts w:ascii="Arial" w:hAnsi="Arial" w:cs="Arial"/>
          <w:b/>
        </w:rPr>
        <w:t>The Local Government Pension Scheme</w:t>
      </w:r>
      <w:r w:rsidRPr="0007572B">
        <w:rPr>
          <w:rFonts w:ascii="Arial" w:hAnsi="Arial" w:cs="Arial"/>
        </w:rPr>
        <w:t xml:space="preserve"> for its other employees - this is a funded scheme, meaning that the Authority and employees pay its contributions into a fund, calculated at a level intended to balance the pensions liabilities with investment assets. The cost of retirement benefits is recognised in the Net Cost of Services when they are earned by employees, rather than when the benefits are eventually paid as pensions. However, the charge we are required to make against grant and precept income is based on the cash payable in the year, so the real cost of retirement benefits is reversed out of the Comprehensive Income and Expenditure Account in the Movement in Reserves Statement.</w:t>
      </w:r>
    </w:p>
    <w:p w14:paraId="0CA01ABB" w14:textId="77777777" w:rsidR="00795BE0" w:rsidRPr="0007572B" w:rsidRDefault="00795BE0" w:rsidP="006F1659">
      <w:pPr>
        <w:spacing w:line="360" w:lineRule="auto"/>
        <w:rPr>
          <w:rFonts w:ascii="Arial" w:hAnsi="Arial" w:cs="Arial"/>
        </w:rPr>
      </w:pPr>
    </w:p>
    <w:p w14:paraId="752E33B9" w14:textId="77777777" w:rsidR="00795BE0" w:rsidRPr="00F17FDC" w:rsidRDefault="00795BE0" w:rsidP="006F1659">
      <w:pPr>
        <w:pStyle w:val="Heading4bold"/>
        <w:spacing w:line="360" w:lineRule="auto"/>
      </w:pPr>
      <w:bookmarkStart w:id="350" w:name="_Hlk140163989"/>
      <w:r w:rsidRPr="00F17FDC">
        <w:t>McCloud / Sargeant Judgement</w:t>
      </w:r>
    </w:p>
    <w:p w14:paraId="08833E77" w14:textId="77777777" w:rsidR="00795BE0" w:rsidRPr="00F17FDC" w:rsidRDefault="00795BE0" w:rsidP="006F1659">
      <w:pPr>
        <w:spacing w:line="360" w:lineRule="auto"/>
        <w:rPr>
          <w:rFonts w:ascii="Arial" w:hAnsi="Arial" w:cs="Arial"/>
          <w:b/>
        </w:rPr>
      </w:pPr>
    </w:p>
    <w:p w14:paraId="2E001141" w14:textId="77777777" w:rsidR="00795BE0" w:rsidRPr="00F17FDC" w:rsidRDefault="00795BE0" w:rsidP="006F1659">
      <w:pPr>
        <w:pStyle w:val="Heading5"/>
        <w:spacing w:line="360" w:lineRule="auto"/>
      </w:pPr>
      <w:r w:rsidRPr="00F17FDC">
        <w:t>Firefighters and Police Officers schemes</w:t>
      </w:r>
    </w:p>
    <w:p w14:paraId="53A2C307" w14:textId="77777777" w:rsidR="00795BE0" w:rsidRPr="00F17FDC" w:rsidRDefault="00795BE0" w:rsidP="006F1659">
      <w:pPr>
        <w:pStyle w:val="Default"/>
        <w:spacing w:line="360" w:lineRule="auto"/>
        <w:rPr>
          <w:b/>
          <w:color w:val="auto"/>
          <w:szCs w:val="18"/>
        </w:rPr>
      </w:pPr>
    </w:p>
    <w:p w14:paraId="543A03A3" w14:textId="77777777" w:rsidR="00CC5475" w:rsidRPr="00F17FDC" w:rsidRDefault="00CC5475" w:rsidP="006F1659">
      <w:pPr>
        <w:spacing w:line="360" w:lineRule="auto"/>
        <w:rPr>
          <w:rFonts w:ascii="Arial" w:hAnsi="Arial" w:cs="Arial"/>
          <w:color w:val="000000"/>
          <w:szCs w:val="18"/>
          <w:lang w:eastAsia="en-GB"/>
        </w:rPr>
      </w:pPr>
      <w:r w:rsidRPr="00F17FDC">
        <w:rPr>
          <w:rFonts w:ascii="Arial" w:hAnsi="Arial" w:cs="Arial"/>
          <w:color w:val="000000"/>
          <w:szCs w:val="18"/>
          <w:lang w:eastAsia="en-GB"/>
        </w:rPr>
        <w:t>Claims of age discrimination were brought in relation to the terms of transitional protection by groups of firefighters and members of the Judiciary in the McCloud / Sargeant legal case (referred to as “McCloud”) and the Court of Appeal handed down its judgement of this claim on 20 December 2018, ruling that the transitional protection arrangements were discriminatory on the basis of age. As a result, the cost control element of the 2016 valuation was paused whilst the Government addressed the need to remedy this discrimination across all public service pension schemes. The cost cap mechanism for the 2016 valuation has since been un-paused and the calculations complete, with the outcome being no changes to benefits or contributions.</w:t>
      </w:r>
    </w:p>
    <w:p w14:paraId="3BC821C8" w14:textId="77777777" w:rsidR="00CC5475" w:rsidRPr="00F17FDC" w:rsidRDefault="00CC5475" w:rsidP="006F1659">
      <w:pPr>
        <w:spacing w:line="360" w:lineRule="auto"/>
        <w:rPr>
          <w:rFonts w:ascii="Arial" w:hAnsi="Arial" w:cs="Arial"/>
          <w:color w:val="000000"/>
          <w:szCs w:val="18"/>
          <w:lang w:eastAsia="en-GB"/>
        </w:rPr>
      </w:pPr>
    </w:p>
    <w:p w14:paraId="3E41C3E0" w14:textId="77777777" w:rsidR="00CC5475" w:rsidRPr="00F17FDC" w:rsidRDefault="00CC5475" w:rsidP="006F1659">
      <w:pPr>
        <w:spacing w:line="360" w:lineRule="auto"/>
        <w:rPr>
          <w:rFonts w:ascii="Arial" w:hAnsi="Arial" w:cs="Arial"/>
          <w:color w:val="000000"/>
          <w:szCs w:val="18"/>
          <w:lang w:eastAsia="en-GB"/>
        </w:rPr>
      </w:pPr>
      <w:r w:rsidRPr="00F17FDC">
        <w:rPr>
          <w:rFonts w:ascii="Arial" w:hAnsi="Arial" w:cs="Arial"/>
          <w:color w:val="000000"/>
          <w:szCs w:val="18"/>
          <w:lang w:eastAsia="en-GB"/>
        </w:rPr>
        <w:t>The treatment of the deferred choice underpin as a member cost for cost cap purposes, along with the 4 year spreading period, was challenged in a judicial Review which was heard in early 2023. The claims made in the Judicial Review were dismissed by the High Court, in a judgement handed down on Friday10 March 2023. No allowance has therefore been made in our accounting disclosures as at 31 March 2023.</w:t>
      </w:r>
    </w:p>
    <w:p w14:paraId="496574AE" w14:textId="77777777" w:rsidR="00CC5475" w:rsidRPr="00F17FDC" w:rsidRDefault="00CC5475" w:rsidP="006F1659">
      <w:pPr>
        <w:pStyle w:val="Default"/>
        <w:spacing w:line="360" w:lineRule="auto"/>
        <w:rPr>
          <w:bCs/>
          <w:color w:val="auto"/>
          <w:szCs w:val="18"/>
        </w:rPr>
      </w:pPr>
    </w:p>
    <w:p w14:paraId="58EE8CD2" w14:textId="3317247A" w:rsidR="00CC5475" w:rsidRPr="00F17FDC" w:rsidRDefault="00CC5475" w:rsidP="006F1659">
      <w:pPr>
        <w:spacing w:line="360" w:lineRule="auto"/>
        <w:rPr>
          <w:rFonts w:ascii="Arial" w:hAnsi="Arial" w:cs="Arial"/>
          <w:color w:val="000000"/>
          <w:szCs w:val="18"/>
          <w:lang w:eastAsia="en-GB"/>
        </w:rPr>
      </w:pPr>
      <w:r w:rsidRPr="00F17FDC">
        <w:rPr>
          <w:rFonts w:ascii="Arial" w:hAnsi="Arial" w:cs="Arial"/>
          <w:color w:val="000000"/>
          <w:szCs w:val="18"/>
          <w:lang w:eastAsia="en-GB"/>
        </w:rPr>
        <w:t>The McCloud remedy window ran from 01 April 2015 to 31 March 2022. Eligible members will be able to elect which scheme they wish to receive benefits from for this period. Due to the differing benefits structures we expect the majority of eligible members to elect to take legacy scheme (1987 Scheme, 1992 Scheme or 2006 Scheme) benefits for the remedy period.</w:t>
      </w:r>
    </w:p>
    <w:p w14:paraId="529D42A8" w14:textId="77777777" w:rsidR="00CC5475" w:rsidRPr="00F17FDC" w:rsidRDefault="00CC5475" w:rsidP="006F1659">
      <w:pPr>
        <w:spacing w:line="360" w:lineRule="auto"/>
        <w:rPr>
          <w:rFonts w:ascii="Arial" w:hAnsi="Arial" w:cs="Arial"/>
          <w:color w:val="000000"/>
          <w:szCs w:val="18"/>
          <w:lang w:eastAsia="en-GB"/>
        </w:rPr>
      </w:pPr>
    </w:p>
    <w:p w14:paraId="76131639" w14:textId="796771CF" w:rsidR="00CC5475" w:rsidRPr="00F17FDC" w:rsidRDefault="00CC5475" w:rsidP="006F1659">
      <w:pPr>
        <w:spacing w:line="360" w:lineRule="auto"/>
        <w:rPr>
          <w:rFonts w:ascii="Arial" w:hAnsi="Arial" w:cs="Arial"/>
          <w:color w:val="000000"/>
          <w:szCs w:val="18"/>
          <w:lang w:eastAsia="en-GB"/>
        </w:rPr>
      </w:pPr>
      <w:r w:rsidRPr="00F17FDC">
        <w:rPr>
          <w:rFonts w:ascii="Arial" w:hAnsi="Arial" w:cs="Arial"/>
          <w:color w:val="000000"/>
          <w:szCs w:val="18"/>
          <w:lang w:eastAsia="en-GB"/>
        </w:rPr>
        <w:t>An allowance for the McCloud remedy was first included in 2018/19 disclosures as a past service cost for four years remedy service from 2015-2019. This past service cost was attributed proportionally to the legacy schemes. For subsequent years to 2021/22 an allowance was made in the 2015 service costs for the annual accrual of additional remedy service.</w:t>
      </w:r>
    </w:p>
    <w:p w14:paraId="407AF2DC" w14:textId="77777777" w:rsidR="00CC5475" w:rsidRPr="00F17FDC" w:rsidRDefault="00CC5475" w:rsidP="006F1659">
      <w:pPr>
        <w:spacing w:line="360" w:lineRule="auto"/>
        <w:rPr>
          <w:rFonts w:ascii="Arial" w:hAnsi="Arial" w:cs="Arial"/>
          <w:color w:val="000000"/>
          <w:szCs w:val="18"/>
          <w:lang w:eastAsia="en-GB"/>
        </w:rPr>
      </w:pPr>
    </w:p>
    <w:p w14:paraId="47C3AAAD" w14:textId="468E8D91" w:rsidR="00CC5475" w:rsidRDefault="00CC5475" w:rsidP="006F1659">
      <w:pPr>
        <w:spacing w:line="360" w:lineRule="auto"/>
        <w:rPr>
          <w:rFonts w:ascii="Arial" w:hAnsi="Arial" w:cs="Arial"/>
          <w:color w:val="000000"/>
          <w:szCs w:val="18"/>
          <w:lang w:eastAsia="en-GB"/>
        </w:rPr>
      </w:pPr>
      <w:r w:rsidRPr="00F17FDC">
        <w:rPr>
          <w:rFonts w:ascii="Arial" w:hAnsi="Arial" w:cs="Arial"/>
          <w:color w:val="000000"/>
          <w:szCs w:val="18"/>
          <w:lang w:eastAsia="en-GB"/>
        </w:rPr>
        <w:t xml:space="preserve">Now that the remedy window is closed all McCloud related liabilities for eligible members for the period 2019 to 2022 have been moved to the associated legacy scheme. This means all McCloud liabilities are held with the legacy scheme we expect benefits to be paid from. </w:t>
      </w:r>
      <w:r w:rsidR="00F17FDC" w:rsidRPr="00F17FDC">
        <w:rPr>
          <w:rFonts w:ascii="Arial" w:hAnsi="Arial" w:cs="Arial"/>
          <w:color w:val="000000"/>
          <w:szCs w:val="18"/>
          <w:lang w:eastAsia="en-GB"/>
        </w:rPr>
        <w:t>In the 2022/23 disclosures, this led to</w:t>
      </w:r>
      <w:r w:rsidRPr="00F17FDC">
        <w:rPr>
          <w:rFonts w:ascii="Arial" w:hAnsi="Arial" w:cs="Arial"/>
          <w:color w:val="000000"/>
          <w:szCs w:val="18"/>
          <w:lang w:eastAsia="en-GB"/>
        </w:rPr>
        <w:t xml:space="preserve"> a past service cost </w:t>
      </w:r>
      <w:r w:rsidR="00F17FDC" w:rsidRPr="00F17FDC">
        <w:rPr>
          <w:rFonts w:ascii="Arial" w:hAnsi="Arial" w:cs="Arial"/>
          <w:color w:val="000000"/>
          <w:szCs w:val="18"/>
          <w:lang w:eastAsia="en-GB"/>
        </w:rPr>
        <w:t xml:space="preserve">in </w:t>
      </w:r>
      <w:r w:rsidR="005E6F94" w:rsidRPr="00F17FDC">
        <w:rPr>
          <w:rFonts w:ascii="Arial" w:hAnsi="Arial" w:cs="Arial"/>
          <w:color w:val="000000"/>
          <w:szCs w:val="18"/>
          <w:lang w:eastAsia="en-GB"/>
        </w:rPr>
        <w:t>the</w:t>
      </w:r>
      <w:r w:rsidRPr="00F17FDC">
        <w:rPr>
          <w:rFonts w:ascii="Arial" w:hAnsi="Arial" w:cs="Arial"/>
          <w:color w:val="000000"/>
          <w:szCs w:val="18"/>
          <w:lang w:eastAsia="en-GB"/>
        </w:rPr>
        <w:t xml:space="preserve"> 1992 Scheme and</w:t>
      </w:r>
      <w:r w:rsidR="00F17FDC" w:rsidRPr="00F17FDC">
        <w:rPr>
          <w:rFonts w:ascii="Arial" w:hAnsi="Arial" w:cs="Arial"/>
          <w:color w:val="000000"/>
          <w:szCs w:val="18"/>
          <w:lang w:eastAsia="en-GB"/>
        </w:rPr>
        <w:t xml:space="preserve"> the </w:t>
      </w:r>
      <w:r w:rsidRPr="00F17FDC">
        <w:rPr>
          <w:rFonts w:ascii="Arial" w:hAnsi="Arial" w:cs="Arial"/>
          <w:color w:val="000000"/>
          <w:szCs w:val="18"/>
          <w:lang w:eastAsia="en-GB"/>
        </w:rPr>
        <w:t>2006 Scheme</w:t>
      </w:r>
      <w:r w:rsidR="00F17FDC" w:rsidRPr="00F17FDC">
        <w:rPr>
          <w:rFonts w:ascii="Arial" w:hAnsi="Arial" w:cs="Arial"/>
          <w:color w:val="000000"/>
          <w:szCs w:val="18"/>
          <w:lang w:eastAsia="en-GB"/>
        </w:rPr>
        <w:t xml:space="preserve"> and a past service gain in the 20215 Scheme</w:t>
      </w:r>
      <w:r w:rsidRPr="00F17FDC">
        <w:rPr>
          <w:rFonts w:ascii="Arial" w:hAnsi="Arial" w:cs="Arial"/>
          <w:color w:val="000000"/>
          <w:szCs w:val="18"/>
          <w:lang w:eastAsia="en-GB"/>
        </w:rPr>
        <w:t xml:space="preserve">. </w:t>
      </w:r>
    </w:p>
    <w:p w14:paraId="466AA8E2" w14:textId="77777777" w:rsidR="00F17FDC" w:rsidRDefault="00F17FDC" w:rsidP="006F1659">
      <w:pPr>
        <w:spacing w:line="360" w:lineRule="auto"/>
        <w:rPr>
          <w:rFonts w:ascii="Arial" w:hAnsi="Arial" w:cs="Arial"/>
          <w:color w:val="000000"/>
          <w:szCs w:val="18"/>
          <w:lang w:eastAsia="en-GB"/>
        </w:rPr>
      </w:pPr>
    </w:p>
    <w:p w14:paraId="4B21C653" w14:textId="52B799ED" w:rsidR="00F17FDC" w:rsidRPr="00902F34" w:rsidRDefault="00F17FDC" w:rsidP="006F1659">
      <w:pPr>
        <w:spacing w:line="360" w:lineRule="auto"/>
        <w:rPr>
          <w:rFonts w:ascii="Arial" w:hAnsi="Arial" w:cs="Arial"/>
          <w:color w:val="000000"/>
          <w:szCs w:val="18"/>
          <w:lang w:eastAsia="en-GB"/>
        </w:rPr>
      </w:pPr>
      <w:r>
        <w:rPr>
          <w:rFonts w:ascii="Arial" w:hAnsi="Arial" w:cs="Arial"/>
          <w:color w:val="000000"/>
          <w:szCs w:val="18"/>
          <w:lang w:eastAsia="en-GB"/>
        </w:rPr>
        <w:t>Now that all the McCloud related liabilities have moved into the legacy schemes, contribution adjustments are being carried out by administrators to ensure affected members have paid the correct contributions for this portion of service. These adjustments can be positive or negative, depending on which schemes a member is moving between. In our accounting disclosures at 31 March 2024, we have allowed for any contributions adjustments made during 2023/24 as a past service cost or gain.</w:t>
      </w:r>
    </w:p>
    <w:p w14:paraId="485BDFFC" w14:textId="77777777" w:rsidR="00CC5475" w:rsidRDefault="00CC5475" w:rsidP="006F1659">
      <w:pPr>
        <w:pStyle w:val="Default"/>
        <w:spacing w:line="360" w:lineRule="auto"/>
        <w:rPr>
          <w:bCs/>
          <w:color w:val="auto"/>
          <w:szCs w:val="18"/>
        </w:rPr>
      </w:pPr>
    </w:p>
    <w:p w14:paraId="5B012804" w14:textId="77777777" w:rsidR="00F17FDC" w:rsidRDefault="00F17FDC" w:rsidP="006F1659">
      <w:pPr>
        <w:pStyle w:val="Default"/>
        <w:spacing w:line="360" w:lineRule="auto"/>
        <w:rPr>
          <w:bCs/>
          <w:color w:val="auto"/>
          <w:szCs w:val="18"/>
        </w:rPr>
      </w:pPr>
    </w:p>
    <w:p w14:paraId="173A9E5E" w14:textId="77777777" w:rsidR="00F17FDC" w:rsidRDefault="00F17FDC" w:rsidP="006F1659">
      <w:pPr>
        <w:pStyle w:val="Default"/>
        <w:spacing w:line="360" w:lineRule="auto"/>
        <w:rPr>
          <w:bCs/>
          <w:color w:val="auto"/>
          <w:szCs w:val="18"/>
        </w:rPr>
      </w:pPr>
    </w:p>
    <w:p w14:paraId="2CC04189" w14:textId="77777777" w:rsidR="00795BE0" w:rsidRPr="00F17FDC" w:rsidRDefault="00795BE0" w:rsidP="006F1659">
      <w:pPr>
        <w:pStyle w:val="Heading5"/>
        <w:spacing w:line="360" w:lineRule="auto"/>
      </w:pPr>
      <w:r w:rsidRPr="00F17FDC">
        <w:lastRenderedPageBreak/>
        <w:t>Local Government Scheme</w:t>
      </w:r>
    </w:p>
    <w:p w14:paraId="58EA9364" w14:textId="77777777" w:rsidR="00CC5475" w:rsidRPr="00F17FDC" w:rsidRDefault="00CC5475" w:rsidP="006F1659">
      <w:pPr>
        <w:spacing w:line="360" w:lineRule="auto"/>
        <w:rPr>
          <w:rFonts w:ascii="Arial" w:hAnsi="Arial" w:cs="Arial"/>
          <w:color w:val="000000"/>
        </w:rPr>
      </w:pPr>
    </w:p>
    <w:p w14:paraId="20F96734" w14:textId="2C7FF69A" w:rsidR="00CC5475" w:rsidRPr="00CC5475" w:rsidRDefault="00CC5475" w:rsidP="006F1659">
      <w:pPr>
        <w:spacing w:line="360" w:lineRule="auto"/>
        <w:rPr>
          <w:rFonts w:ascii="Arial" w:hAnsi="Arial" w:cs="Arial"/>
          <w:color w:val="000000"/>
        </w:rPr>
      </w:pPr>
      <w:r w:rsidRPr="00F17FDC">
        <w:rPr>
          <w:rFonts w:ascii="Arial" w:hAnsi="Arial" w:cs="Arial"/>
          <w:color w:val="000000"/>
        </w:rPr>
        <w:t xml:space="preserve">The Local Government Pension Scheme liabilities for 2019/20 reflected the estimated increased liabilities arising from the McCloud/Sargeant judgement. These estimates have been rolled forward and are included within in the </w:t>
      </w:r>
      <w:r w:rsidR="00D1125B" w:rsidRPr="00F17FDC">
        <w:rPr>
          <w:rFonts w:ascii="Arial" w:hAnsi="Arial" w:cs="Arial"/>
          <w:color w:val="000000"/>
        </w:rPr>
        <w:t>202</w:t>
      </w:r>
      <w:r w:rsidR="00F17FDC" w:rsidRPr="00F17FDC">
        <w:rPr>
          <w:rFonts w:ascii="Arial" w:hAnsi="Arial" w:cs="Arial"/>
          <w:color w:val="000000"/>
        </w:rPr>
        <w:t>3</w:t>
      </w:r>
      <w:r w:rsidR="00D1125B" w:rsidRPr="00F17FDC">
        <w:rPr>
          <w:rFonts w:ascii="Arial" w:hAnsi="Arial" w:cs="Arial"/>
          <w:color w:val="000000"/>
        </w:rPr>
        <w:t>/2</w:t>
      </w:r>
      <w:r w:rsidR="00F17FDC" w:rsidRPr="00F17FDC">
        <w:rPr>
          <w:rFonts w:ascii="Arial" w:hAnsi="Arial" w:cs="Arial"/>
          <w:color w:val="000000"/>
        </w:rPr>
        <w:t>4</w:t>
      </w:r>
      <w:r w:rsidRPr="00F17FDC">
        <w:rPr>
          <w:rFonts w:ascii="Arial" w:hAnsi="Arial" w:cs="Arial"/>
          <w:color w:val="000000"/>
        </w:rPr>
        <w:t xml:space="preserve"> pension scheme liability. The impact of an increase in scheme liabilities arising from the McCloud judgment has been measured through the 2022 pension valuation process concluded in March 2023, which determines employer and employee contribution rates.</w:t>
      </w:r>
    </w:p>
    <w:bookmarkEnd w:id="350"/>
    <w:p w14:paraId="51EBFF4C" w14:textId="77777777" w:rsidR="00F17FDC" w:rsidRDefault="00F17FDC" w:rsidP="006F1659">
      <w:pPr>
        <w:spacing w:line="360" w:lineRule="auto"/>
        <w:rPr>
          <w:rFonts w:ascii="Arial" w:hAnsi="Arial" w:cs="Arial"/>
          <w:color w:val="000000"/>
          <w:highlight w:val="yellow"/>
        </w:rPr>
        <w:sectPr w:rsidR="00F17FDC" w:rsidSect="00F17FDC">
          <w:pgSz w:w="11906" w:h="16838"/>
          <w:pgMar w:top="946" w:right="1416" w:bottom="1440" w:left="1080" w:header="283" w:footer="567" w:gutter="0"/>
          <w:cols w:space="708"/>
          <w:docGrid w:linePitch="360"/>
        </w:sectPr>
      </w:pPr>
    </w:p>
    <w:p w14:paraId="1B4CEBC5" w14:textId="77777777" w:rsidR="00CC5475" w:rsidRPr="00CC5475" w:rsidRDefault="00CC5475" w:rsidP="006F1659">
      <w:pPr>
        <w:spacing w:line="360" w:lineRule="auto"/>
        <w:rPr>
          <w:rFonts w:ascii="Arial" w:hAnsi="Arial" w:cs="Arial"/>
          <w:color w:val="000000"/>
          <w:highlight w:val="yellow"/>
        </w:rPr>
      </w:pPr>
    </w:p>
    <w:p w14:paraId="1AE03824" w14:textId="129225F2" w:rsidR="00795BE0" w:rsidRDefault="00795BE0" w:rsidP="006F1659">
      <w:pPr>
        <w:pStyle w:val="Heading4bold"/>
        <w:spacing w:line="360" w:lineRule="auto"/>
      </w:pPr>
      <w:r w:rsidRPr="0007572B">
        <w:t>Group Comprehensive Income and Expenditure Statement</w:t>
      </w:r>
    </w:p>
    <w:p w14:paraId="0B7369E9" w14:textId="0FD762C1" w:rsidR="00974D40" w:rsidRDefault="00A010D2" w:rsidP="00A010D2">
      <w:pPr>
        <w:pStyle w:val="Default"/>
        <w:spacing w:line="360" w:lineRule="auto"/>
      </w:pPr>
      <w:r w:rsidRPr="00A010D2">
        <w:rPr>
          <w:noProof/>
        </w:rPr>
        <w:drawing>
          <wp:inline distT="0" distB="0" distL="0" distR="0" wp14:anchorId="3F61AAAF" wp14:editId="0428EFEC">
            <wp:extent cx="9177020" cy="2830195"/>
            <wp:effectExtent l="0" t="0" r="5080" b="8255"/>
            <wp:docPr id="67812641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126412" name="Picture 1">
                      <a:extLst>
                        <a:ext uri="{C183D7F6-B498-43B3-948B-1728B52AA6E4}">
                          <adec:decorative xmlns:adec="http://schemas.microsoft.com/office/drawing/2017/decorative" val="1"/>
                        </a:ext>
                      </a:extLst>
                    </pic:cNvPr>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9177020" cy="2830195"/>
                    </a:xfrm>
                    <a:prstGeom prst="rect">
                      <a:avLst/>
                    </a:prstGeom>
                    <a:noFill/>
                    <a:ln>
                      <a:noFill/>
                    </a:ln>
                  </pic:spPr>
                </pic:pic>
              </a:graphicData>
            </a:graphic>
          </wp:inline>
        </w:drawing>
      </w:r>
    </w:p>
    <w:p w14:paraId="203C0076" w14:textId="77777777" w:rsidR="00A010D2" w:rsidRDefault="00A010D2" w:rsidP="00A010D2">
      <w:pPr>
        <w:pStyle w:val="Default"/>
        <w:spacing w:line="360" w:lineRule="auto"/>
      </w:pPr>
    </w:p>
    <w:p w14:paraId="0A27CC3C" w14:textId="64B657ED" w:rsidR="000C53A4" w:rsidRDefault="00795BE0" w:rsidP="006F1659">
      <w:pPr>
        <w:pStyle w:val="Heading4bold"/>
        <w:spacing w:line="360" w:lineRule="auto"/>
      </w:pPr>
      <w:r w:rsidRPr="0007572B">
        <w:t>Group Movement in Reserves Statement</w:t>
      </w:r>
    </w:p>
    <w:p w14:paraId="3BF01F90" w14:textId="5DFABF48" w:rsidR="00974D40" w:rsidRDefault="00A010D2" w:rsidP="006F1659">
      <w:pPr>
        <w:spacing w:line="360" w:lineRule="auto"/>
        <w:rPr>
          <w:rFonts w:ascii="Arial" w:hAnsi="Arial" w:cs="Arial"/>
          <w:b/>
          <w:bCs/>
        </w:rPr>
      </w:pPr>
      <w:r w:rsidRPr="00A010D2">
        <w:rPr>
          <w:noProof/>
        </w:rPr>
        <w:drawing>
          <wp:inline distT="0" distB="0" distL="0" distR="0" wp14:anchorId="3C56460F" wp14:editId="3188D35A">
            <wp:extent cx="9177020" cy="1020445"/>
            <wp:effectExtent l="0" t="0" r="5080" b="8255"/>
            <wp:docPr id="186546821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468212" name="Picture 2">
                      <a:extLst>
                        <a:ext uri="{C183D7F6-B498-43B3-948B-1728B52AA6E4}">
                          <adec:decorative xmlns:adec="http://schemas.microsoft.com/office/drawing/2017/decorative" val="1"/>
                        </a:ext>
                      </a:extLst>
                    </pic:cNvPr>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9177020" cy="1020445"/>
                    </a:xfrm>
                    <a:prstGeom prst="rect">
                      <a:avLst/>
                    </a:prstGeom>
                    <a:noFill/>
                    <a:ln>
                      <a:noFill/>
                    </a:ln>
                  </pic:spPr>
                </pic:pic>
              </a:graphicData>
            </a:graphic>
          </wp:inline>
        </w:drawing>
      </w:r>
    </w:p>
    <w:p w14:paraId="61D7F409" w14:textId="77777777" w:rsidR="00A010D2" w:rsidRDefault="00A010D2" w:rsidP="006F1659">
      <w:pPr>
        <w:spacing w:line="360" w:lineRule="auto"/>
        <w:rPr>
          <w:rFonts w:ascii="Arial" w:hAnsi="Arial" w:cs="Arial"/>
          <w:b/>
          <w:bCs/>
        </w:rPr>
      </w:pPr>
    </w:p>
    <w:p w14:paraId="0167877D" w14:textId="24892228" w:rsidR="00795BE0" w:rsidRDefault="00795BE0" w:rsidP="006F1659">
      <w:pPr>
        <w:pStyle w:val="Heading4bold"/>
        <w:spacing w:line="360" w:lineRule="auto"/>
      </w:pPr>
      <w:r w:rsidRPr="0007572B">
        <w:lastRenderedPageBreak/>
        <w:t>Group Pensions Assets and Liabilities Recognised in the Balance Sheet</w:t>
      </w:r>
    </w:p>
    <w:p w14:paraId="6B28F88E" w14:textId="28D02B18" w:rsidR="00A010D2" w:rsidRDefault="00A010D2" w:rsidP="00A010D2">
      <w:pPr>
        <w:spacing w:line="360" w:lineRule="auto"/>
        <w:rPr>
          <w:noProof/>
        </w:rPr>
      </w:pPr>
      <w:r w:rsidRPr="00A010D2">
        <w:rPr>
          <w:noProof/>
        </w:rPr>
        <w:drawing>
          <wp:inline distT="0" distB="0" distL="0" distR="0" wp14:anchorId="56235C43" wp14:editId="6920FA63">
            <wp:extent cx="9177020" cy="1040765"/>
            <wp:effectExtent l="0" t="0" r="5080" b="6985"/>
            <wp:docPr id="122703070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030707" name="Picture 3">
                      <a:extLst>
                        <a:ext uri="{C183D7F6-B498-43B3-948B-1728B52AA6E4}">
                          <adec:decorative xmlns:adec="http://schemas.microsoft.com/office/drawing/2017/decorative" val="1"/>
                        </a:ext>
                      </a:extLst>
                    </pic:cNvPr>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9177020" cy="1040765"/>
                    </a:xfrm>
                    <a:prstGeom prst="rect">
                      <a:avLst/>
                    </a:prstGeom>
                    <a:noFill/>
                    <a:ln>
                      <a:noFill/>
                    </a:ln>
                  </pic:spPr>
                </pic:pic>
              </a:graphicData>
            </a:graphic>
          </wp:inline>
        </w:drawing>
      </w:r>
    </w:p>
    <w:p w14:paraId="318CA7C7" w14:textId="77777777" w:rsidR="00A010D2" w:rsidRDefault="00A010D2" w:rsidP="00A010D2">
      <w:pPr>
        <w:spacing w:line="360" w:lineRule="auto"/>
        <w:rPr>
          <w:noProof/>
        </w:rPr>
      </w:pPr>
    </w:p>
    <w:p w14:paraId="5D89295C" w14:textId="5B807C2F" w:rsidR="003C5C4E" w:rsidRDefault="00795BE0" w:rsidP="006F1659">
      <w:pPr>
        <w:pStyle w:val="Heading4bold"/>
        <w:spacing w:after="0" w:line="360" w:lineRule="auto"/>
      </w:pPr>
      <w:r w:rsidRPr="0007572B">
        <w:t>Group Reconciliation of the present value of the scheme liabilities (Defined Benefit Obligations)</w:t>
      </w:r>
    </w:p>
    <w:p w14:paraId="388FCE4F" w14:textId="207B7121" w:rsidR="000C53A4" w:rsidRDefault="00A010D2" w:rsidP="006F1659">
      <w:pPr>
        <w:spacing w:line="360" w:lineRule="auto"/>
        <w:rPr>
          <w:noProof/>
        </w:rPr>
      </w:pPr>
      <w:r w:rsidRPr="00A010D2">
        <w:rPr>
          <w:noProof/>
        </w:rPr>
        <w:drawing>
          <wp:inline distT="0" distB="0" distL="0" distR="0" wp14:anchorId="2450CC18" wp14:editId="313287E0">
            <wp:extent cx="9177020" cy="2176780"/>
            <wp:effectExtent l="0" t="0" r="5080" b="0"/>
            <wp:docPr id="81762226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22262" name="Picture 4">
                      <a:extLst>
                        <a:ext uri="{C183D7F6-B498-43B3-948B-1728B52AA6E4}">
                          <adec:decorative xmlns:adec="http://schemas.microsoft.com/office/drawing/2017/decorative" val="1"/>
                        </a:ext>
                      </a:extLst>
                    </pic:cNvPr>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9177020" cy="2176780"/>
                    </a:xfrm>
                    <a:prstGeom prst="rect">
                      <a:avLst/>
                    </a:prstGeom>
                    <a:noFill/>
                    <a:ln>
                      <a:noFill/>
                    </a:ln>
                  </pic:spPr>
                </pic:pic>
              </a:graphicData>
            </a:graphic>
          </wp:inline>
        </w:drawing>
      </w:r>
    </w:p>
    <w:p w14:paraId="51822FB5" w14:textId="77777777" w:rsidR="00A010D2" w:rsidRDefault="00A010D2" w:rsidP="006F1659">
      <w:pPr>
        <w:spacing w:line="360" w:lineRule="auto"/>
        <w:rPr>
          <w:rFonts w:ascii="Arial" w:hAnsi="Arial" w:cs="Arial"/>
          <w:b/>
          <w:bCs/>
          <w:color w:val="000000"/>
          <w:lang w:eastAsia="en-GB"/>
        </w:rPr>
      </w:pPr>
    </w:p>
    <w:p w14:paraId="48E9B518" w14:textId="40DCD025" w:rsidR="00A11F6D" w:rsidRPr="0007572B" w:rsidRDefault="00795BE0" w:rsidP="006F1659">
      <w:pPr>
        <w:pStyle w:val="Heading4bold"/>
        <w:spacing w:line="360" w:lineRule="auto"/>
      </w:pPr>
      <w:r w:rsidRPr="0007572B">
        <w:lastRenderedPageBreak/>
        <w:t>Reconciliation of movements in the fair value of the scheme assets</w:t>
      </w:r>
    </w:p>
    <w:p w14:paraId="738D3573" w14:textId="176AA15C" w:rsidR="000C53A4" w:rsidRDefault="00A010D2" w:rsidP="006F1659">
      <w:pPr>
        <w:spacing w:line="360" w:lineRule="auto"/>
        <w:rPr>
          <w:rFonts w:ascii="Arial" w:hAnsi="Arial" w:cs="Arial"/>
          <w:b/>
          <w:sz w:val="22"/>
          <w:szCs w:val="22"/>
        </w:rPr>
      </w:pPr>
      <w:r w:rsidRPr="00A010D2">
        <w:rPr>
          <w:noProof/>
        </w:rPr>
        <w:drawing>
          <wp:inline distT="0" distB="0" distL="0" distR="0" wp14:anchorId="7DB9C70B" wp14:editId="7A936307">
            <wp:extent cx="5494655" cy="2234565"/>
            <wp:effectExtent l="0" t="0" r="0" b="0"/>
            <wp:docPr id="2046814327"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814327" name="Picture 5">
                      <a:extLst>
                        <a:ext uri="{C183D7F6-B498-43B3-948B-1728B52AA6E4}">
                          <adec:decorative xmlns:adec="http://schemas.microsoft.com/office/drawing/2017/decorative" val="1"/>
                        </a:ext>
                      </a:extLst>
                    </pic:cNvPr>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5494655" cy="2234565"/>
                    </a:xfrm>
                    <a:prstGeom prst="rect">
                      <a:avLst/>
                    </a:prstGeom>
                    <a:noFill/>
                    <a:ln>
                      <a:noFill/>
                    </a:ln>
                  </pic:spPr>
                </pic:pic>
              </a:graphicData>
            </a:graphic>
          </wp:inline>
        </w:drawing>
      </w:r>
    </w:p>
    <w:p w14:paraId="6BF2919B" w14:textId="77777777" w:rsidR="00A010D2" w:rsidRPr="0066778F" w:rsidRDefault="00A010D2" w:rsidP="006F1659">
      <w:pPr>
        <w:spacing w:line="360" w:lineRule="auto"/>
        <w:rPr>
          <w:rFonts w:ascii="Arial" w:hAnsi="Arial" w:cs="Arial"/>
          <w:b/>
          <w:sz w:val="22"/>
          <w:szCs w:val="22"/>
        </w:rPr>
      </w:pPr>
    </w:p>
    <w:p w14:paraId="3627AED0" w14:textId="2B6A4525" w:rsidR="00A010D2" w:rsidRDefault="00795BE0" w:rsidP="006F1659">
      <w:pPr>
        <w:pStyle w:val="Heading4bold"/>
        <w:spacing w:line="360" w:lineRule="auto"/>
      </w:pPr>
      <w:r w:rsidRPr="0007572B">
        <w:lastRenderedPageBreak/>
        <w:t>Local Government Pension Scheme assets comprised:</w:t>
      </w:r>
    </w:p>
    <w:p w14:paraId="2EB30188" w14:textId="2627BCA2" w:rsidR="00A010D2" w:rsidRDefault="00A010D2" w:rsidP="006F1659">
      <w:pPr>
        <w:spacing w:line="360" w:lineRule="auto"/>
        <w:rPr>
          <w:rFonts w:ascii="Arial" w:hAnsi="Arial" w:cs="Arial"/>
          <w:highlight w:val="yellow"/>
        </w:rPr>
      </w:pPr>
      <w:r w:rsidRPr="00A010D2">
        <w:rPr>
          <w:noProof/>
        </w:rPr>
        <w:drawing>
          <wp:inline distT="0" distB="0" distL="0" distR="0" wp14:anchorId="737D15CE" wp14:editId="034B0EC4">
            <wp:extent cx="9177020" cy="3612515"/>
            <wp:effectExtent l="0" t="0" r="5080" b="6985"/>
            <wp:docPr id="1379075645"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075645" name="Picture 6">
                      <a:extLst>
                        <a:ext uri="{C183D7F6-B498-43B3-948B-1728B52AA6E4}">
                          <adec:decorative xmlns:adec="http://schemas.microsoft.com/office/drawing/2017/decorative" val="1"/>
                        </a:ext>
                      </a:extLst>
                    </pic:cNvPr>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9177020" cy="3612515"/>
                    </a:xfrm>
                    <a:prstGeom prst="rect">
                      <a:avLst/>
                    </a:prstGeom>
                    <a:noFill/>
                    <a:ln>
                      <a:noFill/>
                    </a:ln>
                  </pic:spPr>
                </pic:pic>
              </a:graphicData>
            </a:graphic>
          </wp:inline>
        </w:drawing>
      </w:r>
    </w:p>
    <w:p w14:paraId="76029CC1" w14:textId="77777777" w:rsidR="00A010D2" w:rsidRDefault="00A010D2" w:rsidP="006F1659">
      <w:pPr>
        <w:spacing w:line="360" w:lineRule="auto"/>
        <w:rPr>
          <w:rFonts w:ascii="Arial" w:hAnsi="Arial" w:cs="Arial"/>
          <w:highlight w:val="yellow"/>
        </w:rPr>
      </w:pPr>
    </w:p>
    <w:p w14:paraId="616C283D" w14:textId="4C9413CF" w:rsidR="00B51301" w:rsidRDefault="00B51301" w:rsidP="006F1659">
      <w:pPr>
        <w:spacing w:line="360" w:lineRule="auto"/>
        <w:rPr>
          <w:rFonts w:ascii="Arial" w:hAnsi="Arial" w:cs="Arial"/>
          <w:lang w:eastAsia="en-GB"/>
        </w:rPr>
      </w:pPr>
      <w:r w:rsidRPr="00A010D2">
        <w:rPr>
          <w:rFonts w:ascii="Arial" w:hAnsi="Arial" w:cs="Arial"/>
        </w:rPr>
        <w:t>The total assets of £1</w:t>
      </w:r>
      <w:r w:rsidR="00A010D2" w:rsidRPr="00A010D2">
        <w:rPr>
          <w:rFonts w:ascii="Arial" w:hAnsi="Arial" w:cs="Arial"/>
        </w:rPr>
        <w:t>.920</w:t>
      </w:r>
      <w:r w:rsidRPr="00A010D2">
        <w:rPr>
          <w:rFonts w:ascii="Arial" w:hAnsi="Arial" w:cs="Arial"/>
        </w:rPr>
        <w:t>m in the table above do not match the closing fair value of scheme assets in the Reconciliation of Movements in Fair Value of the Scheme Assets table. The variance of £</w:t>
      </w:r>
      <w:r w:rsidR="00A010D2" w:rsidRPr="00A010D2">
        <w:rPr>
          <w:rFonts w:ascii="Arial" w:hAnsi="Arial" w:cs="Arial"/>
        </w:rPr>
        <w:t>443.926</w:t>
      </w:r>
      <w:r w:rsidRPr="00A010D2">
        <w:rPr>
          <w:rFonts w:ascii="Arial" w:hAnsi="Arial" w:cs="Arial"/>
        </w:rPr>
        <w:t>m is due to the effect of applying the asset ceiling for the GMCA</w:t>
      </w:r>
      <w:r w:rsidR="00A010D2">
        <w:rPr>
          <w:rFonts w:ascii="Arial" w:hAnsi="Arial" w:cs="Arial"/>
        </w:rPr>
        <w:t>, TfGM</w:t>
      </w:r>
      <w:r w:rsidRPr="00A010D2">
        <w:rPr>
          <w:rFonts w:ascii="Arial" w:hAnsi="Arial" w:cs="Arial"/>
        </w:rPr>
        <w:t xml:space="preserve"> and GMP.</w:t>
      </w:r>
    </w:p>
    <w:p w14:paraId="04809386" w14:textId="77777777" w:rsidR="00B51301" w:rsidRPr="0007572B" w:rsidRDefault="00B51301" w:rsidP="004C594A">
      <w:pPr>
        <w:spacing w:line="360" w:lineRule="auto"/>
        <w:rPr>
          <w:lang w:eastAsia="en-GB"/>
        </w:rPr>
      </w:pPr>
    </w:p>
    <w:p w14:paraId="49CCEEE3" w14:textId="77777777" w:rsidR="00795BE0" w:rsidRDefault="00795BE0" w:rsidP="006F1659">
      <w:pPr>
        <w:spacing w:line="360" w:lineRule="auto"/>
        <w:rPr>
          <w:rFonts w:ascii="Arial" w:hAnsi="Arial" w:cs="Arial"/>
          <w:b/>
          <w:sz w:val="22"/>
          <w:szCs w:val="22"/>
        </w:rPr>
      </w:pPr>
    </w:p>
    <w:p w14:paraId="74A90E78" w14:textId="0D509FA1" w:rsidR="0080212E" w:rsidRPr="0007572B" w:rsidRDefault="0080212E" w:rsidP="006F1659">
      <w:pPr>
        <w:spacing w:line="360" w:lineRule="auto"/>
        <w:rPr>
          <w:rFonts w:ascii="Arial" w:hAnsi="Arial" w:cs="Arial"/>
          <w:b/>
          <w:sz w:val="22"/>
          <w:szCs w:val="22"/>
        </w:rPr>
        <w:sectPr w:rsidR="0080212E" w:rsidRPr="0007572B" w:rsidSect="004833A2">
          <w:pgSz w:w="16838" w:h="11906" w:orient="landscape"/>
          <w:pgMar w:top="1080" w:right="946" w:bottom="1416" w:left="1440" w:header="283" w:footer="567" w:gutter="0"/>
          <w:cols w:space="708"/>
          <w:docGrid w:linePitch="360"/>
        </w:sectPr>
      </w:pPr>
    </w:p>
    <w:p w14:paraId="149D1805" w14:textId="7FDB6CE4" w:rsidR="00795BE0" w:rsidRPr="0007572B" w:rsidRDefault="00795BE0" w:rsidP="006F1659">
      <w:pPr>
        <w:pStyle w:val="Heading4bold"/>
        <w:spacing w:line="360" w:lineRule="auto"/>
        <w:rPr>
          <w:lang w:eastAsia="en-GB"/>
        </w:rPr>
      </w:pPr>
      <w:r w:rsidRPr="0007572B">
        <w:lastRenderedPageBreak/>
        <w:t>Assumptions</w:t>
      </w:r>
    </w:p>
    <w:p w14:paraId="42BF05FD" w14:textId="52AC3DC6" w:rsidR="00A32B6E" w:rsidRDefault="00A010D2" w:rsidP="006F1659">
      <w:pPr>
        <w:spacing w:line="360" w:lineRule="auto"/>
        <w:rPr>
          <w:rFonts w:ascii="Arial" w:hAnsi="Arial" w:cs="Arial"/>
          <w:b/>
          <w:bCs/>
        </w:rPr>
      </w:pPr>
      <w:r w:rsidRPr="00A010D2">
        <w:rPr>
          <w:noProof/>
        </w:rPr>
        <w:drawing>
          <wp:inline distT="0" distB="0" distL="0" distR="0" wp14:anchorId="1349A2C5" wp14:editId="71821532">
            <wp:extent cx="9177020" cy="1525905"/>
            <wp:effectExtent l="0" t="0" r="5080" b="0"/>
            <wp:docPr id="690802745"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802745" name="Picture 8">
                      <a:extLst>
                        <a:ext uri="{C183D7F6-B498-43B3-948B-1728B52AA6E4}">
                          <adec:decorative xmlns:adec="http://schemas.microsoft.com/office/drawing/2017/decorative" val="1"/>
                        </a:ext>
                      </a:extLst>
                    </pic:cNvPr>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9177020" cy="1525905"/>
                    </a:xfrm>
                    <a:prstGeom prst="rect">
                      <a:avLst/>
                    </a:prstGeom>
                    <a:noFill/>
                    <a:ln>
                      <a:noFill/>
                    </a:ln>
                  </pic:spPr>
                </pic:pic>
              </a:graphicData>
            </a:graphic>
          </wp:inline>
        </w:drawing>
      </w:r>
    </w:p>
    <w:p w14:paraId="78F16A25" w14:textId="77777777" w:rsidR="00A010D2" w:rsidRDefault="00A010D2" w:rsidP="006F1659">
      <w:pPr>
        <w:spacing w:line="360" w:lineRule="auto"/>
        <w:rPr>
          <w:rFonts w:ascii="Arial" w:hAnsi="Arial" w:cs="Arial"/>
          <w:b/>
          <w:bCs/>
        </w:rPr>
      </w:pPr>
    </w:p>
    <w:p w14:paraId="1C94C933" w14:textId="3D3559B3" w:rsidR="00795BE0" w:rsidRDefault="00795BE0" w:rsidP="006F1659">
      <w:pPr>
        <w:pStyle w:val="Heading4bold"/>
        <w:spacing w:line="360" w:lineRule="auto"/>
      </w:pPr>
      <w:r w:rsidRPr="0007572B">
        <w:t>Sensitivity Analysis</w:t>
      </w:r>
    </w:p>
    <w:p w14:paraId="6BDF6E65" w14:textId="0EF026E8" w:rsidR="00A010D2" w:rsidRDefault="00A010D2" w:rsidP="00A010D2">
      <w:pPr>
        <w:spacing w:line="360" w:lineRule="auto"/>
      </w:pPr>
      <w:r w:rsidRPr="00A010D2">
        <w:rPr>
          <w:noProof/>
        </w:rPr>
        <w:drawing>
          <wp:inline distT="0" distB="0" distL="0" distR="0" wp14:anchorId="503A01F7" wp14:editId="26740E83">
            <wp:extent cx="5534025" cy="2751455"/>
            <wp:effectExtent l="0" t="0" r="9525" b="0"/>
            <wp:docPr id="1498549436"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49436" name="Picture 12">
                      <a:extLst>
                        <a:ext uri="{C183D7F6-B498-43B3-948B-1728B52AA6E4}">
                          <adec:decorative xmlns:adec="http://schemas.microsoft.com/office/drawing/2017/decorative" val="1"/>
                        </a:ext>
                      </a:extLst>
                    </pic:cNvPr>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5534025" cy="2751455"/>
                    </a:xfrm>
                    <a:prstGeom prst="rect">
                      <a:avLst/>
                    </a:prstGeom>
                    <a:noFill/>
                    <a:ln>
                      <a:noFill/>
                    </a:ln>
                  </pic:spPr>
                </pic:pic>
              </a:graphicData>
            </a:graphic>
          </wp:inline>
        </w:drawing>
      </w:r>
    </w:p>
    <w:p w14:paraId="68464E4B" w14:textId="77777777" w:rsidR="00A010D2" w:rsidRDefault="00A010D2" w:rsidP="00A010D2">
      <w:pPr>
        <w:spacing w:line="360" w:lineRule="auto"/>
      </w:pPr>
    </w:p>
    <w:p w14:paraId="00B5C324" w14:textId="74378AD7" w:rsidR="00A010D2" w:rsidRPr="0007572B" w:rsidRDefault="00A010D2" w:rsidP="00A010D2">
      <w:pPr>
        <w:spacing w:line="360" w:lineRule="auto"/>
      </w:pPr>
      <w:r w:rsidRPr="00A010D2">
        <w:rPr>
          <w:noProof/>
        </w:rPr>
        <w:lastRenderedPageBreak/>
        <w:drawing>
          <wp:inline distT="0" distB="0" distL="0" distR="0" wp14:anchorId="79DDD06C" wp14:editId="4D5D7EFF">
            <wp:extent cx="5534025" cy="1311910"/>
            <wp:effectExtent l="0" t="0" r="9525" b="2540"/>
            <wp:docPr id="1455880062"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880062" name="Picture 13">
                      <a:extLst>
                        <a:ext uri="{C183D7F6-B498-43B3-948B-1728B52AA6E4}">
                          <adec:decorative xmlns:adec="http://schemas.microsoft.com/office/drawing/2017/decorative" val="1"/>
                        </a:ext>
                      </a:extLst>
                    </pic:cNvPr>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5534025" cy="1311910"/>
                    </a:xfrm>
                    <a:prstGeom prst="rect">
                      <a:avLst/>
                    </a:prstGeom>
                    <a:noFill/>
                    <a:ln>
                      <a:noFill/>
                    </a:ln>
                  </pic:spPr>
                </pic:pic>
              </a:graphicData>
            </a:graphic>
          </wp:inline>
        </w:drawing>
      </w:r>
    </w:p>
    <w:p w14:paraId="4A5FE156" w14:textId="77777777" w:rsidR="00795BE0" w:rsidRDefault="00795BE0" w:rsidP="006F1659">
      <w:pPr>
        <w:spacing w:line="360" w:lineRule="auto"/>
        <w:rPr>
          <w:rFonts w:ascii="Arial" w:hAnsi="Arial" w:cs="Arial"/>
          <w:b/>
          <w:sz w:val="22"/>
          <w:szCs w:val="22"/>
        </w:rPr>
      </w:pPr>
    </w:p>
    <w:p w14:paraId="0368C1B2" w14:textId="1F11736F" w:rsidR="00A010D2" w:rsidRPr="0007572B" w:rsidRDefault="00A010D2" w:rsidP="006F1659">
      <w:pPr>
        <w:spacing w:line="360" w:lineRule="auto"/>
        <w:rPr>
          <w:rFonts w:ascii="Arial" w:hAnsi="Arial" w:cs="Arial"/>
          <w:b/>
          <w:sz w:val="22"/>
          <w:szCs w:val="22"/>
        </w:rPr>
        <w:sectPr w:rsidR="00A010D2" w:rsidRPr="0007572B" w:rsidSect="004833A2">
          <w:pgSz w:w="16838" w:h="11906" w:orient="landscape"/>
          <w:pgMar w:top="1080" w:right="946" w:bottom="1416" w:left="1440" w:header="283" w:footer="567" w:gutter="0"/>
          <w:cols w:space="708"/>
          <w:docGrid w:linePitch="360"/>
        </w:sectPr>
      </w:pPr>
    </w:p>
    <w:p w14:paraId="64DB7844" w14:textId="77777777" w:rsidR="00795BE0" w:rsidRPr="0007572B" w:rsidRDefault="00795BE0" w:rsidP="006F1659">
      <w:pPr>
        <w:pStyle w:val="Heading2green"/>
        <w:spacing w:line="360" w:lineRule="auto"/>
      </w:pPr>
      <w:bookmarkStart w:id="351" w:name="_Toc92895261"/>
      <w:bookmarkStart w:id="352" w:name="_Toc109922695"/>
      <w:r w:rsidRPr="0007572B">
        <w:lastRenderedPageBreak/>
        <w:t>Police Pension Fund</w:t>
      </w:r>
      <w:bookmarkEnd w:id="351"/>
      <w:bookmarkEnd w:id="352"/>
    </w:p>
    <w:p w14:paraId="52A1C828" w14:textId="77777777" w:rsidR="00795BE0" w:rsidRDefault="00795BE0" w:rsidP="006F1659">
      <w:pPr>
        <w:spacing w:line="360" w:lineRule="auto"/>
        <w:rPr>
          <w:rFonts w:ascii="Arial" w:hAnsi="Arial" w:cs="Arial"/>
        </w:rPr>
      </w:pPr>
    </w:p>
    <w:p w14:paraId="23887F40" w14:textId="77777777" w:rsidR="00795BE0" w:rsidRPr="0007572B" w:rsidRDefault="00795BE0" w:rsidP="006F1659">
      <w:pPr>
        <w:spacing w:line="360" w:lineRule="auto"/>
        <w:rPr>
          <w:rFonts w:ascii="Arial" w:hAnsi="Arial" w:cs="Arial"/>
        </w:rPr>
      </w:pPr>
      <w:r w:rsidRPr="0007572B">
        <w:rPr>
          <w:rFonts w:ascii="Arial" w:hAnsi="Arial" w:cs="Arial"/>
        </w:rPr>
        <w:t>The Police Pension Scheme is unfunded. Both employer and employee pension contributions are based on a percentage of pay, which is paid into the Pension Fund. The amounts that must be paid into and out of the Pension Fund are specified by the Police Pension Fund Regulations 2007 and do not include injury awards.</w:t>
      </w:r>
    </w:p>
    <w:p w14:paraId="4E5EB6B9" w14:textId="702A0BE0" w:rsidR="00795BE0" w:rsidRPr="00B15EE1" w:rsidRDefault="00795BE0" w:rsidP="00B15EE1">
      <w:pPr>
        <w:pStyle w:val="Heading3"/>
        <w:spacing w:line="360" w:lineRule="auto"/>
      </w:pPr>
      <w:bookmarkStart w:id="353" w:name="_Toc92894958"/>
      <w:bookmarkStart w:id="354" w:name="_Toc92895262"/>
      <w:bookmarkStart w:id="355" w:name="_Toc109922696"/>
      <w:r w:rsidRPr="0007572B">
        <w:t>Police Pension Fund Account</w:t>
      </w:r>
      <w:bookmarkEnd w:id="353"/>
      <w:bookmarkEnd w:id="354"/>
      <w:bookmarkEnd w:id="355"/>
    </w:p>
    <w:p w14:paraId="6A73204A" w14:textId="2734F304" w:rsidR="00B15EE1" w:rsidRPr="0007572B" w:rsidRDefault="00B15EE1" w:rsidP="006F1659">
      <w:pPr>
        <w:spacing w:line="360" w:lineRule="auto"/>
        <w:rPr>
          <w:rFonts w:ascii="Arial" w:hAnsi="Arial" w:cs="Arial"/>
          <w:sz w:val="18"/>
          <w:szCs w:val="18"/>
        </w:rPr>
      </w:pPr>
      <w:r w:rsidRPr="00B15EE1">
        <w:rPr>
          <w:noProof/>
        </w:rPr>
        <w:drawing>
          <wp:inline distT="0" distB="0" distL="0" distR="0" wp14:anchorId="55B7477A" wp14:editId="16DDDA73">
            <wp:extent cx="5892800" cy="3837940"/>
            <wp:effectExtent l="0" t="0" r="0" b="0"/>
            <wp:docPr id="1217168560"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168560" name="Picture 61">
                      <a:extLst>
                        <a:ext uri="{C183D7F6-B498-43B3-948B-1728B52AA6E4}">
                          <adec:decorative xmlns:adec="http://schemas.microsoft.com/office/drawing/2017/decorative" val="1"/>
                        </a:ext>
                      </a:extLst>
                    </pic:cNvPr>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5892800" cy="3837940"/>
                    </a:xfrm>
                    <a:prstGeom prst="rect">
                      <a:avLst/>
                    </a:prstGeom>
                    <a:noFill/>
                    <a:ln>
                      <a:noFill/>
                    </a:ln>
                  </pic:spPr>
                </pic:pic>
              </a:graphicData>
            </a:graphic>
          </wp:inline>
        </w:drawing>
      </w:r>
    </w:p>
    <w:p w14:paraId="27C93134" w14:textId="181680B2" w:rsidR="00795BE0" w:rsidRPr="00B15EE1" w:rsidRDefault="00795BE0" w:rsidP="00B15EE1">
      <w:pPr>
        <w:pStyle w:val="Heading3"/>
        <w:spacing w:line="360" w:lineRule="auto"/>
      </w:pPr>
      <w:bookmarkStart w:id="356" w:name="_Toc92894959"/>
      <w:bookmarkStart w:id="357" w:name="_Toc92895263"/>
      <w:bookmarkStart w:id="358" w:name="_Toc109922697"/>
      <w:r w:rsidRPr="0007572B">
        <w:t>Net asset statement</w:t>
      </w:r>
      <w:bookmarkStart w:id="359" w:name="_Toc92894960"/>
      <w:bookmarkStart w:id="360" w:name="_Toc92895264"/>
      <w:bookmarkEnd w:id="356"/>
      <w:bookmarkEnd w:id="357"/>
      <w:bookmarkEnd w:id="358"/>
    </w:p>
    <w:p w14:paraId="4699AA70" w14:textId="4DDF2F33" w:rsidR="00B15EE1" w:rsidRDefault="00B15EE1" w:rsidP="006F1659">
      <w:pPr>
        <w:spacing w:line="360" w:lineRule="auto"/>
        <w:rPr>
          <w:rFonts w:ascii="Arial" w:hAnsi="Arial" w:cs="Arial"/>
          <w:b/>
          <w:bCs/>
          <w:sz w:val="26"/>
          <w:szCs w:val="26"/>
        </w:rPr>
      </w:pPr>
      <w:r w:rsidRPr="00B15EE1">
        <w:rPr>
          <w:noProof/>
        </w:rPr>
        <w:drawing>
          <wp:inline distT="0" distB="0" distL="0" distR="0" wp14:anchorId="5FD2F3D3" wp14:editId="58123123">
            <wp:extent cx="5892800" cy="628015"/>
            <wp:effectExtent l="0" t="0" r="0" b="635"/>
            <wp:docPr id="1683379299"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379299" name="Picture 62">
                      <a:extLst>
                        <a:ext uri="{C183D7F6-B498-43B3-948B-1728B52AA6E4}">
                          <adec:decorative xmlns:adec="http://schemas.microsoft.com/office/drawing/2017/decorative" val="1"/>
                        </a:ext>
                      </a:extLst>
                    </pic:cNvPr>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5892800" cy="628015"/>
                    </a:xfrm>
                    <a:prstGeom prst="rect">
                      <a:avLst/>
                    </a:prstGeom>
                    <a:noFill/>
                    <a:ln>
                      <a:noFill/>
                    </a:ln>
                  </pic:spPr>
                </pic:pic>
              </a:graphicData>
            </a:graphic>
          </wp:inline>
        </w:drawing>
      </w:r>
    </w:p>
    <w:p w14:paraId="56DFE7B5" w14:textId="3C75208A" w:rsidR="00795BE0" w:rsidRPr="00B15EE1" w:rsidRDefault="00795BE0" w:rsidP="00B15EE1">
      <w:pPr>
        <w:pStyle w:val="Heading3"/>
        <w:spacing w:line="360" w:lineRule="auto"/>
      </w:pPr>
      <w:bookmarkStart w:id="361" w:name="_Toc109922698"/>
      <w:r w:rsidRPr="0007572B">
        <w:t>Contribution rates</w:t>
      </w:r>
      <w:bookmarkEnd w:id="359"/>
      <w:bookmarkEnd w:id="360"/>
      <w:bookmarkEnd w:id="361"/>
    </w:p>
    <w:p w14:paraId="473DC721" w14:textId="13714151" w:rsidR="00795BE0" w:rsidRPr="0007572B" w:rsidRDefault="00B15EE1" w:rsidP="006F1659">
      <w:pPr>
        <w:spacing w:line="360" w:lineRule="auto"/>
        <w:rPr>
          <w:rFonts w:ascii="Arial" w:hAnsi="Arial" w:cs="Arial"/>
          <w:b/>
          <w:u w:val="single"/>
        </w:rPr>
      </w:pPr>
      <w:r w:rsidRPr="00B15EE1">
        <w:rPr>
          <w:noProof/>
        </w:rPr>
        <w:drawing>
          <wp:inline distT="0" distB="0" distL="0" distR="0" wp14:anchorId="29B2DD89" wp14:editId="4CF3F0DE">
            <wp:extent cx="5892800" cy="1129665"/>
            <wp:effectExtent l="0" t="0" r="0" b="0"/>
            <wp:docPr id="1403766269" name="Pictur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766269" name="Picture 63">
                      <a:extLst>
                        <a:ext uri="{C183D7F6-B498-43B3-948B-1728B52AA6E4}">
                          <adec:decorative xmlns:adec="http://schemas.microsoft.com/office/drawing/2017/decorative" val="1"/>
                        </a:ext>
                      </a:extLst>
                    </pic:cNvPr>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5892800" cy="1129665"/>
                    </a:xfrm>
                    <a:prstGeom prst="rect">
                      <a:avLst/>
                    </a:prstGeom>
                    <a:noFill/>
                    <a:ln>
                      <a:noFill/>
                    </a:ln>
                  </pic:spPr>
                </pic:pic>
              </a:graphicData>
            </a:graphic>
          </wp:inline>
        </w:drawing>
      </w:r>
    </w:p>
    <w:p w14:paraId="280D084B" w14:textId="77777777" w:rsidR="00795BE0" w:rsidRPr="0007572B" w:rsidRDefault="00795BE0" w:rsidP="006F1659">
      <w:pPr>
        <w:pStyle w:val="Heading3"/>
        <w:spacing w:line="360" w:lineRule="auto"/>
      </w:pPr>
      <w:bookmarkStart w:id="362" w:name="_Toc92894961"/>
      <w:bookmarkStart w:id="363" w:name="_Toc92895265"/>
      <w:bookmarkStart w:id="364" w:name="_Toc109922699"/>
      <w:r w:rsidRPr="0007572B">
        <w:lastRenderedPageBreak/>
        <w:t>Notes to the Police Pension Fund Account and Net Assets Statement</w:t>
      </w:r>
      <w:bookmarkEnd w:id="362"/>
      <w:bookmarkEnd w:id="363"/>
      <w:bookmarkEnd w:id="364"/>
    </w:p>
    <w:p w14:paraId="1703EDC8" w14:textId="77777777" w:rsidR="00795BE0" w:rsidRPr="0007572B" w:rsidRDefault="00795BE0" w:rsidP="006F1659">
      <w:pPr>
        <w:spacing w:line="360" w:lineRule="auto"/>
        <w:ind w:left="142" w:hanging="142"/>
        <w:rPr>
          <w:rFonts w:ascii="Arial" w:hAnsi="Arial" w:cs="Arial"/>
        </w:rPr>
      </w:pPr>
    </w:p>
    <w:p w14:paraId="0CC5BE8B" w14:textId="77777777" w:rsidR="00795BE0" w:rsidRPr="0007572B" w:rsidRDefault="00795BE0" w:rsidP="006F1659">
      <w:pPr>
        <w:pStyle w:val="AGS-Bullets"/>
        <w:numPr>
          <w:ilvl w:val="0"/>
          <w:numId w:val="0"/>
        </w:numPr>
        <w:spacing w:line="360" w:lineRule="auto"/>
        <w:rPr>
          <w:sz w:val="24"/>
          <w:szCs w:val="24"/>
        </w:rPr>
      </w:pPr>
      <w:r w:rsidRPr="0007572B">
        <w:rPr>
          <w:sz w:val="24"/>
          <w:szCs w:val="24"/>
        </w:rPr>
        <w:t>The Fund was established under the Police Pension Fund Regulations 2007 (SI 2007 no. 1932) and is administered and managed by the Chief Constable.</w:t>
      </w:r>
    </w:p>
    <w:p w14:paraId="192B8668" w14:textId="77777777" w:rsidR="00795BE0" w:rsidRPr="0007572B" w:rsidRDefault="00795BE0" w:rsidP="006F1659">
      <w:pPr>
        <w:pStyle w:val="AGS-Bullets"/>
        <w:numPr>
          <w:ilvl w:val="0"/>
          <w:numId w:val="0"/>
        </w:numPr>
        <w:spacing w:line="360" w:lineRule="auto"/>
        <w:ind w:left="360"/>
        <w:rPr>
          <w:sz w:val="24"/>
          <w:szCs w:val="24"/>
        </w:rPr>
      </w:pPr>
    </w:p>
    <w:p w14:paraId="35D00831" w14:textId="77777777" w:rsidR="00795BE0" w:rsidRPr="0007572B" w:rsidRDefault="00795BE0" w:rsidP="006F1659">
      <w:pPr>
        <w:pStyle w:val="AGS-Bullets"/>
        <w:numPr>
          <w:ilvl w:val="0"/>
          <w:numId w:val="0"/>
        </w:numPr>
        <w:spacing w:line="360" w:lineRule="auto"/>
        <w:rPr>
          <w:sz w:val="24"/>
          <w:szCs w:val="24"/>
        </w:rPr>
      </w:pPr>
      <w:r w:rsidRPr="0007572B">
        <w:rPr>
          <w:sz w:val="24"/>
          <w:szCs w:val="24"/>
        </w:rPr>
        <w:t>The Police Pension Scheme is an unfunded, defined benefit scheme. There are no investment assets. The fund is balanced to nil each year by a transfer from Greater Manchester Combined Authority, which is reclaimed from Central Government.</w:t>
      </w:r>
    </w:p>
    <w:p w14:paraId="08D7136D" w14:textId="77777777" w:rsidR="00795BE0" w:rsidRPr="0007572B" w:rsidRDefault="00795BE0" w:rsidP="006F1659">
      <w:pPr>
        <w:pStyle w:val="AGS-Bullets"/>
        <w:numPr>
          <w:ilvl w:val="0"/>
          <w:numId w:val="0"/>
        </w:numPr>
        <w:spacing w:line="360" w:lineRule="auto"/>
        <w:rPr>
          <w:sz w:val="24"/>
          <w:szCs w:val="24"/>
        </w:rPr>
      </w:pPr>
    </w:p>
    <w:p w14:paraId="3E10E4FC" w14:textId="5FB0F711" w:rsidR="00795BE0" w:rsidRPr="0007572B" w:rsidRDefault="00795BE0" w:rsidP="006F1659">
      <w:pPr>
        <w:spacing w:line="360" w:lineRule="auto"/>
        <w:rPr>
          <w:rFonts w:ascii="Arial" w:hAnsi="Arial" w:cs="Arial"/>
        </w:rPr>
      </w:pPr>
      <w:r w:rsidRPr="0007572B">
        <w:rPr>
          <w:rFonts w:ascii="Arial" w:hAnsi="Arial" w:cs="Arial"/>
        </w:rPr>
        <w:t xml:space="preserve">Employer and employee contributions are paid into the Fund based on a percentage of pensionable pay set nationally by the Home Office and subject to revaluation </w:t>
      </w:r>
      <w:r w:rsidR="00970BA2">
        <w:rPr>
          <w:rFonts w:ascii="Arial" w:hAnsi="Arial" w:cs="Arial"/>
        </w:rPr>
        <w:t xml:space="preserve">every four years </w:t>
      </w:r>
      <w:r w:rsidRPr="0007572B">
        <w:rPr>
          <w:rFonts w:ascii="Arial" w:hAnsi="Arial" w:cs="Arial"/>
        </w:rPr>
        <w:t>by the Government Actuary Department. (See the contribution rates table above).</w:t>
      </w:r>
    </w:p>
    <w:p w14:paraId="292D6DB7" w14:textId="77777777" w:rsidR="00795BE0" w:rsidRPr="0007572B" w:rsidRDefault="00795BE0" w:rsidP="006F1659">
      <w:pPr>
        <w:pStyle w:val="AGS-Bullets"/>
        <w:numPr>
          <w:ilvl w:val="0"/>
          <w:numId w:val="0"/>
        </w:numPr>
        <w:spacing w:line="360" w:lineRule="auto"/>
        <w:rPr>
          <w:sz w:val="24"/>
          <w:szCs w:val="24"/>
        </w:rPr>
      </w:pPr>
    </w:p>
    <w:p w14:paraId="4ED6DAF9" w14:textId="77777777" w:rsidR="00795BE0" w:rsidRPr="0007572B" w:rsidRDefault="00795BE0" w:rsidP="006F1659">
      <w:pPr>
        <w:pStyle w:val="AGS-Bullets"/>
        <w:numPr>
          <w:ilvl w:val="0"/>
          <w:numId w:val="0"/>
        </w:numPr>
        <w:spacing w:line="360" w:lineRule="auto"/>
        <w:rPr>
          <w:sz w:val="24"/>
          <w:szCs w:val="24"/>
        </w:rPr>
      </w:pPr>
      <w:r w:rsidRPr="0007572B">
        <w:rPr>
          <w:sz w:val="24"/>
          <w:szCs w:val="24"/>
        </w:rPr>
        <w:t>Benefits payable to scheme members are made from the Fund with the exception of injury awards, which are payable from revenue funds, as are administrative costs. Inward transfer values are paid into the Fund and outward transfer values are paid from the Fund.</w:t>
      </w:r>
    </w:p>
    <w:p w14:paraId="239B65F7" w14:textId="77777777" w:rsidR="00795BE0" w:rsidRPr="0007572B" w:rsidRDefault="00795BE0" w:rsidP="006F1659">
      <w:pPr>
        <w:pStyle w:val="AGS-Bullets"/>
        <w:numPr>
          <w:ilvl w:val="0"/>
          <w:numId w:val="0"/>
        </w:numPr>
        <w:spacing w:line="360" w:lineRule="auto"/>
        <w:rPr>
          <w:sz w:val="24"/>
          <w:szCs w:val="24"/>
        </w:rPr>
      </w:pPr>
    </w:p>
    <w:p w14:paraId="1BA3709A" w14:textId="252EC3BC" w:rsidR="00795BE0" w:rsidRPr="0007572B" w:rsidRDefault="00795BE0" w:rsidP="006F1659">
      <w:pPr>
        <w:pStyle w:val="AGS-Bullets"/>
        <w:numPr>
          <w:ilvl w:val="0"/>
          <w:numId w:val="0"/>
        </w:numPr>
        <w:spacing w:line="360" w:lineRule="auto"/>
        <w:rPr>
          <w:sz w:val="24"/>
          <w:szCs w:val="24"/>
        </w:rPr>
      </w:pPr>
      <w:r w:rsidRPr="0007572B">
        <w:rPr>
          <w:sz w:val="24"/>
          <w:szCs w:val="24"/>
        </w:rPr>
        <w:t xml:space="preserve">The fund is balanced to zero each year. If income to the fund exceeds </w:t>
      </w:r>
      <w:r w:rsidR="000B7231" w:rsidRPr="0007572B">
        <w:rPr>
          <w:sz w:val="24"/>
          <w:szCs w:val="24"/>
        </w:rPr>
        <w:t>expenditure,</w:t>
      </w:r>
      <w:r w:rsidRPr="0007572B">
        <w:rPr>
          <w:sz w:val="24"/>
          <w:szCs w:val="24"/>
        </w:rPr>
        <w:t xml:space="preserve"> then the excess is paid to Greater Manchester Combined Authority. If expenditure exceeds </w:t>
      </w:r>
      <w:r w:rsidR="000B7231" w:rsidRPr="0007572B">
        <w:rPr>
          <w:sz w:val="24"/>
          <w:szCs w:val="24"/>
        </w:rPr>
        <w:t>income,</w:t>
      </w:r>
      <w:r w:rsidRPr="0007572B">
        <w:rPr>
          <w:sz w:val="24"/>
          <w:szCs w:val="24"/>
        </w:rPr>
        <w:t xml:space="preserve"> then Greater Manchester Combined Authority must fund the deficit. Greater Manchester Combined Authority pays any excess income to the Home Office and receives Police Pension Fund top up grant from the Home Office to fund any deficit.</w:t>
      </w:r>
    </w:p>
    <w:p w14:paraId="68237C70" w14:textId="77777777" w:rsidR="00795BE0" w:rsidRPr="0007572B" w:rsidRDefault="00795BE0" w:rsidP="006F1659">
      <w:pPr>
        <w:pStyle w:val="AGS-Bullets"/>
        <w:numPr>
          <w:ilvl w:val="0"/>
          <w:numId w:val="0"/>
        </w:numPr>
        <w:spacing w:line="360" w:lineRule="auto"/>
        <w:rPr>
          <w:sz w:val="24"/>
          <w:szCs w:val="24"/>
        </w:rPr>
      </w:pPr>
    </w:p>
    <w:p w14:paraId="3469D33E" w14:textId="77777777" w:rsidR="00795BE0" w:rsidRPr="00B15EE1" w:rsidRDefault="00795BE0" w:rsidP="006F1659">
      <w:pPr>
        <w:pStyle w:val="AGS-Bullets"/>
        <w:numPr>
          <w:ilvl w:val="0"/>
          <w:numId w:val="0"/>
        </w:numPr>
        <w:spacing w:line="360" w:lineRule="auto"/>
        <w:rPr>
          <w:sz w:val="24"/>
          <w:szCs w:val="24"/>
        </w:rPr>
      </w:pPr>
      <w:r w:rsidRPr="0007572B">
        <w:rPr>
          <w:sz w:val="24"/>
          <w:szCs w:val="24"/>
        </w:rPr>
        <w:t xml:space="preserve">The contributions receivable from the employer shown in the account are debited to the Chief Constable’s Comprehensive Income and Expenditure Statement. The additional contribution from Greater Manchester Combined Authority is debited in its accounts together with a </w:t>
      </w:r>
      <w:r w:rsidRPr="00B15EE1">
        <w:rPr>
          <w:sz w:val="24"/>
          <w:szCs w:val="24"/>
        </w:rPr>
        <w:t>matching grant from the Home Office.</w:t>
      </w:r>
    </w:p>
    <w:p w14:paraId="5AD9C358" w14:textId="77777777" w:rsidR="00795BE0" w:rsidRPr="00B15EE1" w:rsidRDefault="00795BE0" w:rsidP="006F1659">
      <w:pPr>
        <w:pStyle w:val="AGS-Bullets"/>
        <w:numPr>
          <w:ilvl w:val="0"/>
          <w:numId w:val="0"/>
        </w:numPr>
        <w:spacing w:line="360" w:lineRule="auto"/>
        <w:rPr>
          <w:sz w:val="24"/>
          <w:szCs w:val="24"/>
        </w:rPr>
      </w:pPr>
    </w:p>
    <w:p w14:paraId="6F27EE4B" w14:textId="3EFDC447" w:rsidR="00795BE0" w:rsidRPr="0007572B" w:rsidRDefault="00795BE0" w:rsidP="006F1659">
      <w:pPr>
        <w:pStyle w:val="AGS-Bullets"/>
        <w:numPr>
          <w:ilvl w:val="0"/>
          <w:numId w:val="0"/>
        </w:numPr>
        <w:spacing w:line="360" w:lineRule="auto"/>
        <w:rPr>
          <w:sz w:val="24"/>
          <w:szCs w:val="24"/>
        </w:rPr>
      </w:pPr>
      <w:r w:rsidRPr="00B15EE1">
        <w:rPr>
          <w:sz w:val="24"/>
          <w:szCs w:val="24"/>
        </w:rPr>
        <w:t>The amount of Home Office grant outstanding at 31 March 202</w:t>
      </w:r>
      <w:r w:rsidR="00B15EE1" w:rsidRPr="00B15EE1">
        <w:rPr>
          <w:sz w:val="24"/>
          <w:szCs w:val="24"/>
        </w:rPr>
        <w:t>4</w:t>
      </w:r>
      <w:r w:rsidRPr="00B15EE1">
        <w:rPr>
          <w:sz w:val="24"/>
          <w:szCs w:val="24"/>
        </w:rPr>
        <w:t xml:space="preserve"> has been accrued and is shown in Greater Manchester Combined Authority’s Consolidated Balance Sheet.</w:t>
      </w:r>
    </w:p>
    <w:p w14:paraId="69ED9F97" w14:textId="77777777" w:rsidR="00795BE0" w:rsidRPr="0007572B" w:rsidRDefault="00795BE0" w:rsidP="006F1659">
      <w:pPr>
        <w:pStyle w:val="AGS-Bullets"/>
        <w:numPr>
          <w:ilvl w:val="0"/>
          <w:numId w:val="0"/>
        </w:numPr>
        <w:spacing w:line="360" w:lineRule="auto"/>
        <w:rPr>
          <w:sz w:val="24"/>
          <w:szCs w:val="24"/>
        </w:rPr>
      </w:pPr>
    </w:p>
    <w:p w14:paraId="5C1056DE" w14:textId="12AFB615" w:rsidR="00795BE0" w:rsidRPr="0007572B" w:rsidRDefault="00795BE0" w:rsidP="006F1659">
      <w:pPr>
        <w:pStyle w:val="AGS-Bullets"/>
        <w:numPr>
          <w:ilvl w:val="0"/>
          <w:numId w:val="0"/>
        </w:numPr>
        <w:spacing w:line="360" w:lineRule="auto"/>
        <w:rPr>
          <w:sz w:val="24"/>
          <w:szCs w:val="24"/>
        </w:rPr>
      </w:pPr>
      <w:r w:rsidRPr="0007572B">
        <w:rPr>
          <w:sz w:val="24"/>
          <w:szCs w:val="24"/>
        </w:rPr>
        <w:lastRenderedPageBreak/>
        <w:t xml:space="preserve">The Fund’s financial statements do not take into account liabilities to pay pensions after 31 March </w:t>
      </w:r>
      <w:r>
        <w:rPr>
          <w:sz w:val="24"/>
          <w:szCs w:val="24"/>
        </w:rPr>
        <w:t>202</w:t>
      </w:r>
      <w:r w:rsidR="00D66425">
        <w:rPr>
          <w:sz w:val="24"/>
          <w:szCs w:val="24"/>
        </w:rPr>
        <w:t>4</w:t>
      </w:r>
      <w:r w:rsidRPr="0007572B">
        <w:rPr>
          <w:sz w:val="24"/>
          <w:szCs w:val="24"/>
        </w:rPr>
        <w:t>. Liabilities to pay future payments are included in the IAS19 charges and notes to the Financial Statements.</w:t>
      </w:r>
    </w:p>
    <w:p w14:paraId="79E17BE1" w14:textId="77777777" w:rsidR="00795BE0" w:rsidRPr="0007572B" w:rsidRDefault="00795BE0" w:rsidP="006F1659">
      <w:pPr>
        <w:pStyle w:val="AGS-Bullets"/>
        <w:numPr>
          <w:ilvl w:val="0"/>
          <w:numId w:val="0"/>
        </w:numPr>
        <w:spacing w:line="360" w:lineRule="auto"/>
        <w:rPr>
          <w:sz w:val="24"/>
          <w:szCs w:val="24"/>
        </w:rPr>
      </w:pPr>
    </w:p>
    <w:p w14:paraId="5A5A62E5" w14:textId="77777777" w:rsidR="00795BE0" w:rsidRPr="0007572B" w:rsidRDefault="00795BE0" w:rsidP="006F1659">
      <w:pPr>
        <w:spacing w:line="360" w:lineRule="auto"/>
        <w:rPr>
          <w:rFonts w:ascii="Arial" w:hAnsi="Arial" w:cs="Arial"/>
        </w:rPr>
      </w:pPr>
      <w:r w:rsidRPr="0007572B">
        <w:rPr>
          <w:rFonts w:ascii="Arial" w:hAnsi="Arial" w:cs="Arial"/>
        </w:rPr>
        <w:t>The Fund’s Accounting Policies are set out in the notes to the Financial Statements.</w:t>
      </w:r>
    </w:p>
    <w:p w14:paraId="5890C448" w14:textId="77777777" w:rsidR="00795BE0" w:rsidRPr="0007572B" w:rsidRDefault="00795BE0" w:rsidP="006F1659">
      <w:pPr>
        <w:spacing w:line="360" w:lineRule="auto"/>
        <w:rPr>
          <w:rFonts w:ascii="Arial" w:hAnsi="Arial" w:cs="Arial"/>
        </w:rPr>
      </w:pPr>
      <w:r w:rsidRPr="0007572B">
        <w:rPr>
          <w:rFonts w:ascii="Arial" w:hAnsi="Arial" w:cs="Arial"/>
        </w:rPr>
        <w:br w:type="page"/>
      </w:r>
    </w:p>
    <w:p w14:paraId="44C6D6DF" w14:textId="77777777" w:rsidR="00795BE0" w:rsidRPr="0007572B" w:rsidRDefault="00795BE0" w:rsidP="006F1659">
      <w:pPr>
        <w:pStyle w:val="Heading2green"/>
        <w:spacing w:line="360" w:lineRule="auto"/>
      </w:pPr>
      <w:bookmarkStart w:id="365" w:name="_Toc92895266"/>
      <w:bookmarkStart w:id="366" w:name="_Toc109922700"/>
      <w:r w:rsidRPr="0007572B">
        <w:lastRenderedPageBreak/>
        <w:t>Glossary of Financial Terms</w:t>
      </w:r>
      <w:bookmarkEnd w:id="365"/>
      <w:bookmarkEnd w:id="366"/>
    </w:p>
    <w:p w14:paraId="1B2E0540" w14:textId="77777777" w:rsidR="00795BE0" w:rsidRPr="0007572B" w:rsidRDefault="00795BE0" w:rsidP="006F1659">
      <w:pPr>
        <w:pStyle w:val="Heading3"/>
        <w:spacing w:line="360" w:lineRule="auto"/>
      </w:pPr>
      <w:bookmarkStart w:id="367" w:name="_Toc92894963"/>
      <w:bookmarkStart w:id="368" w:name="_Toc92895267"/>
      <w:bookmarkStart w:id="369" w:name="_Toc109922701"/>
      <w:r w:rsidRPr="0007572B">
        <w:t>Accounting Policies</w:t>
      </w:r>
      <w:bookmarkEnd w:id="367"/>
      <w:bookmarkEnd w:id="368"/>
      <w:bookmarkEnd w:id="369"/>
    </w:p>
    <w:p w14:paraId="4F8C32BA"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eastAsiaTheme="minorHAnsi" w:hAnsi="Arial" w:cs="Arial"/>
        </w:rPr>
      </w:pPr>
      <w:r w:rsidRPr="0007572B">
        <w:rPr>
          <w:rFonts w:ascii="Arial" w:hAnsi="Arial" w:cs="Arial"/>
          <w:color w:val="000000"/>
        </w:rPr>
        <w:t>Within</w:t>
      </w:r>
      <w:r w:rsidRPr="0007572B">
        <w:rPr>
          <w:rFonts w:ascii="Arial" w:eastAsiaTheme="minorHAnsi" w:hAnsi="Arial" w:cs="Arial"/>
        </w:rPr>
        <w:t xml:space="preserve"> the range of possible methods of accounting, a policy is a statement of the actual methods chosen locally and used to prepare these accounts.</w:t>
      </w:r>
    </w:p>
    <w:p w14:paraId="5082F88A" w14:textId="77777777" w:rsidR="00795BE0" w:rsidRPr="0007572B" w:rsidRDefault="00795BE0" w:rsidP="006F1659">
      <w:pPr>
        <w:pStyle w:val="Heading3"/>
        <w:spacing w:line="360" w:lineRule="auto"/>
      </w:pPr>
      <w:bookmarkStart w:id="370" w:name="_Toc92894964"/>
      <w:bookmarkStart w:id="371" w:name="_Toc92895268"/>
      <w:bookmarkStart w:id="372" w:name="_Toc109922702"/>
      <w:r w:rsidRPr="0007572B">
        <w:t>Accruals</w:t>
      </w:r>
      <w:bookmarkEnd w:id="370"/>
      <w:bookmarkEnd w:id="371"/>
      <w:bookmarkEnd w:id="372"/>
    </w:p>
    <w:p w14:paraId="4B85A059"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eastAsiaTheme="minorHAnsi" w:hAnsi="Arial" w:cs="Arial"/>
        </w:rPr>
      </w:pPr>
      <w:r w:rsidRPr="0007572B">
        <w:rPr>
          <w:rFonts w:ascii="Arial" w:hAnsi="Arial" w:cs="Arial"/>
          <w:color w:val="000000"/>
        </w:rPr>
        <w:t>The concept that income and expenditure are recognised as they are earned or incurred, not</w:t>
      </w:r>
      <w:r w:rsidRPr="0007572B">
        <w:rPr>
          <w:rFonts w:ascii="Arial" w:eastAsiaTheme="minorHAnsi" w:hAnsi="Arial" w:cs="Arial"/>
        </w:rPr>
        <w:t xml:space="preserve"> as money is received or paid.</w:t>
      </w:r>
    </w:p>
    <w:p w14:paraId="6065447B" w14:textId="77777777" w:rsidR="00795BE0" w:rsidRPr="0007572B" w:rsidRDefault="00795BE0" w:rsidP="006F1659">
      <w:pPr>
        <w:pStyle w:val="Heading3"/>
        <w:spacing w:line="360" w:lineRule="auto"/>
      </w:pPr>
      <w:bookmarkStart w:id="373" w:name="_Toc92894965"/>
      <w:bookmarkStart w:id="374" w:name="_Toc92895269"/>
      <w:bookmarkStart w:id="375" w:name="_Toc109922703"/>
      <w:r w:rsidRPr="0007572B">
        <w:t>Actuarial Gains and Losses</w:t>
      </w:r>
      <w:bookmarkEnd w:id="373"/>
      <w:bookmarkEnd w:id="374"/>
      <w:bookmarkEnd w:id="375"/>
    </w:p>
    <w:p w14:paraId="28010DD5"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rPr>
      </w:pPr>
      <w:r w:rsidRPr="0007572B">
        <w:rPr>
          <w:rFonts w:ascii="Arial" w:hAnsi="Arial" w:cs="Arial"/>
        </w:rPr>
        <w:t>This Re-measurement of the net defined benefit liability comprises actuarial gains and losses, the return on plan assets and any change in the effect of the asset ceiling. Actuarial gains and losses are changes in the present value of the defined benefit obligation arising from the effects of differences between the previous actuarial assumptions and what has occurred and the effects of changes in the actuarial assumptions</w:t>
      </w:r>
    </w:p>
    <w:p w14:paraId="4B7C747A" w14:textId="77777777" w:rsidR="00795BE0" w:rsidRPr="0007572B" w:rsidRDefault="00795BE0" w:rsidP="006F1659">
      <w:pPr>
        <w:pStyle w:val="Heading3"/>
        <w:spacing w:line="360" w:lineRule="auto"/>
      </w:pPr>
      <w:bookmarkStart w:id="376" w:name="_Toc92894966"/>
      <w:bookmarkStart w:id="377" w:name="_Toc92895270"/>
      <w:bookmarkStart w:id="378" w:name="_Toc109922704"/>
      <w:r w:rsidRPr="0007572B">
        <w:t>Agency Services</w:t>
      </w:r>
      <w:bookmarkEnd w:id="376"/>
      <w:bookmarkEnd w:id="377"/>
      <w:bookmarkEnd w:id="378"/>
    </w:p>
    <w:p w14:paraId="008D4CD5"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Services that are performed by or for another authority or public body, where the authority responsible for the service reimburses the authority carrying out the work for the cost of that work.</w:t>
      </w:r>
    </w:p>
    <w:p w14:paraId="47C9390E" w14:textId="77777777" w:rsidR="00795BE0" w:rsidRPr="0007572B" w:rsidRDefault="00795BE0" w:rsidP="006F1659">
      <w:pPr>
        <w:pStyle w:val="Heading3"/>
        <w:spacing w:line="360" w:lineRule="auto"/>
      </w:pPr>
      <w:bookmarkStart w:id="379" w:name="_Toc92894967"/>
      <w:bookmarkStart w:id="380" w:name="_Toc92895271"/>
      <w:bookmarkStart w:id="381" w:name="_Toc109922705"/>
      <w:r w:rsidRPr="0007572B">
        <w:t>Amortisation</w:t>
      </w:r>
      <w:bookmarkEnd w:id="379"/>
      <w:bookmarkEnd w:id="380"/>
      <w:bookmarkEnd w:id="381"/>
    </w:p>
    <w:p w14:paraId="0D9EB857"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 charge to the comprehensive income and expenditure statement spread over a number of years.</w:t>
      </w:r>
    </w:p>
    <w:p w14:paraId="1D128FEA" w14:textId="77777777" w:rsidR="00795BE0" w:rsidRPr="0007572B" w:rsidRDefault="00795BE0" w:rsidP="006F1659">
      <w:pPr>
        <w:pStyle w:val="Heading3"/>
        <w:spacing w:line="360" w:lineRule="auto"/>
      </w:pPr>
      <w:bookmarkStart w:id="382" w:name="_Toc92894968"/>
      <w:bookmarkStart w:id="383" w:name="_Toc92895272"/>
      <w:bookmarkStart w:id="384" w:name="_Toc109922706"/>
      <w:r w:rsidRPr="0007572B">
        <w:t>Assets</w:t>
      </w:r>
      <w:bookmarkEnd w:id="382"/>
      <w:bookmarkEnd w:id="383"/>
      <w:bookmarkEnd w:id="384"/>
    </w:p>
    <w:p w14:paraId="6C27C139"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Items of worth that are measurable in terms of value. Current assets are ones that may change in value on a day-to-day basis (i.e. inventory). Non-current assets are assets that yield benefit to the Authority and Group for a period of more than one year (i.e. Metrolink trams).</w:t>
      </w:r>
    </w:p>
    <w:p w14:paraId="4C2C90E8" w14:textId="77777777" w:rsidR="00795BE0" w:rsidRPr="0007572B" w:rsidRDefault="00795BE0" w:rsidP="006F1659">
      <w:pPr>
        <w:pStyle w:val="Heading3"/>
        <w:spacing w:line="360" w:lineRule="auto"/>
      </w:pPr>
      <w:bookmarkStart w:id="385" w:name="_Toc92894969"/>
      <w:bookmarkStart w:id="386" w:name="_Toc92895273"/>
      <w:bookmarkStart w:id="387" w:name="_Toc109922707"/>
      <w:r w:rsidRPr="0007572B">
        <w:t>Assets Held for Sale</w:t>
      </w:r>
      <w:bookmarkEnd w:id="385"/>
      <w:bookmarkEnd w:id="386"/>
      <w:bookmarkEnd w:id="387"/>
    </w:p>
    <w:p w14:paraId="64BFEF04"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 xml:space="preserve">Assets which are being actively marketed and expected to sell within the next 12 months. </w:t>
      </w:r>
    </w:p>
    <w:p w14:paraId="32416B62" w14:textId="77777777" w:rsidR="00795BE0" w:rsidRPr="0007572B" w:rsidRDefault="00795BE0" w:rsidP="006F1659">
      <w:pPr>
        <w:pStyle w:val="Heading3"/>
        <w:spacing w:line="360" w:lineRule="auto"/>
      </w:pPr>
      <w:bookmarkStart w:id="388" w:name="_Toc92894970"/>
      <w:bookmarkStart w:id="389" w:name="_Toc92895274"/>
      <w:bookmarkStart w:id="390" w:name="_Toc109922708"/>
      <w:r w:rsidRPr="0007572B">
        <w:lastRenderedPageBreak/>
        <w:t>Bad (and doubtful) debts</w:t>
      </w:r>
      <w:bookmarkEnd w:id="388"/>
      <w:bookmarkEnd w:id="389"/>
      <w:bookmarkEnd w:id="390"/>
    </w:p>
    <w:p w14:paraId="12C15CE8"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Debts/income which may be uneconomic to collect or un-enforceable.</w:t>
      </w:r>
    </w:p>
    <w:p w14:paraId="1F15DCA4" w14:textId="77777777" w:rsidR="00795BE0" w:rsidRPr="0007572B" w:rsidRDefault="00795BE0" w:rsidP="006F1659">
      <w:pPr>
        <w:pStyle w:val="Heading3"/>
        <w:spacing w:line="360" w:lineRule="auto"/>
      </w:pPr>
      <w:bookmarkStart w:id="391" w:name="_Toc92894971"/>
      <w:bookmarkStart w:id="392" w:name="_Toc92895275"/>
      <w:bookmarkStart w:id="393" w:name="_Toc109922709"/>
      <w:r w:rsidRPr="0007572B">
        <w:t>Balances</w:t>
      </w:r>
      <w:bookmarkEnd w:id="391"/>
      <w:bookmarkEnd w:id="392"/>
      <w:bookmarkEnd w:id="393"/>
    </w:p>
    <w:p w14:paraId="24BE4770"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 reserves of the Authority and Group, which include the accumulated surplus of income over expenditure.</w:t>
      </w:r>
    </w:p>
    <w:p w14:paraId="32C74E95" w14:textId="77777777" w:rsidR="00795BE0" w:rsidRPr="0007572B" w:rsidRDefault="00795BE0" w:rsidP="006F1659">
      <w:pPr>
        <w:pStyle w:val="Heading3"/>
        <w:spacing w:line="360" w:lineRule="auto"/>
      </w:pPr>
      <w:bookmarkStart w:id="394" w:name="_Toc92894972"/>
      <w:bookmarkStart w:id="395" w:name="_Toc92895276"/>
      <w:bookmarkStart w:id="396" w:name="_Toc109922710"/>
      <w:r w:rsidRPr="0007572B">
        <w:t>Balance sheet</w:t>
      </w:r>
      <w:bookmarkEnd w:id="394"/>
      <w:bookmarkEnd w:id="395"/>
      <w:bookmarkEnd w:id="396"/>
    </w:p>
    <w:p w14:paraId="231E7B21"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 statement of the recorded assets, liabilities and other balances at the end of an accounting period.</w:t>
      </w:r>
    </w:p>
    <w:p w14:paraId="63666206" w14:textId="77777777" w:rsidR="00795BE0" w:rsidRPr="0007572B" w:rsidRDefault="00795BE0" w:rsidP="006F1659">
      <w:pPr>
        <w:pStyle w:val="Heading3"/>
        <w:spacing w:line="360" w:lineRule="auto"/>
      </w:pPr>
      <w:bookmarkStart w:id="397" w:name="_Toc92894973"/>
      <w:bookmarkStart w:id="398" w:name="_Toc92895277"/>
      <w:bookmarkStart w:id="399" w:name="_Toc109922711"/>
      <w:r w:rsidRPr="0007572B">
        <w:t>Budget</w:t>
      </w:r>
      <w:bookmarkEnd w:id="397"/>
      <w:bookmarkEnd w:id="398"/>
      <w:bookmarkEnd w:id="399"/>
    </w:p>
    <w:p w14:paraId="69CB737E" w14:textId="77777777" w:rsidR="00795BE0" w:rsidRPr="0007572B" w:rsidRDefault="00795BE0" w:rsidP="006F1659">
      <w:pPr>
        <w:tabs>
          <w:tab w:val="left" w:pos="180"/>
        </w:tabs>
        <w:spacing w:after="160" w:line="360" w:lineRule="auto"/>
        <w:rPr>
          <w:rFonts w:ascii="Arial" w:eastAsiaTheme="minorHAnsi" w:hAnsi="Arial" w:cs="Arial"/>
        </w:rPr>
      </w:pPr>
      <w:r w:rsidRPr="0007572B">
        <w:rPr>
          <w:rFonts w:ascii="Arial" w:eastAsiaTheme="minorHAnsi" w:hAnsi="Arial" w:cs="Arial"/>
        </w:rPr>
        <w:t>A statement defining in financial terms the Authority's plans over a specified period. The budget is prepared as part of the process of setting the precept.</w:t>
      </w:r>
    </w:p>
    <w:p w14:paraId="3D1A9785" w14:textId="77777777" w:rsidR="00795BE0" w:rsidRPr="0007572B" w:rsidRDefault="00795BE0" w:rsidP="006F1659">
      <w:pPr>
        <w:pStyle w:val="Heading3"/>
        <w:spacing w:line="360" w:lineRule="auto"/>
      </w:pPr>
      <w:bookmarkStart w:id="400" w:name="_Toc92894974"/>
      <w:bookmarkStart w:id="401" w:name="_Toc92895278"/>
      <w:bookmarkStart w:id="402" w:name="_Toc109922712"/>
      <w:r w:rsidRPr="0007572B">
        <w:t>Capital Adjustment Account</w:t>
      </w:r>
      <w:bookmarkEnd w:id="400"/>
      <w:bookmarkEnd w:id="401"/>
      <w:bookmarkEnd w:id="402"/>
    </w:p>
    <w:p w14:paraId="40338EA0" w14:textId="77777777" w:rsidR="00795BE0" w:rsidRPr="0007572B" w:rsidRDefault="00795BE0" w:rsidP="006F1659">
      <w:pPr>
        <w:tabs>
          <w:tab w:val="left" w:pos="180"/>
        </w:tabs>
        <w:spacing w:line="360" w:lineRule="auto"/>
        <w:rPr>
          <w:rFonts w:ascii="Arial" w:hAnsi="Arial" w:cs="Arial"/>
        </w:rPr>
      </w:pPr>
      <w:r w:rsidRPr="0007572B">
        <w:rPr>
          <w:rFonts w:ascii="Arial" w:hAnsi="Arial" w:cs="Arial"/>
        </w:rPr>
        <w:t>This provides a balancing mechanism between the different rates at which assets are depreciated under the Code and are financed through the capital control system.</w:t>
      </w:r>
    </w:p>
    <w:p w14:paraId="14F36AA4" w14:textId="77777777" w:rsidR="00795BE0" w:rsidRPr="0007572B" w:rsidRDefault="00795BE0" w:rsidP="006F1659">
      <w:pPr>
        <w:pStyle w:val="Heading3"/>
        <w:spacing w:line="360" w:lineRule="auto"/>
      </w:pPr>
      <w:bookmarkStart w:id="403" w:name="_Toc92894975"/>
      <w:bookmarkStart w:id="404" w:name="_Toc92895279"/>
      <w:bookmarkStart w:id="405" w:name="_Toc109922713"/>
      <w:r w:rsidRPr="0007572B">
        <w:t>Capital Expenditure</w:t>
      </w:r>
      <w:bookmarkEnd w:id="403"/>
      <w:bookmarkEnd w:id="404"/>
      <w:bookmarkEnd w:id="405"/>
    </w:p>
    <w:p w14:paraId="594ED93D" w14:textId="04354C8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Expenditure on the acquisition or enhancement of property, plant and equipment that have a long</w:t>
      </w:r>
      <w:r w:rsidR="00F3496D">
        <w:rPr>
          <w:rFonts w:ascii="Arial" w:hAnsi="Arial" w:cs="Arial"/>
          <w:color w:val="000000"/>
        </w:rPr>
        <w:t xml:space="preserve"> </w:t>
      </w:r>
      <w:r w:rsidRPr="0007572B">
        <w:rPr>
          <w:rFonts w:ascii="Arial" w:hAnsi="Arial" w:cs="Arial"/>
          <w:color w:val="000000"/>
        </w:rPr>
        <w:t>term value to the Authority and Group. This includes grants or advances paid to third parties to assist them in acquiring or enhancing their own property, plant and equipment.</w:t>
      </w:r>
    </w:p>
    <w:p w14:paraId="40F0D3D3" w14:textId="77777777" w:rsidR="00795BE0" w:rsidRPr="0007572B" w:rsidRDefault="00795BE0" w:rsidP="006F1659">
      <w:pPr>
        <w:pStyle w:val="Heading3"/>
        <w:spacing w:line="360" w:lineRule="auto"/>
      </w:pPr>
      <w:bookmarkStart w:id="406" w:name="_Toc92894976"/>
      <w:bookmarkStart w:id="407" w:name="_Toc92895280"/>
      <w:bookmarkStart w:id="408" w:name="_Toc109922714"/>
      <w:r w:rsidRPr="0007572B">
        <w:t>Capital Financing Costs</w:t>
      </w:r>
      <w:bookmarkEnd w:id="406"/>
      <w:bookmarkEnd w:id="407"/>
      <w:bookmarkEnd w:id="408"/>
    </w:p>
    <w:p w14:paraId="71FB173F"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Each service is charged with an annual capital charge to reflect the cost of non-current assets used in the provision of services.</w:t>
      </w:r>
    </w:p>
    <w:p w14:paraId="48B7C4AC" w14:textId="77777777" w:rsidR="00795BE0" w:rsidRPr="0007572B" w:rsidRDefault="00795BE0" w:rsidP="006F1659">
      <w:pPr>
        <w:pStyle w:val="Heading3"/>
        <w:spacing w:line="360" w:lineRule="auto"/>
      </w:pPr>
      <w:bookmarkStart w:id="409" w:name="_Toc92894977"/>
      <w:bookmarkStart w:id="410" w:name="_Toc92895281"/>
      <w:bookmarkStart w:id="411" w:name="_Toc109922715"/>
      <w:r w:rsidRPr="0007572B">
        <w:t>Capital Financing Requirements</w:t>
      </w:r>
      <w:bookmarkEnd w:id="409"/>
      <w:bookmarkEnd w:id="410"/>
      <w:bookmarkEnd w:id="411"/>
    </w:p>
    <w:p w14:paraId="4D00CCD5"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This measures the underlying need to borrow to finance capital expenditure.</w:t>
      </w:r>
    </w:p>
    <w:p w14:paraId="32BED2C2" w14:textId="77777777" w:rsidR="00795BE0" w:rsidRPr="0007572B" w:rsidRDefault="00795BE0" w:rsidP="006F1659">
      <w:pPr>
        <w:pStyle w:val="Heading3"/>
        <w:spacing w:line="360" w:lineRule="auto"/>
      </w:pPr>
      <w:bookmarkStart w:id="412" w:name="_Toc92894978"/>
      <w:bookmarkStart w:id="413" w:name="_Toc92895282"/>
      <w:bookmarkStart w:id="414" w:name="_Toc109922716"/>
      <w:r w:rsidRPr="0007572B">
        <w:t>Capital Grants</w:t>
      </w:r>
      <w:bookmarkEnd w:id="412"/>
      <w:bookmarkEnd w:id="413"/>
      <w:bookmarkEnd w:id="414"/>
    </w:p>
    <w:p w14:paraId="5DA82BF9"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Grants received towards capital expenditure either generally or for a particular project.</w:t>
      </w:r>
    </w:p>
    <w:p w14:paraId="17ABE4F3" w14:textId="77777777" w:rsidR="00795BE0" w:rsidRPr="0007572B" w:rsidRDefault="00795BE0" w:rsidP="006F1659">
      <w:pPr>
        <w:pStyle w:val="Heading3"/>
        <w:spacing w:line="360" w:lineRule="auto"/>
      </w:pPr>
      <w:bookmarkStart w:id="415" w:name="_Toc92894979"/>
      <w:bookmarkStart w:id="416" w:name="_Toc92895283"/>
      <w:bookmarkStart w:id="417" w:name="_Toc109922717"/>
      <w:r w:rsidRPr="0007572B">
        <w:lastRenderedPageBreak/>
        <w:t>Capital Grants Unapplied</w:t>
      </w:r>
      <w:bookmarkEnd w:id="415"/>
      <w:bookmarkEnd w:id="416"/>
      <w:bookmarkEnd w:id="417"/>
    </w:p>
    <w:p w14:paraId="387AEA90"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Proceeds received from Government Grants, Other Grants and Contributions, which have not yet been used to finance capital expenditure.</w:t>
      </w:r>
    </w:p>
    <w:p w14:paraId="5E855733" w14:textId="77777777" w:rsidR="00795BE0" w:rsidRPr="0007572B" w:rsidRDefault="00795BE0" w:rsidP="006F1659">
      <w:pPr>
        <w:pStyle w:val="Heading3"/>
        <w:spacing w:line="360" w:lineRule="auto"/>
      </w:pPr>
      <w:bookmarkStart w:id="418" w:name="_Toc92894980"/>
      <w:bookmarkStart w:id="419" w:name="_Toc92895284"/>
      <w:bookmarkStart w:id="420" w:name="_Toc109922718"/>
      <w:r w:rsidRPr="0007572B">
        <w:t>Capital Receipts</w:t>
      </w:r>
      <w:bookmarkEnd w:id="418"/>
      <w:bookmarkEnd w:id="419"/>
      <w:bookmarkEnd w:id="420"/>
    </w:p>
    <w:p w14:paraId="3C6F24E8"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Money received from the sale of property, plant and equipment or repayment of a capital advance.</w:t>
      </w:r>
    </w:p>
    <w:p w14:paraId="0EE7A8E8" w14:textId="77777777" w:rsidR="00795BE0" w:rsidRPr="0007572B" w:rsidRDefault="00795BE0" w:rsidP="006F1659">
      <w:pPr>
        <w:pStyle w:val="Heading3"/>
        <w:spacing w:line="360" w:lineRule="auto"/>
      </w:pPr>
      <w:bookmarkStart w:id="421" w:name="_Toc92894981"/>
      <w:bookmarkStart w:id="422" w:name="_Toc92895285"/>
      <w:bookmarkStart w:id="423" w:name="_Toc109922719"/>
      <w:r w:rsidRPr="0007572B">
        <w:t>Carrying Amount</w:t>
      </w:r>
      <w:bookmarkEnd w:id="421"/>
      <w:bookmarkEnd w:id="422"/>
      <w:bookmarkEnd w:id="423"/>
    </w:p>
    <w:p w14:paraId="684790D7"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 balance sheet value recorded of an asset or a liability.</w:t>
      </w:r>
    </w:p>
    <w:p w14:paraId="1C8C69AA" w14:textId="77777777" w:rsidR="00795BE0" w:rsidRPr="0007572B" w:rsidRDefault="00795BE0" w:rsidP="006F1659">
      <w:pPr>
        <w:pStyle w:val="Heading3"/>
        <w:spacing w:line="360" w:lineRule="auto"/>
      </w:pPr>
      <w:bookmarkStart w:id="424" w:name="_Toc92894982"/>
      <w:bookmarkStart w:id="425" w:name="_Toc92895286"/>
      <w:bookmarkStart w:id="426" w:name="_Toc109922720"/>
      <w:r w:rsidRPr="0007572B">
        <w:t>Cash and Cash Equivalents</w:t>
      </w:r>
      <w:bookmarkEnd w:id="424"/>
      <w:bookmarkEnd w:id="425"/>
      <w:bookmarkEnd w:id="426"/>
    </w:p>
    <w:p w14:paraId="51BE6544" w14:textId="0FA3DE21"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This comprises cash in hand, cash overdrawn and short</w:t>
      </w:r>
      <w:r w:rsidR="00F3496D">
        <w:rPr>
          <w:rFonts w:ascii="Arial" w:hAnsi="Arial" w:cs="Arial"/>
          <w:color w:val="000000"/>
        </w:rPr>
        <w:t xml:space="preserve"> </w:t>
      </w:r>
      <w:r w:rsidRPr="0007572B">
        <w:rPr>
          <w:rFonts w:ascii="Arial" w:hAnsi="Arial" w:cs="Arial"/>
          <w:color w:val="000000"/>
        </w:rPr>
        <w:t>term investments, which are readily convertible into known amounts of cash.</w:t>
      </w:r>
    </w:p>
    <w:p w14:paraId="103FB8A0" w14:textId="77777777" w:rsidR="00795BE0" w:rsidRPr="0007572B" w:rsidRDefault="00795BE0" w:rsidP="006F1659">
      <w:pPr>
        <w:pStyle w:val="Heading3"/>
        <w:spacing w:line="360" w:lineRule="auto"/>
      </w:pPr>
      <w:bookmarkStart w:id="427" w:name="_Toc92894983"/>
      <w:bookmarkStart w:id="428" w:name="_Toc92895287"/>
      <w:bookmarkStart w:id="429" w:name="_Toc109922721"/>
      <w:r w:rsidRPr="0007572B">
        <w:t>CIPFA (The Chartered Institute of Public Finance and Accountancy)</w:t>
      </w:r>
      <w:bookmarkEnd w:id="427"/>
      <w:bookmarkEnd w:id="428"/>
      <w:bookmarkEnd w:id="429"/>
    </w:p>
    <w:p w14:paraId="779A7A35"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CIPFA is the leading professional accountancy body for public services.</w:t>
      </w:r>
    </w:p>
    <w:p w14:paraId="7C4F4A45" w14:textId="77777777" w:rsidR="00795BE0" w:rsidRPr="0007572B" w:rsidRDefault="00795BE0" w:rsidP="006F1659">
      <w:pPr>
        <w:pStyle w:val="Heading3"/>
        <w:spacing w:line="360" w:lineRule="auto"/>
      </w:pPr>
      <w:bookmarkStart w:id="430" w:name="_Toc92894984"/>
      <w:bookmarkStart w:id="431" w:name="_Toc92895288"/>
      <w:bookmarkStart w:id="432" w:name="_Toc109922722"/>
      <w:r w:rsidRPr="0007572B">
        <w:t>Consolidated</w:t>
      </w:r>
      <w:bookmarkEnd w:id="430"/>
      <w:bookmarkEnd w:id="431"/>
      <w:bookmarkEnd w:id="432"/>
    </w:p>
    <w:p w14:paraId="08E14590"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Added together with adjustments to avoid double counting of income, expenditure or to avoid exaggeration.</w:t>
      </w:r>
    </w:p>
    <w:p w14:paraId="4536489B" w14:textId="77777777" w:rsidR="00795BE0" w:rsidRPr="0007572B" w:rsidRDefault="00795BE0" w:rsidP="006F1659">
      <w:pPr>
        <w:pStyle w:val="Heading3"/>
        <w:spacing w:line="360" w:lineRule="auto"/>
      </w:pPr>
      <w:bookmarkStart w:id="433" w:name="_Toc92894985"/>
      <w:bookmarkStart w:id="434" w:name="_Toc92895289"/>
      <w:bookmarkStart w:id="435" w:name="_Toc109922723"/>
      <w:r w:rsidRPr="0007572B">
        <w:t>Contingent Assets</w:t>
      </w:r>
      <w:bookmarkEnd w:id="433"/>
      <w:bookmarkEnd w:id="434"/>
      <w:bookmarkEnd w:id="435"/>
    </w:p>
    <w:p w14:paraId="4E8C2AFD" w14:textId="72BE4222"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 xml:space="preserve">Sums due from individuals or organisations that may arise in the </w:t>
      </w:r>
      <w:r w:rsidR="000B7231" w:rsidRPr="0007572B">
        <w:rPr>
          <w:rFonts w:ascii="Arial" w:hAnsi="Arial" w:cs="Arial"/>
          <w:color w:val="000000"/>
        </w:rPr>
        <w:t>future,</w:t>
      </w:r>
      <w:r w:rsidRPr="0007572B">
        <w:rPr>
          <w:rFonts w:ascii="Arial" w:hAnsi="Arial" w:cs="Arial"/>
          <w:color w:val="000000"/>
        </w:rPr>
        <w:t xml:space="preserve"> but which cannot be determined in advance.</w:t>
      </w:r>
    </w:p>
    <w:p w14:paraId="725A0D17" w14:textId="77777777" w:rsidR="00795BE0" w:rsidRPr="0007572B" w:rsidRDefault="00795BE0" w:rsidP="006F1659">
      <w:pPr>
        <w:pStyle w:val="Heading3"/>
        <w:spacing w:line="360" w:lineRule="auto"/>
      </w:pPr>
      <w:bookmarkStart w:id="436" w:name="_Toc92894986"/>
      <w:bookmarkStart w:id="437" w:name="_Toc92895290"/>
      <w:bookmarkStart w:id="438" w:name="_Toc109922724"/>
      <w:r w:rsidRPr="0007572B">
        <w:t>Contingent Liabilities</w:t>
      </w:r>
      <w:bookmarkEnd w:id="436"/>
      <w:bookmarkEnd w:id="437"/>
      <w:bookmarkEnd w:id="438"/>
    </w:p>
    <w:p w14:paraId="03B51BC0" w14:textId="0A160C2B"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 xml:space="preserve">Sums due to individuals or organisations that may arise in the </w:t>
      </w:r>
      <w:r w:rsidR="000B7231" w:rsidRPr="0007572B">
        <w:rPr>
          <w:rFonts w:ascii="Arial" w:hAnsi="Arial" w:cs="Arial"/>
          <w:color w:val="000000"/>
        </w:rPr>
        <w:t>future,</w:t>
      </w:r>
      <w:r w:rsidRPr="0007572B">
        <w:rPr>
          <w:rFonts w:ascii="Arial" w:hAnsi="Arial" w:cs="Arial"/>
          <w:color w:val="000000"/>
        </w:rPr>
        <w:t xml:space="preserve"> but which cannot be determined in advance.</w:t>
      </w:r>
    </w:p>
    <w:p w14:paraId="55F659E8" w14:textId="77777777" w:rsidR="00795BE0" w:rsidRPr="0007572B" w:rsidRDefault="00795BE0" w:rsidP="006F1659">
      <w:pPr>
        <w:pStyle w:val="Heading3"/>
        <w:spacing w:line="360" w:lineRule="auto"/>
      </w:pPr>
      <w:bookmarkStart w:id="439" w:name="_Toc92894987"/>
      <w:bookmarkStart w:id="440" w:name="_Toc92895291"/>
      <w:bookmarkStart w:id="441" w:name="_Toc109922725"/>
      <w:r w:rsidRPr="0007572B">
        <w:t>Creditors</w:t>
      </w:r>
      <w:bookmarkEnd w:id="439"/>
      <w:bookmarkEnd w:id="440"/>
      <w:bookmarkEnd w:id="441"/>
    </w:p>
    <w:p w14:paraId="66E40C38"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Amounts owed by the Authority and Group for goods and services provided by the balance sheet date, where payment has not been made at that date.</w:t>
      </w:r>
    </w:p>
    <w:p w14:paraId="55B5B29C" w14:textId="77777777" w:rsidR="00795BE0" w:rsidRPr="0007572B" w:rsidRDefault="00795BE0" w:rsidP="006F1659">
      <w:pPr>
        <w:pStyle w:val="Heading3"/>
        <w:spacing w:line="360" w:lineRule="auto"/>
      </w:pPr>
      <w:bookmarkStart w:id="442" w:name="_Toc92894988"/>
      <w:bookmarkStart w:id="443" w:name="_Toc92895292"/>
      <w:bookmarkStart w:id="444" w:name="_Toc109922726"/>
      <w:r w:rsidRPr="0007572B">
        <w:lastRenderedPageBreak/>
        <w:t>Current Assets</w:t>
      </w:r>
      <w:bookmarkEnd w:id="442"/>
      <w:bookmarkEnd w:id="443"/>
      <w:bookmarkEnd w:id="444"/>
    </w:p>
    <w:p w14:paraId="3691E496"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An asset where the value changes because the volume held varies from day to day, for example, stock. It is reasonable to expect that these assets will either be consumed or realised during the next accounting period.</w:t>
      </w:r>
    </w:p>
    <w:p w14:paraId="15FB2723" w14:textId="77777777" w:rsidR="00795BE0" w:rsidRPr="0007572B" w:rsidRDefault="00795BE0" w:rsidP="006F1659">
      <w:pPr>
        <w:pStyle w:val="Heading3"/>
        <w:spacing w:line="360" w:lineRule="auto"/>
      </w:pPr>
      <w:bookmarkStart w:id="445" w:name="_Toc92894989"/>
      <w:bookmarkStart w:id="446" w:name="_Toc92895293"/>
      <w:bookmarkStart w:id="447" w:name="_Toc109922727"/>
      <w:r w:rsidRPr="0007572B">
        <w:t>Current Liabilities</w:t>
      </w:r>
      <w:bookmarkEnd w:id="445"/>
      <w:bookmarkEnd w:id="446"/>
      <w:bookmarkEnd w:id="447"/>
    </w:p>
    <w:p w14:paraId="5F19189E"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An amount which will become payable or could be called in within the next accounting period.</w:t>
      </w:r>
    </w:p>
    <w:p w14:paraId="60D25A5C" w14:textId="77777777" w:rsidR="00795BE0" w:rsidRPr="0007572B" w:rsidRDefault="00795BE0" w:rsidP="006F1659">
      <w:pPr>
        <w:pStyle w:val="Heading3"/>
        <w:spacing w:line="360" w:lineRule="auto"/>
      </w:pPr>
      <w:bookmarkStart w:id="448" w:name="_Toc92894990"/>
      <w:bookmarkStart w:id="449" w:name="_Toc92895294"/>
      <w:bookmarkStart w:id="450" w:name="_Toc109922728"/>
      <w:r w:rsidRPr="0007572B">
        <w:t>Current Service Cost</w:t>
      </w:r>
      <w:bookmarkEnd w:id="448"/>
      <w:bookmarkEnd w:id="449"/>
      <w:bookmarkEnd w:id="450"/>
      <w:r w:rsidRPr="0007572B">
        <w:t xml:space="preserve"> </w:t>
      </w:r>
    </w:p>
    <w:p w14:paraId="00E16A05"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The increase in present value of a defined benefit pension scheme’s liabilities expected to arise from employee service in the current financial year.</w:t>
      </w:r>
    </w:p>
    <w:p w14:paraId="62ACF930" w14:textId="77777777" w:rsidR="00795BE0" w:rsidRPr="0007572B" w:rsidRDefault="00795BE0" w:rsidP="006F1659">
      <w:pPr>
        <w:pStyle w:val="Heading3"/>
        <w:spacing w:line="360" w:lineRule="auto"/>
      </w:pPr>
      <w:bookmarkStart w:id="451" w:name="_Toc92894991"/>
      <w:bookmarkStart w:id="452" w:name="_Toc92895295"/>
      <w:bookmarkStart w:id="453" w:name="_Toc109922729"/>
      <w:r w:rsidRPr="0007572B">
        <w:t>Curtailments</w:t>
      </w:r>
      <w:bookmarkEnd w:id="451"/>
      <w:bookmarkEnd w:id="452"/>
      <w:bookmarkEnd w:id="453"/>
    </w:p>
    <w:p w14:paraId="20E08932"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For a defined benefit pension scheme, an event that reduces the expected years of future service of present employees or reduces the accrual of defined benefits for a number of employees for some or all of their future service.</w:t>
      </w:r>
    </w:p>
    <w:p w14:paraId="60FC118A" w14:textId="77777777" w:rsidR="00795BE0" w:rsidRPr="0007572B" w:rsidRDefault="00795BE0" w:rsidP="006F1659">
      <w:pPr>
        <w:pStyle w:val="Heading3"/>
        <w:spacing w:line="360" w:lineRule="auto"/>
      </w:pPr>
      <w:bookmarkStart w:id="454" w:name="_Toc92894992"/>
      <w:bookmarkStart w:id="455" w:name="_Toc92895296"/>
      <w:bookmarkStart w:id="456" w:name="_Toc109922730"/>
      <w:r w:rsidRPr="0007572B">
        <w:t>Debtors</w:t>
      </w:r>
      <w:bookmarkEnd w:id="454"/>
      <w:bookmarkEnd w:id="455"/>
      <w:bookmarkEnd w:id="456"/>
    </w:p>
    <w:p w14:paraId="4139B4D2"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Sums of money owed to the Authority and Group at the balance sheet date but not received at that date.</w:t>
      </w:r>
    </w:p>
    <w:p w14:paraId="5DDAC663" w14:textId="77777777" w:rsidR="00795BE0" w:rsidRPr="0007572B" w:rsidRDefault="00795BE0" w:rsidP="006F1659">
      <w:pPr>
        <w:pStyle w:val="Heading3"/>
        <w:spacing w:line="360" w:lineRule="auto"/>
      </w:pPr>
      <w:bookmarkStart w:id="457" w:name="_Toc92894993"/>
      <w:bookmarkStart w:id="458" w:name="_Toc92895297"/>
      <w:bookmarkStart w:id="459" w:name="_Toc109922731"/>
      <w:r w:rsidRPr="0007572B">
        <w:t>Deferred Capital Receipts</w:t>
      </w:r>
      <w:bookmarkEnd w:id="457"/>
      <w:bookmarkEnd w:id="458"/>
      <w:bookmarkEnd w:id="459"/>
    </w:p>
    <w:p w14:paraId="2CF9A599"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Amounts derived from asset sales, which will be received in instalments over a period of years.</w:t>
      </w:r>
    </w:p>
    <w:p w14:paraId="0052AC10" w14:textId="77777777" w:rsidR="00795BE0" w:rsidRPr="0007572B" w:rsidRDefault="00795BE0" w:rsidP="006F1659">
      <w:pPr>
        <w:pStyle w:val="Heading3"/>
        <w:spacing w:line="360" w:lineRule="auto"/>
      </w:pPr>
      <w:bookmarkStart w:id="460" w:name="_Toc92894994"/>
      <w:bookmarkStart w:id="461" w:name="_Toc92895298"/>
      <w:bookmarkStart w:id="462" w:name="_Toc109922732"/>
      <w:r w:rsidRPr="0007572B">
        <w:t>Defined Benefit Pension Scheme</w:t>
      </w:r>
      <w:bookmarkEnd w:id="460"/>
      <w:bookmarkEnd w:id="461"/>
      <w:bookmarkEnd w:id="462"/>
    </w:p>
    <w:p w14:paraId="7E9F8E3E"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A pension or other retirement benefit scheme other than a defined contribution scheme. Usually, the scheme rules define the benefits independently of the contributions payable, and the benefits are not directly related to the investments of the scheme. The scheme may be funded or unfunded.</w:t>
      </w:r>
    </w:p>
    <w:p w14:paraId="4A20D5B6" w14:textId="77777777" w:rsidR="00795BE0" w:rsidRPr="0007572B" w:rsidRDefault="00795BE0" w:rsidP="006F1659">
      <w:pPr>
        <w:pStyle w:val="Heading3"/>
        <w:spacing w:line="360" w:lineRule="auto"/>
      </w:pPr>
      <w:bookmarkStart w:id="463" w:name="_Toc92894995"/>
      <w:bookmarkStart w:id="464" w:name="_Toc92895299"/>
      <w:bookmarkStart w:id="465" w:name="_Toc109922733"/>
      <w:r w:rsidRPr="0007572B">
        <w:t>Defined Benefit Contribution Scheme</w:t>
      </w:r>
      <w:bookmarkEnd w:id="463"/>
      <w:bookmarkEnd w:id="464"/>
      <w:bookmarkEnd w:id="465"/>
    </w:p>
    <w:p w14:paraId="68B392A3"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 xml:space="preserve">A pension or other retirement benefit scheme into which an employer pays regular contributions fixed as an amount or percentage of pay and will have no legal or constructive obligation to pay further contributions if the scheme does not have </w:t>
      </w:r>
      <w:r w:rsidRPr="0007572B">
        <w:rPr>
          <w:rFonts w:ascii="Arial" w:hAnsi="Arial" w:cs="Arial"/>
          <w:bCs/>
          <w:color w:val="000000"/>
        </w:rPr>
        <w:lastRenderedPageBreak/>
        <w:t>sufficient assets to pay all employee benefits relating to employee service in the current and prior periods.</w:t>
      </w:r>
    </w:p>
    <w:p w14:paraId="4C0D6A28" w14:textId="77777777" w:rsidR="00795BE0" w:rsidRPr="0007572B" w:rsidRDefault="00795BE0" w:rsidP="006F1659">
      <w:pPr>
        <w:pStyle w:val="Heading3"/>
        <w:spacing w:line="360" w:lineRule="auto"/>
      </w:pPr>
      <w:bookmarkStart w:id="466" w:name="_Toc92894996"/>
      <w:bookmarkStart w:id="467" w:name="_Toc92895300"/>
      <w:bookmarkStart w:id="468" w:name="_Toc109922734"/>
      <w:r w:rsidRPr="0007572B">
        <w:t>Depreciation</w:t>
      </w:r>
      <w:bookmarkEnd w:id="466"/>
      <w:bookmarkEnd w:id="467"/>
      <w:bookmarkEnd w:id="468"/>
    </w:p>
    <w:p w14:paraId="39AE4C6F"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 measure of the wearing out, consumption or other reduction in the useful economic life of property, plant and equipment.</w:t>
      </w:r>
    </w:p>
    <w:p w14:paraId="6EB7183C" w14:textId="77777777" w:rsidR="00795BE0" w:rsidRPr="0007572B" w:rsidRDefault="00795BE0" w:rsidP="006F1659">
      <w:pPr>
        <w:pStyle w:val="Heading3"/>
        <w:spacing w:line="360" w:lineRule="auto"/>
      </w:pPr>
      <w:bookmarkStart w:id="469" w:name="_Toc92894997"/>
      <w:bookmarkStart w:id="470" w:name="_Toc92895301"/>
      <w:bookmarkStart w:id="471" w:name="_Toc109922735"/>
      <w:r w:rsidRPr="0007572B">
        <w:t>Remeasurement of the Net Defined Benefit Liability</w:t>
      </w:r>
      <w:bookmarkEnd w:id="469"/>
      <w:bookmarkEnd w:id="470"/>
      <w:bookmarkEnd w:id="471"/>
    </w:p>
    <w:p w14:paraId="0129B4CE" w14:textId="77777777" w:rsidR="00795BE0" w:rsidRPr="0007572B" w:rsidRDefault="00795BE0" w:rsidP="006F1659">
      <w:pPr>
        <w:spacing w:line="360" w:lineRule="auto"/>
        <w:rPr>
          <w:rFonts w:ascii="Arial" w:hAnsi="Arial" w:cs="Arial"/>
          <w:color w:val="000000"/>
        </w:rPr>
      </w:pPr>
      <w:r w:rsidRPr="0007572B">
        <w:rPr>
          <w:rFonts w:ascii="Arial" w:hAnsi="Arial" w:cs="Arial"/>
          <w:color w:val="000000"/>
        </w:rPr>
        <w:t>Remeasurement of the Net Defined Benefit Liability (asset) comprises:</w:t>
      </w:r>
    </w:p>
    <w:p w14:paraId="3809F1D1" w14:textId="77777777" w:rsidR="00795BE0" w:rsidRPr="0007572B" w:rsidRDefault="00795BE0" w:rsidP="006F1659">
      <w:pPr>
        <w:spacing w:line="360" w:lineRule="auto"/>
        <w:rPr>
          <w:rFonts w:ascii="Arial" w:hAnsi="Arial" w:cs="Arial"/>
          <w:color w:val="000000"/>
        </w:rPr>
      </w:pPr>
      <w:r w:rsidRPr="0007572B">
        <w:rPr>
          <w:rFonts w:ascii="Arial" w:hAnsi="Arial" w:cs="Arial"/>
          <w:color w:val="000000"/>
        </w:rPr>
        <w:t>a) actuarial gains and losses</w:t>
      </w:r>
    </w:p>
    <w:p w14:paraId="708EB47E" w14:textId="77777777" w:rsidR="00795BE0" w:rsidRPr="0007572B" w:rsidRDefault="00795BE0" w:rsidP="006F1659">
      <w:pPr>
        <w:spacing w:line="360" w:lineRule="auto"/>
        <w:rPr>
          <w:rFonts w:ascii="Arial" w:hAnsi="Arial" w:cs="Arial"/>
          <w:color w:val="000000"/>
        </w:rPr>
      </w:pPr>
      <w:r w:rsidRPr="0007572B">
        <w:rPr>
          <w:rFonts w:ascii="Arial" w:hAnsi="Arial" w:cs="Arial"/>
          <w:color w:val="000000"/>
        </w:rPr>
        <w:t>b) the return on plan assets, excluding amounts included in net interest on the net defined benefit liability (asset), and</w:t>
      </w:r>
    </w:p>
    <w:p w14:paraId="2DAF3BB6" w14:textId="77777777" w:rsidR="00795BE0" w:rsidRPr="0007572B" w:rsidRDefault="00795BE0" w:rsidP="006F1659">
      <w:pPr>
        <w:spacing w:line="360" w:lineRule="auto"/>
        <w:rPr>
          <w:rFonts w:ascii="Arial" w:hAnsi="Arial" w:cs="Arial"/>
          <w:color w:val="000000"/>
        </w:rPr>
      </w:pPr>
      <w:r w:rsidRPr="0007572B">
        <w:rPr>
          <w:rFonts w:ascii="Arial" w:hAnsi="Arial" w:cs="Arial"/>
          <w:color w:val="000000"/>
        </w:rPr>
        <w:t>c) any change in the effect of the asset ceiling, excluding amounts included in net interest on the net defined benefit liability (asset).</w:t>
      </w:r>
    </w:p>
    <w:p w14:paraId="36928B5C" w14:textId="77777777" w:rsidR="00795BE0" w:rsidRPr="0007572B" w:rsidRDefault="00795BE0" w:rsidP="006F1659">
      <w:pPr>
        <w:pStyle w:val="Heading3"/>
        <w:spacing w:line="360" w:lineRule="auto"/>
      </w:pPr>
      <w:bookmarkStart w:id="472" w:name="_Toc92894998"/>
      <w:bookmarkStart w:id="473" w:name="_Toc92895302"/>
      <w:bookmarkStart w:id="474" w:name="_Toc109922736"/>
      <w:r w:rsidRPr="0007572B">
        <w:t>Expenditure</w:t>
      </w:r>
      <w:bookmarkEnd w:id="472"/>
      <w:bookmarkEnd w:id="473"/>
      <w:bookmarkEnd w:id="474"/>
    </w:p>
    <w:p w14:paraId="2EF924E2"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Amounts paid by the Authority and Group for goods received or services rendered of either a capital or revenue nature. This does not necessarily involve a cash payment - expenditure is deemed to have been incurred once the goods or services have been received even if they have not been paid for.</w:t>
      </w:r>
    </w:p>
    <w:p w14:paraId="2708D17D" w14:textId="77777777" w:rsidR="00795BE0" w:rsidRPr="0007572B" w:rsidRDefault="00795BE0" w:rsidP="006F1659">
      <w:pPr>
        <w:pStyle w:val="Heading3"/>
        <w:spacing w:line="360" w:lineRule="auto"/>
      </w:pPr>
      <w:bookmarkStart w:id="475" w:name="_Toc92894999"/>
      <w:bookmarkStart w:id="476" w:name="_Toc92895303"/>
      <w:bookmarkStart w:id="477" w:name="_Toc109922737"/>
      <w:r w:rsidRPr="0007572B">
        <w:t>External Audit</w:t>
      </w:r>
      <w:bookmarkEnd w:id="475"/>
      <w:bookmarkEnd w:id="476"/>
      <w:bookmarkEnd w:id="477"/>
    </w:p>
    <w:p w14:paraId="185964A8"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 independent examination of the activities and accounts of local authorities to ensure the accounts have been prepared in accordance with legislative requirements and proper practices and to ensure the Authority has made proper arrangements to secure value for money in its use of resources.</w:t>
      </w:r>
    </w:p>
    <w:p w14:paraId="38773602" w14:textId="77777777" w:rsidR="00795BE0" w:rsidRPr="0007572B" w:rsidRDefault="00795BE0" w:rsidP="006F1659">
      <w:pPr>
        <w:pStyle w:val="Heading3"/>
        <w:spacing w:line="360" w:lineRule="auto"/>
      </w:pPr>
      <w:bookmarkStart w:id="478" w:name="_Toc92895000"/>
      <w:bookmarkStart w:id="479" w:name="_Toc92895304"/>
      <w:bookmarkStart w:id="480" w:name="_Toc109922738"/>
      <w:r w:rsidRPr="0007572B">
        <w:t>Fair Value</w:t>
      </w:r>
      <w:bookmarkEnd w:id="478"/>
      <w:bookmarkEnd w:id="479"/>
      <w:bookmarkEnd w:id="480"/>
    </w:p>
    <w:p w14:paraId="505FAE50"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The fair value of an asset is the price at which it could be exchanged in an arm’s length transaction.</w:t>
      </w:r>
    </w:p>
    <w:p w14:paraId="01AF06C3" w14:textId="77777777" w:rsidR="00795BE0" w:rsidRPr="0007572B" w:rsidRDefault="00795BE0" w:rsidP="006F1659">
      <w:pPr>
        <w:pStyle w:val="Heading3"/>
        <w:spacing w:line="360" w:lineRule="auto"/>
      </w:pPr>
      <w:bookmarkStart w:id="481" w:name="_Toc92895001"/>
      <w:bookmarkStart w:id="482" w:name="_Toc92895305"/>
      <w:bookmarkStart w:id="483" w:name="_Toc109922739"/>
      <w:r w:rsidRPr="0007572B">
        <w:t>Fees and Charges</w:t>
      </w:r>
      <w:bookmarkEnd w:id="481"/>
      <w:bookmarkEnd w:id="482"/>
      <w:bookmarkEnd w:id="483"/>
    </w:p>
    <w:p w14:paraId="32A31632"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Income arising from the provision of services, e.g. the use of premises.</w:t>
      </w:r>
    </w:p>
    <w:p w14:paraId="35974E37" w14:textId="77777777" w:rsidR="00795BE0" w:rsidRPr="0007572B" w:rsidRDefault="00795BE0" w:rsidP="006F1659">
      <w:pPr>
        <w:pStyle w:val="Heading3"/>
        <w:spacing w:line="360" w:lineRule="auto"/>
      </w:pPr>
      <w:bookmarkStart w:id="484" w:name="_Toc92895002"/>
      <w:bookmarkStart w:id="485" w:name="_Toc92895306"/>
      <w:bookmarkStart w:id="486" w:name="_Toc109922740"/>
      <w:r w:rsidRPr="0007572B">
        <w:t>Finance Lease</w:t>
      </w:r>
      <w:bookmarkEnd w:id="484"/>
      <w:bookmarkEnd w:id="485"/>
      <w:bookmarkEnd w:id="486"/>
    </w:p>
    <w:p w14:paraId="08A05A7E"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 xml:space="preserve">A finance lease is one that transfers substantially all the risks and rewards of ownership of items of property, plant and equipment to a lessee. </w:t>
      </w:r>
    </w:p>
    <w:p w14:paraId="0ABC4455" w14:textId="77777777" w:rsidR="00795BE0" w:rsidRPr="0007572B" w:rsidRDefault="00795BE0" w:rsidP="006F1659">
      <w:pPr>
        <w:pStyle w:val="Heading3"/>
        <w:spacing w:line="360" w:lineRule="auto"/>
      </w:pPr>
      <w:bookmarkStart w:id="487" w:name="_Toc92895003"/>
      <w:bookmarkStart w:id="488" w:name="_Toc92895307"/>
      <w:bookmarkStart w:id="489" w:name="_Toc109922741"/>
      <w:r w:rsidRPr="0007572B">
        <w:lastRenderedPageBreak/>
        <w:t>Financial Instruments</w:t>
      </w:r>
      <w:bookmarkEnd w:id="487"/>
      <w:bookmarkEnd w:id="488"/>
      <w:bookmarkEnd w:id="489"/>
    </w:p>
    <w:p w14:paraId="739618F6"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This is any contract that gives rise to a financial asset of one entity and a financial liability or equity of another. The term covers both financial assets (e.g. loans receivable) and financial liabilities (e.g. borrowings).</w:t>
      </w:r>
    </w:p>
    <w:p w14:paraId="60489C63" w14:textId="77777777" w:rsidR="00795BE0" w:rsidRPr="0007572B" w:rsidRDefault="00795BE0" w:rsidP="006F1659">
      <w:pPr>
        <w:pStyle w:val="Heading3"/>
        <w:spacing w:line="360" w:lineRule="auto"/>
      </w:pPr>
      <w:bookmarkStart w:id="490" w:name="_Toc92895004"/>
      <w:bookmarkStart w:id="491" w:name="_Toc92895308"/>
      <w:bookmarkStart w:id="492" w:name="_Toc109922742"/>
      <w:r w:rsidRPr="0007572B">
        <w:t>Historical Cost</w:t>
      </w:r>
      <w:bookmarkEnd w:id="490"/>
      <w:bookmarkEnd w:id="491"/>
      <w:bookmarkEnd w:id="492"/>
    </w:p>
    <w:p w14:paraId="5CA46817"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The actual cost of assets, goods or services, at the time of their acquisition.</w:t>
      </w:r>
    </w:p>
    <w:p w14:paraId="2A3A2A4D" w14:textId="77777777" w:rsidR="00795BE0" w:rsidRPr="0007572B" w:rsidRDefault="00795BE0" w:rsidP="006F1659">
      <w:pPr>
        <w:pStyle w:val="Heading3"/>
        <w:spacing w:line="360" w:lineRule="auto"/>
      </w:pPr>
      <w:bookmarkStart w:id="493" w:name="_Toc92895005"/>
      <w:bookmarkStart w:id="494" w:name="_Toc92895309"/>
      <w:bookmarkStart w:id="495" w:name="_Toc109922743"/>
      <w:r w:rsidRPr="0007572B">
        <w:t>Impairment</w:t>
      </w:r>
      <w:bookmarkEnd w:id="493"/>
      <w:bookmarkEnd w:id="494"/>
      <w:bookmarkEnd w:id="495"/>
    </w:p>
    <w:p w14:paraId="14758DB0"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 reduction in the value of a property, plant and equipment below its carrying amount in the balance sheet.</w:t>
      </w:r>
    </w:p>
    <w:p w14:paraId="7CC957E0" w14:textId="77777777" w:rsidR="00795BE0" w:rsidRPr="0007572B" w:rsidRDefault="00795BE0" w:rsidP="006F1659">
      <w:pPr>
        <w:pStyle w:val="Heading3"/>
        <w:spacing w:line="360" w:lineRule="auto"/>
      </w:pPr>
      <w:bookmarkStart w:id="496" w:name="_Toc92895006"/>
      <w:bookmarkStart w:id="497" w:name="_Toc92895310"/>
      <w:bookmarkStart w:id="498" w:name="_Toc109922744"/>
      <w:r w:rsidRPr="0007572B">
        <w:t>Income</w:t>
      </w:r>
      <w:bookmarkEnd w:id="496"/>
      <w:bookmarkEnd w:id="497"/>
      <w:bookmarkEnd w:id="498"/>
    </w:p>
    <w:p w14:paraId="533D1C64"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Amounts due to the Authority and Group for goods supplied or services rendered of either a capital or revenue nature. This does not necessarily involve cash being received - income is deemed to have been earned once the goods or services have been supplied even if the cash has not been received.</w:t>
      </w:r>
    </w:p>
    <w:p w14:paraId="6A771772" w14:textId="77777777" w:rsidR="00795BE0" w:rsidRPr="0007572B" w:rsidRDefault="00795BE0" w:rsidP="006F1659">
      <w:pPr>
        <w:pStyle w:val="Heading3"/>
        <w:spacing w:line="360" w:lineRule="auto"/>
      </w:pPr>
      <w:bookmarkStart w:id="499" w:name="_Toc92895007"/>
      <w:bookmarkStart w:id="500" w:name="_Toc92895311"/>
      <w:bookmarkStart w:id="501" w:name="_Toc109922745"/>
      <w:r w:rsidRPr="0007572B">
        <w:t>Infrastructure Assets</w:t>
      </w:r>
      <w:bookmarkEnd w:id="499"/>
      <w:bookmarkEnd w:id="500"/>
      <w:bookmarkEnd w:id="501"/>
      <w:r w:rsidRPr="0007572B">
        <w:t xml:space="preserve"> </w:t>
      </w:r>
    </w:p>
    <w:p w14:paraId="75CB5890"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These are inalienable assets, expenditure on which is recoverable only by continued use of the asset created. Examples of such assets are traffic signals.</w:t>
      </w:r>
    </w:p>
    <w:p w14:paraId="15117896" w14:textId="77777777" w:rsidR="00795BE0" w:rsidRPr="0007572B" w:rsidRDefault="00795BE0" w:rsidP="006F1659">
      <w:pPr>
        <w:pStyle w:val="Heading3"/>
        <w:spacing w:line="360" w:lineRule="auto"/>
      </w:pPr>
      <w:bookmarkStart w:id="502" w:name="_Toc92895008"/>
      <w:bookmarkStart w:id="503" w:name="_Toc92895312"/>
      <w:bookmarkStart w:id="504" w:name="_Toc109922746"/>
      <w:r w:rsidRPr="0007572B">
        <w:t>Intangible Assets</w:t>
      </w:r>
      <w:bookmarkEnd w:id="502"/>
      <w:bookmarkEnd w:id="503"/>
      <w:bookmarkEnd w:id="504"/>
    </w:p>
    <w:p w14:paraId="5A4BD819"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These are assets that have no physical substance, for example, the purchase of computer software licences.</w:t>
      </w:r>
    </w:p>
    <w:p w14:paraId="2AAE2D78" w14:textId="77777777" w:rsidR="00795BE0" w:rsidRPr="0007572B" w:rsidRDefault="00795BE0" w:rsidP="006F1659">
      <w:pPr>
        <w:pStyle w:val="Heading3"/>
        <w:spacing w:line="360" w:lineRule="auto"/>
      </w:pPr>
      <w:bookmarkStart w:id="505" w:name="_Toc92895009"/>
      <w:bookmarkStart w:id="506" w:name="_Toc92895313"/>
      <w:bookmarkStart w:id="507" w:name="_Toc109922747"/>
      <w:r w:rsidRPr="0007572B">
        <w:t>Interest Cost (Pensions)</w:t>
      </w:r>
      <w:bookmarkEnd w:id="505"/>
      <w:bookmarkEnd w:id="506"/>
      <w:bookmarkEnd w:id="507"/>
    </w:p>
    <w:p w14:paraId="77132E21"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For a defined benefit scheme, the expected increase during the period in the present value of the scheme liabilities because the benefits are one period closer to settlement.</w:t>
      </w:r>
    </w:p>
    <w:p w14:paraId="35DDAA84" w14:textId="77777777" w:rsidR="00795BE0" w:rsidRPr="0007572B" w:rsidRDefault="00795BE0" w:rsidP="006F1659">
      <w:pPr>
        <w:pStyle w:val="Heading3"/>
        <w:spacing w:line="360" w:lineRule="auto"/>
      </w:pPr>
      <w:bookmarkStart w:id="508" w:name="_Toc92895010"/>
      <w:bookmarkStart w:id="509" w:name="_Toc92895314"/>
      <w:bookmarkStart w:id="510" w:name="_Toc109922748"/>
      <w:r w:rsidRPr="0007572B">
        <w:t>International Financial Reporting Standards (IFRS)</w:t>
      </w:r>
      <w:bookmarkEnd w:id="508"/>
      <w:bookmarkEnd w:id="509"/>
      <w:bookmarkEnd w:id="510"/>
    </w:p>
    <w:p w14:paraId="13E34D9E"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These are statements prepared by the International Accounting Standards Board to ensure consistency in accountancy matters. Many of these standards now apply to local authorities and any departure from these must be disclosed in the published accounts.</w:t>
      </w:r>
    </w:p>
    <w:p w14:paraId="12255AB4" w14:textId="77777777" w:rsidR="00795BE0" w:rsidRPr="0007572B" w:rsidRDefault="00795BE0" w:rsidP="006F1659">
      <w:pPr>
        <w:pStyle w:val="Heading3"/>
        <w:spacing w:line="360" w:lineRule="auto"/>
      </w:pPr>
      <w:bookmarkStart w:id="511" w:name="_Toc92895011"/>
      <w:bookmarkStart w:id="512" w:name="_Toc92895315"/>
      <w:bookmarkStart w:id="513" w:name="_Toc109922749"/>
      <w:r w:rsidRPr="0007572B">
        <w:lastRenderedPageBreak/>
        <w:t>Inventory</w:t>
      </w:r>
      <w:bookmarkEnd w:id="511"/>
      <w:bookmarkEnd w:id="512"/>
      <w:bookmarkEnd w:id="513"/>
    </w:p>
    <w:p w14:paraId="3E1556A0"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Raw materials and consumable items the Authority’s Group has purchased to use on a continuing basis and has not used by the end of the financial year.</w:t>
      </w:r>
    </w:p>
    <w:p w14:paraId="53A90A8C" w14:textId="77777777" w:rsidR="00795BE0" w:rsidRPr="0007572B" w:rsidRDefault="00795BE0" w:rsidP="006F1659">
      <w:pPr>
        <w:pStyle w:val="Heading3"/>
        <w:spacing w:line="360" w:lineRule="auto"/>
      </w:pPr>
      <w:bookmarkStart w:id="514" w:name="_Toc92895012"/>
      <w:bookmarkStart w:id="515" w:name="_Toc92895316"/>
      <w:bookmarkStart w:id="516" w:name="_Toc109922750"/>
      <w:r w:rsidRPr="0007572B">
        <w:t>Investment Properties</w:t>
      </w:r>
      <w:bookmarkEnd w:id="514"/>
      <w:bookmarkEnd w:id="515"/>
      <w:bookmarkEnd w:id="516"/>
    </w:p>
    <w:p w14:paraId="17066F35"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These are property or land that is held solely to earn rentals or for capital appreciation or both.</w:t>
      </w:r>
    </w:p>
    <w:p w14:paraId="6CE50FA1" w14:textId="77777777" w:rsidR="00795BE0" w:rsidRPr="0007572B" w:rsidRDefault="00795BE0" w:rsidP="006F1659">
      <w:pPr>
        <w:pStyle w:val="Heading3"/>
        <w:spacing w:line="360" w:lineRule="auto"/>
      </w:pPr>
      <w:bookmarkStart w:id="517" w:name="_Toc92895013"/>
      <w:bookmarkStart w:id="518" w:name="_Toc92895317"/>
      <w:bookmarkStart w:id="519" w:name="_Toc109922751"/>
      <w:r w:rsidRPr="0007572B">
        <w:t>Investments</w:t>
      </w:r>
      <w:bookmarkEnd w:id="517"/>
      <w:bookmarkEnd w:id="518"/>
      <w:bookmarkEnd w:id="519"/>
    </w:p>
    <w:p w14:paraId="2A95895A"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Items such as company shares, other securities and money deposited with financial institutions (other than bank current accounts).</w:t>
      </w:r>
    </w:p>
    <w:p w14:paraId="45C310E5" w14:textId="77777777" w:rsidR="00795BE0" w:rsidRPr="0007572B" w:rsidRDefault="00795BE0" w:rsidP="006F1659">
      <w:pPr>
        <w:pStyle w:val="Heading3"/>
        <w:spacing w:line="360" w:lineRule="auto"/>
      </w:pPr>
      <w:bookmarkStart w:id="520" w:name="_Toc92895014"/>
      <w:bookmarkStart w:id="521" w:name="_Toc92895318"/>
      <w:bookmarkStart w:id="522" w:name="_Toc109922752"/>
      <w:r w:rsidRPr="0007572B">
        <w:t>Liabilities</w:t>
      </w:r>
      <w:bookmarkEnd w:id="520"/>
      <w:bookmarkEnd w:id="521"/>
      <w:bookmarkEnd w:id="522"/>
    </w:p>
    <w:p w14:paraId="676BFACE"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Amounts due to individuals or organisations that will have to be paid at some time in the future. Current liabilities are usually payable within one year of the balance sheet date.</w:t>
      </w:r>
    </w:p>
    <w:p w14:paraId="348193F8" w14:textId="3282B775" w:rsidR="00795BE0" w:rsidRPr="0007572B" w:rsidRDefault="00795BE0" w:rsidP="006F1659">
      <w:pPr>
        <w:pStyle w:val="Heading3"/>
        <w:spacing w:line="360" w:lineRule="auto"/>
      </w:pPr>
      <w:bookmarkStart w:id="523" w:name="_Toc92895015"/>
      <w:bookmarkStart w:id="524" w:name="_Toc92895319"/>
      <w:bookmarkStart w:id="525" w:name="_Toc109922753"/>
      <w:r w:rsidRPr="0007572B">
        <w:t>Long</w:t>
      </w:r>
      <w:r w:rsidR="00F3496D">
        <w:t xml:space="preserve"> </w:t>
      </w:r>
      <w:r w:rsidRPr="0007572B">
        <w:t>term Contracts</w:t>
      </w:r>
      <w:bookmarkEnd w:id="523"/>
      <w:bookmarkEnd w:id="524"/>
      <w:bookmarkEnd w:id="525"/>
    </w:p>
    <w:p w14:paraId="6A16507B"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 contract entered into for the design, manufacture or construction of a single substantial asset or service where the time taken to complete the contract is such that the contract activity falls into different accounting periods.</w:t>
      </w:r>
    </w:p>
    <w:p w14:paraId="751A7225" w14:textId="77777777" w:rsidR="00795BE0" w:rsidRPr="0007572B" w:rsidRDefault="00795BE0" w:rsidP="006F1659">
      <w:pPr>
        <w:pStyle w:val="Heading3"/>
        <w:spacing w:line="360" w:lineRule="auto"/>
      </w:pPr>
      <w:bookmarkStart w:id="526" w:name="_Toc92895016"/>
      <w:bookmarkStart w:id="527" w:name="_Toc92895320"/>
      <w:bookmarkStart w:id="528" w:name="_Toc109922754"/>
      <w:r w:rsidRPr="0007572B">
        <w:t>Material</w:t>
      </w:r>
      <w:bookmarkEnd w:id="526"/>
      <w:bookmarkEnd w:id="527"/>
      <w:bookmarkEnd w:id="528"/>
    </w:p>
    <w:p w14:paraId="1299F220"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 concept that any omission from or inaccuracy in the statements of account should not be large enough to affect the understanding of those statements by a reader.</w:t>
      </w:r>
    </w:p>
    <w:p w14:paraId="36EA72B1" w14:textId="77777777" w:rsidR="00795BE0" w:rsidRPr="0007572B" w:rsidRDefault="00795BE0" w:rsidP="006F1659">
      <w:pPr>
        <w:pStyle w:val="Heading3"/>
        <w:spacing w:line="360" w:lineRule="auto"/>
      </w:pPr>
      <w:bookmarkStart w:id="529" w:name="_Toc92895017"/>
      <w:bookmarkStart w:id="530" w:name="_Toc92895321"/>
      <w:bookmarkStart w:id="531" w:name="_Toc109922755"/>
      <w:r w:rsidRPr="0007572B">
        <w:t>Minimum Revenue Provision (MRP)</w:t>
      </w:r>
      <w:bookmarkEnd w:id="529"/>
      <w:bookmarkEnd w:id="530"/>
      <w:bookmarkEnd w:id="531"/>
    </w:p>
    <w:p w14:paraId="5B3ECB90"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This is the amount that is charged to the Authority's Movement in Reserves Statement each year and set aside as a provision for credit liabilities.</w:t>
      </w:r>
    </w:p>
    <w:p w14:paraId="1314364C" w14:textId="77777777" w:rsidR="00795BE0" w:rsidRPr="0007572B" w:rsidRDefault="00795BE0" w:rsidP="006F1659">
      <w:pPr>
        <w:pStyle w:val="Heading3"/>
        <w:spacing w:line="360" w:lineRule="auto"/>
      </w:pPr>
      <w:bookmarkStart w:id="532" w:name="_Toc92895018"/>
      <w:bookmarkStart w:id="533" w:name="_Toc92895322"/>
      <w:bookmarkStart w:id="534" w:name="_Toc109922756"/>
      <w:r w:rsidRPr="0007572B">
        <w:t>Net Book Value</w:t>
      </w:r>
      <w:bookmarkEnd w:id="532"/>
      <w:bookmarkEnd w:id="533"/>
      <w:bookmarkEnd w:id="534"/>
    </w:p>
    <w:p w14:paraId="0973B311"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 amount at which non-current assets are included in the balance sheet, i.e. their historical cost or current cost less the cumulative depreciation.</w:t>
      </w:r>
    </w:p>
    <w:p w14:paraId="36A94228" w14:textId="77777777" w:rsidR="00795BE0" w:rsidRPr="0007572B" w:rsidRDefault="00795BE0" w:rsidP="006F1659">
      <w:pPr>
        <w:pStyle w:val="Heading3"/>
        <w:spacing w:line="360" w:lineRule="auto"/>
      </w:pPr>
      <w:bookmarkStart w:id="535" w:name="_Toc92895019"/>
      <w:bookmarkStart w:id="536" w:name="_Toc92895323"/>
      <w:bookmarkStart w:id="537" w:name="_Toc109922757"/>
      <w:r w:rsidRPr="0007572B">
        <w:t>Net Realisable Value</w:t>
      </w:r>
      <w:bookmarkEnd w:id="535"/>
      <w:bookmarkEnd w:id="536"/>
      <w:bookmarkEnd w:id="537"/>
    </w:p>
    <w:p w14:paraId="165BCE1A"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 open market value of the asset in its existing use (or open market value in the case of non-operational assets), less the expenses to be incurred in realising the asset.</w:t>
      </w:r>
    </w:p>
    <w:p w14:paraId="5AFE7F8E" w14:textId="77777777" w:rsidR="00795BE0" w:rsidRPr="0007572B" w:rsidRDefault="00795BE0" w:rsidP="006F1659">
      <w:pPr>
        <w:pStyle w:val="Heading3"/>
        <w:spacing w:line="360" w:lineRule="auto"/>
      </w:pPr>
      <w:bookmarkStart w:id="538" w:name="_Toc92895020"/>
      <w:bookmarkStart w:id="539" w:name="_Toc92895324"/>
      <w:bookmarkStart w:id="540" w:name="_Toc109922758"/>
      <w:r w:rsidRPr="0007572B">
        <w:lastRenderedPageBreak/>
        <w:t>Non-Current Assets</w:t>
      </w:r>
      <w:bookmarkEnd w:id="538"/>
      <w:bookmarkEnd w:id="539"/>
      <w:bookmarkEnd w:id="540"/>
    </w:p>
    <w:p w14:paraId="707048B1"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Assets which have value to the Authority for more than one year. These can be tangible (e.g. land, buildings, equipment) or intangible (e.g. Software or licences) assets.</w:t>
      </w:r>
    </w:p>
    <w:p w14:paraId="1EA1B3E6" w14:textId="77777777" w:rsidR="00795BE0" w:rsidRPr="0007572B" w:rsidRDefault="00795BE0" w:rsidP="006F1659">
      <w:pPr>
        <w:pStyle w:val="Heading3"/>
        <w:spacing w:line="360" w:lineRule="auto"/>
      </w:pPr>
      <w:bookmarkStart w:id="541" w:name="_Toc92895021"/>
      <w:bookmarkStart w:id="542" w:name="_Toc92895325"/>
      <w:bookmarkStart w:id="543" w:name="_Toc109922759"/>
      <w:r w:rsidRPr="0007572B">
        <w:t>Non-Operational Assets</w:t>
      </w:r>
      <w:bookmarkEnd w:id="541"/>
      <w:bookmarkEnd w:id="542"/>
      <w:bookmarkEnd w:id="543"/>
    </w:p>
    <w:p w14:paraId="3C7F534D"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Non-current assets held by the Authority but not directly occupied, used or consumed in the delivery of services. Examples of non-operational assets are investment properties and assets that are surplus to requirements pending sale or redevelopment.</w:t>
      </w:r>
    </w:p>
    <w:p w14:paraId="7BAB7527" w14:textId="77777777" w:rsidR="00795BE0" w:rsidRPr="0007572B" w:rsidRDefault="00795BE0" w:rsidP="006F1659">
      <w:pPr>
        <w:pStyle w:val="Heading3"/>
        <w:spacing w:line="360" w:lineRule="auto"/>
      </w:pPr>
      <w:bookmarkStart w:id="544" w:name="_Toc92895022"/>
      <w:bookmarkStart w:id="545" w:name="_Toc92895326"/>
      <w:bookmarkStart w:id="546" w:name="_Toc109922760"/>
      <w:r>
        <w:t>Business Rates</w:t>
      </w:r>
      <w:bookmarkEnd w:id="544"/>
      <w:bookmarkEnd w:id="545"/>
      <w:bookmarkEnd w:id="546"/>
    </w:p>
    <w:p w14:paraId="7BBA649B" w14:textId="306F9373"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 xml:space="preserve">These are a levy on business properties based on a national rate in the pound applied to the ‘rateable value’ of the property. The </w:t>
      </w:r>
      <w:r w:rsidR="00EC49BA">
        <w:rPr>
          <w:rFonts w:ascii="Arial" w:hAnsi="Arial" w:cs="Arial"/>
          <w:color w:val="000000"/>
        </w:rPr>
        <w:t>g</w:t>
      </w:r>
      <w:r w:rsidRPr="0007572B">
        <w:rPr>
          <w:rFonts w:ascii="Arial" w:hAnsi="Arial" w:cs="Arial"/>
          <w:color w:val="000000"/>
        </w:rPr>
        <w:t xml:space="preserve">overnment determines that national rate poundage, local authorities collect the sums due, with distribution made in accordance with rules governing the </w:t>
      </w:r>
      <w:r>
        <w:rPr>
          <w:rFonts w:ascii="Arial" w:hAnsi="Arial" w:cs="Arial"/>
          <w:color w:val="000000"/>
        </w:rPr>
        <w:t>b</w:t>
      </w:r>
      <w:r w:rsidRPr="0007572B">
        <w:rPr>
          <w:rFonts w:ascii="Arial" w:hAnsi="Arial" w:cs="Arial"/>
          <w:color w:val="000000"/>
        </w:rPr>
        <w:t xml:space="preserve">usiness </w:t>
      </w:r>
      <w:r>
        <w:rPr>
          <w:rFonts w:ascii="Arial" w:hAnsi="Arial" w:cs="Arial"/>
          <w:color w:val="000000"/>
        </w:rPr>
        <w:t>r</w:t>
      </w:r>
      <w:r w:rsidRPr="0007572B">
        <w:rPr>
          <w:rFonts w:ascii="Arial" w:hAnsi="Arial" w:cs="Arial"/>
          <w:color w:val="000000"/>
        </w:rPr>
        <w:t>ates retention scheme.</w:t>
      </w:r>
    </w:p>
    <w:p w14:paraId="38B28FDC" w14:textId="77777777" w:rsidR="00795BE0" w:rsidRPr="0007572B" w:rsidRDefault="00795BE0" w:rsidP="006F1659">
      <w:pPr>
        <w:pStyle w:val="Heading3"/>
        <w:spacing w:line="360" w:lineRule="auto"/>
      </w:pPr>
      <w:bookmarkStart w:id="547" w:name="_Toc92895023"/>
      <w:bookmarkStart w:id="548" w:name="_Toc92895327"/>
      <w:bookmarkStart w:id="549" w:name="_Toc109922761"/>
      <w:r w:rsidRPr="0007572B">
        <w:t>Operating Lease</w:t>
      </w:r>
      <w:bookmarkEnd w:id="547"/>
      <w:bookmarkEnd w:id="548"/>
      <w:bookmarkEnd w:id="549"/>
    </w:p>
    <w:p w14:paraId="3545C702"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A lease other than a finance lease.</w:t>
      </w:r>
    </w:p>
    <w:p w14:paraId="50F07AA2" w14:textId="77777777" w:rsidR="00795BE0" w:rsidRPr="0007572B" w:rsidRDefault="00795BE0" w:rsidP="006F1659">
      <w:pPr>
        <w:pStyle w:val="Heading3"/>
        <w:spacing w:line="360" w:lineRule="auto"/>
      </w:pPr>
      <w:bookmarkStart w:id="550" w:name="_Toc92895024"/>
      <w:bookmarkStart w:id="551" w:name="_Toc92895328"/>
      <w:bookmarkStart w:id="552" w:name="_Toc109922762"/>
      <w:r w:rsidRPr="0007572B">
        <w:t>Past Service Cost</w:t>
      </w:r>
      <w:bookmarkEnd w:id="550"/>
      <w:bookmarkEnd w:id="551"/>
      <w:bookmarkEnd w:id="552"/>
    </w:p>
    <w:p w14:paraId="349D69B3"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For a defined benefit pension scheme, the increase in present value of the scheme liabilities related to employee service in prior periods arising in the current period as a result of the introduction of, or improvement to, retirement benefits.</w:t>
      </w:r>
    </w:p>
    <w:p w14:paraId="15ECD17F" w14:textId="77777777" w:rsidR="00795BE0" w:rsidRPr="0007572B" w:rsidRDefault="00795BE0" w:rsidP="006F1659">
      <w:pPr>
        <w:pStyle w:val="Heading3"/>
        <w:spacing w:line="360" w:lineRule="auto"/>
      </w:pPr>
      <w:bookmarkStart w:id="553" w:name="_Toc92895025"/>
      <w:bookmarkStart w:id="554" w:name="_Toc92895329"/>
      <w:bookmarkStart w:id="555" w:name="_Toc109922763"/>
      <w:r w:rsidRPr="0007572B">
        <w:t>Payments in Advance</w:t>
      </w:r>
      <w:bookmarkEnd w:id="553"/>
      <w:bookmarkEnd w:id="554"/>
      <w:bookmarkEnd w:id="555"/>
    </w:p>
    <w:p w14:paraId="392DA3F8"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Amounts actually paid in an accounting period prior to the period in which they are due</w:t>
      </w:r>
    </w:p>
    <w:p w14:paraId="26F828BA" w14:textId="77777777" w:rsidR="00795BE0" w:rsidRPr="0007572B" w:rsidRDefault="00795BE0" w:rsidP="006F1659">
      <w:pPr>
        <w:pStyle w:val="Heading3"/>
        <w:spacing w:line="360" w:lineRule="auto"/>
      </w:pPr>
      <w:bookmarkStart w:id="556" w:name="_Toc92895026"/>
      <w:bookmarkStart w:id="557" w:name="_Toc92895330"/>
      <w:bookmarkStart w:id="558" w:name="_Toc109922764"/>
      <w:r w:rsidRPr="0007572B">
        <w:t>Pension Funds</w:t>
      </w:r>
      <w:bookmarkEnd w:id="556"/>
      <w:bookmarkEnd w:id="557"/>
      <w:bookmarkEnd w:id="558"/>
    </w:p>
    <w:p w14:paraId="193F33ED"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 Authority is required to set up a separate fund from the rest of its operation for transactions relating to firefighters’ and police pension arrangements. The funds are balanced to nil each year by the receipt of a pensions top-up grant from the Department for Communities and Local Government.</w:t>
      </w:r>
    </w:p>
    <w:p w14:paraId="28B7C219" w14:textId="77777777" w:rsidR="00795BE0" w:rsidRPr="0007572B" w:rsidRDefault="00795BE0" w:rsidP="006F1659">
      <w:pPr>
        <w:pStyle w:val="Heading3"/>
        <w:spacing w:line="360" w:lineRule="auto"/>
      </w:pPr>
      <w:bookmarkStart w:id="559" w:name="_Toc92895027"/>
      <w:bookmarkStart w:id="560" w:name="_Toc92895331"/>
      <w:bookmarkStart w:id="561" w:name="_Toc109922765"/>
      <w:r w:rsidRPr="0007572B">
        <w:t>Precept</w:t>
      </w:r>
      <w:bookmarkEnd w:id="559"/>
      <w:bookmarkEnd w:id="560"/>
      <w:bookmarkEnd w:id="561"/>
    </w:p>
    <w:p w14:paraId="2C9DF8FF"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 xml:space="preserve">An amount of money levied by one authority (the precepting authority) which is collected by another authority (the collecting authority) as part of the council tax. The </w:t>
      </w:r>
      <w:r w:rsidRPr="0007572B">
        <w:rPr>
          <w:rFonts w:ascii="Arial" w:hAnsi="Arial" w:cs="Arial"/>
          <w:color w:val="000000"/>
        </w:rPr>
        <w:lastRenderedPageBreak/>
        <w:t>Authority is the precepting authority and the GM Authorities are the collecting authorities.</w:t>
      </w:r>
    </w:p>
    <w:p w14:paraId="43662627" w14:textId="77777777" w:rsidR="00795BE0" w:rsidRPr="0007572B" w:rsidRDefault="00795BE0" w:rsidP="006F1659">
      <w:pPr>
        <w:pStyle w:val="Heading3"/>
        <w:spacing w:line="360" w:lineRule="auto"/>
      </w:pPr>
      <w:bookmarkStart w:id="562" w:name="_Toc92895028"/>
      <w:bookmarkStart w:id="563" w:name="_Toc92895332"/>
      <w:bookmarkStart w:id="564" w:name="_Toc109922766"/>
      <w:r w:rsidRPr="0007572B">
        <w:t>Prior Year Adjustments</w:t>
      </w:r>
      <w:bookmarkEnd w:id="562"/>
      <w:bookmarkEnd w:id="563"/>
      <w:bookmarkEnd w:id="564"/>
    </w:p>
    <w:p w14:paraId="40D28600"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Material adjustments to the accounts of earlier years arising from changes in accounting policies or from the correction of fundamental errors. They do not include normal recurring corrections or adjustments of accounting estimates made in prior years.</w:t>
      </w:r>
    </w:p>
    <w:p w14:paraId="676B940D" w14:textId="77777777" w:rsidR="00795BE0" w:rsidRPr="0007572B" w:rsidRDefault="00795BE0" w:rsidP="006F1659">
      <w:pPr>
        <w:pStyle w:val="Heading3"/>
        <w:spacing w:line="360" w:lineRule="auto"/>
      </w:pPr>
      <w:bookmarkStart w:id="565" w:name="_Toc92895029"/>
      <w:bookmarkStart w:id="566" w:name="_Toc92895333"/>
      <w:bookmarkStart w:id="567" w:name="_Toc109922767"/>
      <w:r w:rsidRPr="0007572B">
        <w:t>Private Finance Initiative (PFI)</w:t>
      </w:r>
      <w:bookmarkEnd w:id="565"/>
      <w:bookmarkEnd w:id="566"/>
      <w:bookmarkEnd w:id="567"/>
    </w:p>
    <w:p w14:paraId="251B9FB3"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 partnership between the private and public sectors that uses private sector financing to provide public sector assets. The partnership has to meet certain criteria to qualify for Central Government subsidy.</w:t>
      </w:r>
    </w:p>
    <w:p w14:paraId="2FCA5BDD" w14:textId="77777777" w:rsidR="00795BE0" w:rsidRPr="0007572B" w:rsidRDefault="00795BE0" w:rsidP="006F1659">
      <w:pPr>
        <w:pStyle w:val="Heading3"/>
        <w:spacing w:line="360" w:lineRule="auto"/>
      </w:pPr>
      <w:bookmarkStart w:id="568" w:name="_Toc92895030"/>
      <w:bookmarkStart w:id="569" w:name="_Toc92895334"/>
      <w:bookmarkStart w:id="570" w:name="_Toc109922768"/>
      <w:r w:rsidRPr="0007572B">
        <w:t>Provisions</w:t>
      </w:r>
      <w:bookmarkEnd w:id="568"/>
      <w:bookmarkEnd w:id="569"/>
      <w:bookmarkEnd w:id="570"/>
    </w:p>
    <w:p w14:paraId="0132EBDB"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These are sums set aside to meet liabilities or losses that have been incurred but where the amount and/or timing of such costs are uncertain.</w:t>
      </w:r>
    </w:p>
    <w:p w14:paraId="198ED760" w14:textId="77777777" w:rsidR="00795BE0" w:rsidRPr="0007572B" w:rsidRDefault="00795BE0" w:rsidP="006F1659">
      <w:pPr>
        <w:pStyle w:val="Heading3"/>
        <w:spacing w:line="360" w:lineRule="auto"/>
      </w:pPr>
      <w:bookmarkStart w:id="571" w:name="_Toc92895031"/>
      <w:bookmarkStart w:id="572" w:name="_Toc92895335"/>
      <w:bookmarkStart w:id="573" w:name="_Toc109922769"/>
      <w:r w:rsidRPr="0007572B">
        <w:t>Public Works Loan Board (PWLB)</w:t>
      </w:r>
      <w:bookmarkEnd w:id="571"/>
      <w:bookmarkEnd w:id="572"/>
      <w:bookmarkEnd w:id="573"/>
    </w:p>
    <w:p w14:paraId="17E934CD" w14:textId="7CC25410"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 xml:space="preserve">A </w:t>
      </w:r>
      <w:r w:rsidR="00EC49BA">
        <w:rPr>
          <w:rFonts w:ascii="Arial" w:hAnsi="Arial" w:cs="Arial"/>
          <w:color w:val="000000"/>
        </w:rPr>
        <w:t>g</w:t>
      </w:r>
      <w:r w:rsidRPr="0007572B">
        <w:rPr>
          <w:rFonts w:ascii="Arial" w:hAnsi="Arial" w:cs="Arial"/>
          <w:color w:val="000000"/>
        </w:rPr>
        <w:t>overnment agency that lends money to local authorities. Local authorities are able to borrow some or all of their requirements to finance capital expenditure from this source.</w:t>
      </w:r>
    </w:p>
    <w:p w14:paraId="689B60EB" w14:textId="77777777" w:rsidR="00795BE0" w:rsidRPr="0007572B" w:rsidRDefault="00795BE0" w:rsidP="006F1659">
      <w:pPr>
        <w:pStyle w:val="Heading3"/>
        <w:spacing w:line="360" w:lineRule="auto"/>
      </w:pPr>
      <w:bookmarkStart w:id="574" w:name="_Toc92895032"/>
      <w:bookmarkStart w:id="575" w:name="_Toc92895336"/>
      <w:bookmarkStart w:id="576" w:name="_Toc109922770"/>
      <w:r w:rsidRPr="0007572B">
        <w:t>Receipts in Advance</w:t>
      </w:r>
      <w:bookmarkEnd w:id="574"/>
      <w:bookmarkEnd w:id="575"/>
      <w:bookmarkEnd w:id="576"/>
    </w:p>
    <w:p w14:paraId="2BE201A9"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Amounts actually received in an accounting period prior to the period in which they are due.</w:t>
      </w:r>
    </w:p>
    <w:p w14:paraId="186669F1" w14:textId="77777777" w:rsidR="00795BE0" w:rsidRPr="0007572B" w:rsidRDefault="00795BE0" w:rsidP="006F1659">
      <w:pPr>
        <w:pStyle w:val="Heading3"/>
        <w:spacing w:line="360" w:lineRule="auto"/>
      </w:pPr>
      <w:bookmarkStart w:id="577" w:name="_Toc92895033"/>
      <w:bookmarkStart w:id="578" w:name="_Toc92895337"/>
      <w:bookmarkStart w:id="579" w:name="_Toc109922771"/>
      <w:r w:rsidRPr="0007572B">
        <w:t>Residual Value</w:t>
      </w:r>
      <w:bookmarkEnd w:id="577"/>
      <w:bookmarkEnd w:id="578"/>
      <w:bookmarkEnd w:id="579"/>
    </w:p>
    <w:p w14:paraId="2BFB0936"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 xml:space="preserve">The net realisable value of property, plant or equipment at the end of its useful life. </w:t>
      </w:r>
    </w:p>
    <w:p w14:paraId="589D1B1B" w14:textId="77777777" w:rsidR="00795BE0" w:rsidRPr="0007572B" w:rsidRDefault="00795BE0" w:rsidP="006F1659">
      <w:pPr>
        <w:pStyle w:val="Heading3"/>
        <w:spacing w:line="360" w:lineRule="auto"/>
      </w:pPr>
      <w:bookmarkStart w:id="580" w:name="_Toc92895034"/>
      <w:bookmarkStart w:id="581" w:name="_Toc92895338"/>
      <w:bookmarkStart w:id="582" w:name="_Toc109922772"/>
      <w:r w:rsidRPr="0007572B">
        <w:t>Reserves</w:t>
      </w:r>
      <w:bookmarkEnd w:id="580"/>
      <w:bookmarkEnd w:id="581"/>
      <w:bookmarkEnd w:id="582"/>
    </w:p>
    <w:p w14:paraId="1E25C762"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These are sums set aside to meet possible future costs where there is no certainty about whether or not these costs will be incurred.</w:t>
      </w:r>
    </w:p>
    <w:p w14:paraId="2A5EB5A6" w14:textId="77777777" w:rsidR="00795BE0" w:rsidRPr="0007572B" w:rsidRDefault="00795BE0" w:rsidP="006F1659">
      <w:pPr>
        <w:pStyle w:val="Heading3"/>
        <w:spacing w:line="360" w:lineRule="auto"/>
      </w:pPr>
      <w:bookmarkStart w:id="583" w:name="_Toc92895035"/>
      <w:bookmarkStart w:id="584" w:name="_Toc92895339"/>
      <w:bookmarkStart w:id="585" w:name="_Toc109922773"/>
      <w:r w:rsidRPr="0007572B">
        <w:t>Revenue Contributions</w:t>
      </w:r>
      <w:bookmarkEnd w:id="583"/>
      <w:bookmarkEnd w:id="584"/>
      <w:bookmarkEnd w:id="585"/>
    </w:p>
    <w:p w14:paraId="0E6B59E1"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 xml:space="preserve">The method of financing capital expenditure directly from revenue. </w:t>
      </w:r>
    </w:p>
    <w:p w14:paraId="4763C589" w14:textId="77777777" w:rsidR="00795BE0" w:rsidRPr="0007572B" w:rsidRDefault="00795BE0" w:rsidP="006F1659">
      <w:pPr>
        <w:pStyle w:val="Heading3"/>
        <w:spacing w:line="360" w:lineRule="auto"/>
      </w:pPr>
      <w:bookmarkStart w:id="586" w:name="_Toc92895036"/>
      <w:bookmarkStart w:id="587" w:name="_Toc92895340"/>
      <w:bookmarkStart w:id="588" w:name="_Toc109922774"/>
      <w:r w:rsidRPr="0007572B">
        <w:lastRenderedPageBreak/>
        <w:t>Revenue Expenditure</w:t>
      </w:r>
      <w:bookmarkEnd w:id="586"/>
      <w:bookmarkEnd w:id="587"/>
      <w:bookmarkEnd w:id="588"/>
    </w:p>
    <w:p w14:paraId="599DE678"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Expenditure incurred on the day-to-day running of the Authority and Group. This mainly includes staff recharge costs, general running expenses and capital financing costs.</w:t>
      </w:r>
    </w:p>
    <w:p w14:paraId="199F714C" w14:textId="77777777" w:rsidR="00795BE0" w:rsidRPr="0007572B" w:rsidRDefault="00795BE0" w:rsidP="006F1659">
      <w:pPr>
        <w:pStyle w:val="Heading3"/>
        <w:spacing w:line="360" w:lineRule="auto"/>
      </w:pPr>
      <w:bookmarkStart w:id="589" w:name="_Toc92895037"/>
      <w:bookmarkStart w:id="590" w:name="_Toc92895341"/>
      <w:bookmarkStart w:id="591" w:name="_Toc109922775"/>
      <w:r w:rsidRPr="0007572B">
        <w:t>Revenue Expenditure Funded from Capital Under Statute (REFCUS)</w:t>
      </w:r>
      <w:bookmarkEnd w:id="589"/>
      <w:bookmarkEnd w:id="590"/>
      <w:bookmarkEnd w:id="591"/>
    </w:p>
    <w:p w14:paraId="14CA3313"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 xml:space="preserve">These are items of capital expenditure that do not result in, or remain matched by, the Authority’s property, plant and equipment. </w:t>
      </w:r>
    </w:p>
    <w:p w14:paraId="2C1617CD" w14:textId="77777777" w:rsidR="00795BE0" w:rsidRPr="0007572B" w:rsidRDefault="00795BE0" w:rsidP="006F1659">
      <w:pPr>
        <w:pStyle w:val="Heading3"/>
        <w:spacing w:line="360" w:lineRule="auto"/>
      </w:pPr>
      <w:bookmarkStart w:id="592" w:name="_Toc92895038"/>
      <w:bookmarkStart w:id="593" w:name="_Toc92895342"/>
      <w:bookmarkStart w:id="594" w:name="_Toc109922776"/>
      <w:r w:rsidRPr="0007572B">
        <w:t>Settlement</w:t>
      </w:r>
      <w:bookmarkEnd w:id="592"/>
      <w:bookmarkEnd w:id="593"/>
      <w:bookmarkEnd w:id="594"/>
    </w:p>
    <w:p w14:paraId="669BDA47"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An irrevocable action that relieves the employer of the primary responsibility for a pension obligation and eliminates significant risks relating to the obligations and the assets used to effect the settlement</w:t>
      </w:r>
    </w:p>
    <w:p w14:paraId="0411C896" w14:textId="77777777" w:rsidR="00795BE0" w:rsidRPr="0007572B" w:rsidRDefault="00795BE0" w:rsidP="006F1659">
      <w:pPr>
        <w:pStyle w:val="Heading3"/>
        <w:spacing w:line="360" w:lineRule="auto"/>
      </w:pPr>
      <w:bookmarkStart w:id="595" w:name="_Toc92895039"/>
      <w:bookmarkStart w:id="596" w:name="_Toc92895343"/>
      <w:bookmarkStart w:id="597" w:name="_Toc109922777"/>
      <w:r w:rsidRPr="0007572B">
        <w:t>Unfunded Pension Scheme</w:t>
      </w:r>
      <w:bookmarkEnd w:id="595"/>
      <w:bookmarkEnd w:id="596"/>
      <w:bookmarkEnd w:id="597"/>
    </w:p>
    <w:p w14:paraId="3948E075"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This is one in which liabilities for pension benefits are charged to the employer's revenue account in the year in which they arise and are not financed from investments held. The Authority operates such a scheme for its firefighters.</w:t>
      </w:r>
    </w:p>
    <w:p w14:paraId="3BD7CAA9" w14:textId="77777777" w:rsidR="00795BE0" w:rsidRPr="0007572B" w:rsidRDefault="00795BE0" w:rsidP="006F1659">
      <w:pPr>
        <w:spacing w:line="360" w:lineRule="auto"/>
        <w:rPr>
          <w:rFonts w:ascii="Arial" w:hAnsi="Arial" w:cs="Arial"/>
          <w:color w:val="000000"/>
        </w:rPr>
      </w:pPr>
    </w:p>
    <w:sectPr w:rsidR="00795BE0" w:rsidRPr="0007572B" w:rsidSect="004833A2">
      <w:pgSz w:w="11940" w:h="16860"/>
      <w:pgMar w:top="920" w:right="1540" w:bottom="280" w:left="1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6D6D5" w14:textId="77777777" w:rsidR="00A443D0" w:rsidRDefault="00A443D0">
      <w:r>
        <w:separator/>
      </w:r>
    </w:p>
  </w:endnote>
  <w:endnote w:type="continuationSeparator" w:id="0">
    <w:p w14:paraId="6CE591ED" w14:textId="77777777" w:rsidR="00A443D0" w:rsidRDefault="00A443D0">
      <w:r>
        <w:continuationSeparator/>
      </w:r>
    </w:p>
  </w:endnote>
  <w:endnote w:type="continuationNotice" w:id="1">
    <w:p w14:paraId="3EFDDEA9" w14:textId="77777777" w:rsidR="00A443D0" w:rsidRDefault="00A44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S Lola">
    <w:altName w:val="Cambria"/>
    <w:panose1 w:val="00000000000000000000"/>
    <w:charset w:val="00"/>
    <w:family w:val="roman"/>
    <w:notTrueType/>
    <w:pitch w:val="default"/>
    <w:sig w:usb0="00000003" w:usb1="00000000" w:usb2="00000000" w:usb3="00000000" w:csb0="00000001" w:csb1="00000000"/>
  </w:font>
  <w:font w:name="FS Lola Medium">
    <w:altName w:val="Cambria"/>
    <w:panose1 w:val="00000000000000000000"/>
    <w:charset w:val="00"/>
    <w:family w:val="roman"/>
    <w:notTrueType/>
    <w:pitch w:val="default"/>
    <w:sig w:usb0="00000003" w:usb1="00000000" w:usb2="00000000" w:usb3="00000000" w:csb0="00000001" w:csb1="00000000"/>
  </w:font>
  <w:font w:name="Colfax-Medium">
    <w:altName w:val="Times New Roman"/>
    <w:panose1 w:val="00000000000000000000"/>
    <w:charset w:val="00"/>
    <w:family w:val="roman"/>
    <w:notTrueType/>
    <w:pitch w:val="default"/>
  </w:font>
  <w:font w:name="ヒラギノ角ゴ Pro W3">
    <w:altName w:val="Arial Unicode MS"/>
    <w:charset w:val="80"/>
    <w:family w:val="auto"/>
    <w:pitch w:val="variable"/>
    <w:sig w:usb0="E00002FF" w:usb1="7AC7FFFF" w:usb2="00000012" w:usb3="00000000" w:csb0="0002000D" w:csb1="00000000"/>
  </w:font>
  <w:font w:name="Poppins Light">
    <w:charset w:val="00"/>
    <w:family w:val="auto"/>
    <w:pitch w:val="variable"/>
    <w:sig w:usb0="00008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6F70C" w14:textId="30F7DEC4" w:rsidR="00E83847" w:rsidRDefault="00E838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37CC">
      <w:rPr>
        <w:rStyle w:val="PageNumber"/>
        <w:noProof/>
      </w:rPr>
      <w:t>1</w:t>
    </w:r>
    <w:r>
      <w:rPr>
        <w:rStyle w:val="PageNumber"/>
      </w:rPr>
      <w:fldChar w:fldCharType="end"/>
    </w:r>
  </w:p>
  <w:p w14:paraId="1CE040FB" w14:textId="77777777" w:rsidR="00E83847" w:rsidRDefault="00E83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AA7EE" w14:textId="77777777" w:rsidR="00E83847" w:rsidRDefault="00E83847" w:rsidP="00DD5B4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3319908"/>
      <w:docPartObj>
        <w:docPartGallery w:val="Page Numbers (Bottom of Page)"/>
        <w:docPartUnique/>
      </w:docPartObj>
    </w:sdtPr>
    <w:sdtEndPr>
      <w:rPr>
        <w:noProof/>
      </w:rPr>
    </w:sdtEndPr>
    <w:sdtContent>
      <w:p w14:paraId="2D1B0F10" w14:textId="0776DF4E" w:rsidR="00E83847" w:rsidRDefault="00E83847" w:rsidP="007C2B5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F4451" w14:textId="77777777" w:rsidR="00A443D0" w:rsidRDefault="00A443D0">
      <w:r>
        <w:separator/>
      </w:r>
    </w:p>
  </w:footnote>
  <w:footnote w:type="continuationSeparator" w:id="0">
    <w:p w14:paraId="4DB477D6" w14:textId="77777777" w:rsidR="00A443D0" w:rsidRDefault="00A443D0">
      <w:r>
        <w:continuationSeparator/>
      </w:r>
    </w:p>
  </w:footnote>
  <w:footnote w:type="continuationNotice" w:id="1">
    <w:p w14:paraId="7438AC2E" w14:textId="77777777" w:rsidR="00A443D0" w:rsidRDefault="00A443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56DD1" w14:textId="77777777" w:rsidR="00E83847" w:rsidRPr="00DA344C" w:rsidRDefault="00E83847" w:rsidP="00DA3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9C2A9" w14:textId="0A578771" w:rsidR="00E83847" w:rsidRDefault="00E83847" w:rsidP="008064FB">
    <w:pPr>
      <w:pStyle w:val="Header"/>
      <w:jc w:val="center"/>
      <w:rPr>
        <w:rFonts w:ascii="Verdana" w:hAnsi="Verdana"/>
        <w:sz w:val="20"/>
        <w:szCs w:val="20"/>
      </w:rPr>
    </w:pPr>
    <w:r w:rsidRPr="00F556DF">
      <w:rPr>
        <w:rFonts w:ascii="Verdana" w:hAnsi="Verdana"/>
        <w:sz w:val="20"/>
        <w:szCs w:val="20"/>
      </w:rPr>
      <w:t xml:space="preserve">Greater Manchester Combined Authority </w:t>
    </w:r>
    <w:r w:rsidR="00DC0FFE">
      <w:rPr>
        <w:rFonts w:ascii="Verdana" w:hAnsi="Verdana"/>
        <w:sz w:val="20"/>
        <w:szCs w:val="20"/>
      </w:rPr>
      <w:t>UNAUDITED</w:t>
    </w:r>
    <w:r>
      <w:rPr>
        <w:rFonts w:ascii="Verdana" w:hAnsi="Verdana"/>
        <w:sz w:val="20"/>
        <w:szCs w:val="20"/>
      </w:rPr>
      <w:t xml:space="preserve"> </w:t>
    </w:r>
    <w:r w:rsidRPr="00F556DF">
      <w:rPr>
        <w:rFonts w:ascii="Verdana" w:hAnsi="Verdana"/>
        <w:sz w:val="20"/>
        <w:szCs w:val="20"/>
      </w:rPr>
      <w:t xml:space="preserve">Statement of Accounts </w:t>
    </w:r>
    <w:r w:rsidR="00D1125B">
      <w:rPr>
        <w:rFonts w:ascii="Verdana" w:hAnsi="Verdana"/>
        <w:sz w:val="20"/>
        <w:szCs w:val="20"/>
      </w:rPr>
      <w:t>2023/24</w:t>
    </w:r>
  </w:p>
  <w:p w14:paraId="289E4CA0" w14:textId="5BEE5883" w:rsidR="00B53098" w:rsidRDefault="00B53098" w:rsidP="00B53098">
    <w:pPr>
      <w:pStyle w:val="Header"/>
      <w:rPr>
        <w:rFonts w:ascii="Verdana" w:hAnsi="Verdana"/>
        <w:sz w:val="20"/>
        <w:szCs w:val="20"/>
      </w:rPr>
    </w:pPr>
    <w:r>
      <w:rPr>
        <w:rFonts w:ascii="Verdana" w:hAnsi="Verdana"/>
        <w:sz w:val="20"/>
        <w:szCs w:val="20"/>
      </w:rPr>
      <w:tab/>
    </w:r>
  </w:p>
  <w:p w14:paraId="087B5458" w14:textId="77777777" w:rsidR="00E83847" w:rsidRPr="00F556DF" w:rsidRDefault="00E83847" w:rsidP="008064FB">
    <w:pPr>
      <w:pStyle w:val="Header"/>
      <w:jc w:val="center"/>
      <w:rPr>
        <w:rFonts w:ascii="Verdana" w:hAnsi="Verdana"/>
        <w:sz w:val="20"/>
        <w:szCs w:val="20"/>
      </w:rPr>
    </w:pPr>
  </w:p>
  <w:p w14:paraId="475DBDB6" w14:textId="77777777" w:rsidR="00E83847" w:rsidRPr="008064FB" w:rsidRDefault="00E83847" w:rsidP="00DA6CEE">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F1E0E" w14:textId="4F9479E4" w:rsidR="00E83847" w:rsidRPr="008064FB" w:rsidRDefault="00E83847" w:rsidP="008064FB">
    <w:pPr>
      <w:pStyle w:val="Header"/>
      <w:jc w:val="center"/>
      <w:rPr>
        <w:sz w:val="20"/>
        <w:szCs w:val="20"/>
      </w:rPr>
    </w:pPr>
    <w:r w:rsidRPr="008064FB">
      <w:rPr>
        <w:sz w:val="20"/>
        <w:szCs w:val="20"/>
      </w:rPr>
      <w:t xml:space="preserve">Greater Manchester Combined Authority </w:t>
    </w:r>
    <w:r w:rsidR="009D2D1A">
      <w:rPr>
        <w:sz w:val="20"/>
        <w:szCs w:val="20"/>
      </w:rPr>
      <w:t>Draft</w:t>
    </w:r>
    <w:r>
      <w:rPr>
        <w:sz w:val="20"/>
        <w:szCs w:val="20"/>
      </w:rPr>
      <w:t xml:space="preserve"> </w:t>
    </w:r>
    <w:r w:rsidRPr="008064FB">
      <w:rPr>
        <w:sz w:val="20"/>
        <w:szCs w:val="20"/>
      </w:rPr>
      <w:t xml:space="preserve">Statement of Accounts </w:t>
    </w:r>
    <w:r w:rsidR="00D1125B">
      <w:rPr>
        <w:sz w:val="20"/>
        <w:szCs w:val="20"/>
      </w:rPr>
      <w:t>2023/24</w:t>
    </w:r>
  </w:p>
  <w:p w14:paraId="57D0C6A4" w14:textId="77777777" w:rsidR="00E83847" w:rsidRPr="008064FB" w:rsidRDefault="00E83847" w:rsidP="00DA6CEE">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F81A5" w14:textId="5445379B" w:rsidR="00795BE0" w:rsidRPr="008064FB" w:rsidRDefault="00795BE0" w:rsidP="008064FB">
    <w:pPr>
      <w:pStyle w:val="Header"/>
      <w:jc w:val="center"/>
      <w:rPr>
        <w:sz w:val="20"/>
        <w:szCs w:val="20"/>
      </w:rPr>
    </w:pPr>
    <w:r w:rsidRPr="008064FB">
      <w:rPr>
        <w:sz w:val="20"/>
        <w:szCs w:val="20"/>
      </w:rPr>
      <w:t xml:space="preserve">Greater Manchester Combined Authority </w:t>
    </w:r>
    <w:r>
      <w:rPr>
        <w:sz w:val="20"/>
        <w:szCs w:val="20"/>
      </w:rPr>
      <w:t xml:space="preserve">Draft </w:t>
    </w:r>
    <w:r w:rsidRPr="008064FB">
      <w:rPr>
        <w:sz w:val="20"/>
        <w:szCs w:val="20"/>
      </w:rPr>
      <w:t xml:space="preserve">Statement of Accounts </w:t>
    </w:r>
    <w:r w:rsidR="00D1125B">
      <w:rPr>
        <w:sz w:val="20"/>
        <w:szCs w:val="20"/>
      </w:rPr>
      <w:t>2023/24</w:t>
    </w:r>
  </w:p>
  <w:p w14:paraId="460D9EB6" w14:textId="77777777" w:rsidR="00795BE0" w:rsidRPr="008064FB" w:rsidRDefault="00795BE0" w:rsidP="00DA6CE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C9A505A"/>
    <w:lvl w:ilvl="0">
      <w:start w:val="1"/>
      <w:numFmt w:val="decimal"/>
      <w:pStyle w:val="ListNumber"/>
      <w:lvlText w:val="%1."/>
      <w:lvlJc w:val="left"/>
      <w:pPr>
        <w:tabs>
          <w:tab w:val="num" w:pos="360"/>
        </w:tabs>
        <w:ind w:left="360" w:hanging="360"/>
      </w:pPr>
    </w:lvl>
  </w:abstractNum>
  <w:abstractNum w:abstractNumId="1" w15:restartNumberingAfterBreak="0">
    <w:nsid w:val="0000000B"/>
    <w:multiLevelType w:val="hybridMultilevel"/>
    <w:tmpl w:val="CB66AAC8"/>
    <w:lvl w:ilvl="0" w:tplc="9FF4E77A">
      <w:start w:val="1"/>
      <w:numFmt w:val="bullet"/>
      <w:lvlText w:val=""/>
      <w:lvlJc w:val="left"/>
      <w:pPr>
        <w:ind w:left="1110" w:hanging="360"/>
      </w:pPr>
      <w:rPr>
        <w:rFonts w:ascii="Symbol" w:hAnsi="Symbol" w:hint="default"/>
      </w:rPr>
    </w:lvl>
    <w:lvl w:ilvl="1" w:tplc="FA308570">
      <w:start w:val="1"/>
      <w:numFmt w:val="bullet"/>
      <w:lvlText w:val="o"/>
      <w:lvlJc w:val="left"/>
      <w:pPr>
        <w:ind w:left="1830" w:hanging="360"/>
      </w:pPr>
      <w:rPr>
        <w:rFonts w:ascii="Courier New" w:hAnsi="Courier New" w:cs="Courier New" w:hint="default"/>
      </w:rPr>
    </w:lvl>
    <w:lvl w:ilvl="2" w:tplc="BFFC999C">
      <w:start w:val="1"/>
      <w:numFmt w:val="bullet"/>
      <w:lvlText w:val=""/>
      <w:lvlJc w:val="left"/>
      <w:pPr>
        <w:ind w:left="2550" w:hanging="360"/>
      </w:pPr>
      <w:rPr>
        <w:rFonts w:ascii="Wingdings" w:hAnsi="Wingdings" w:hint="default"/>
      </w:rPr>
    </w:lvl>
    <w:lvl w:ilvl="3" w:tplc="9CC0F4F0">
      <w:start w:val="1"/>
      <w:numFmt w:val="bullet"/>
      <w:lvlText w:val=""/>
      <w:lvlJc w:val="left"/>
      <w:pPr>
        <w:ind w:left="3270" w:hanging="360"/>
      </w:pPr>
      <w:rPr>
        <w:rFonts w:ascii="Symbol" w:hAnsi="Symbol" w:hint="default"/>
      </w:rPr>
    </w:lvl>
    <w:lvl w:ilvl="4" w:tplc="31FCF9CC">
      <w:start w:val="1"/>
      <w:numFmt w:val="bullet"/>
      <w:lvlText w:val="o"/>
      <w:lvlJc w:val="left"/>
      <w:pPr>
        <w:ind w:left="3990" w:hanging="360"/>
      </w:pPr>
      <w:rPr>
        <w:rFonts w:ascii="Courier New" w:hAnsi="Courier New" w:cs="Courier New" w:hint="default"/>
      </w:rPr>
    </w:lvl>
    <w:lvl w:ilvl="5" w:tplc="B588AA30">
      <w:start w:val="1"/>
      <w:numFmt w:val="bullet"/>
      <w:lvlText w:val=""/>
      <w:lvlJc w:val="left"/>
      <w:pPr>
        <w:ind w:left="4710" w:hanging="360"/>
      </w:pPr>
      <w:rPr>
        <w:rFonts w:ascii="Wingdings" w:hAnsi="Wingdings" w:hint="default"/>
      </w:rPr>
    </w:lvl>
    <w:lvl w:ilvl="6" w:tplc="A4028FCA">
      <w:start w:val="1"/>
      <w:numFmt w:val="bullet"/>
      <w:lvlText w:val=""/>
      <w:lvlJc w:val="left"/>
      <w:pPr>
        <w:ind w:left="5430" w:hanging="360"/>
      </w:pPr>
      <w:rPr>
        <w:rFonts w:ascii="Symbol" w:hAnsi="Symbol" w:hint="default"/>
      </w:rPr>
    </w:lvl>
    <w:lvl w:ilvl="7" w:tplc="ACF01292">
      <w:start w:val="1"/>
      <w:numFmt w:val="bullet"/>
      <w:lvlText w:val="o"/>
      <w:lvlJc w:val="left"/>
      <w:pPr>
        <w:ind w:left="6150" w:hanging="360"/>
      </w:pPr>
      <w:rPr>
        <w:rFonts w:ascii="Courier New" w:hAnsi="Courier New" w:cs="Courier New" w:hint="default"/>
      </w:rPr>
    </w:lvl>
    <w:lvl w:ilvl="8" w:tplc="EED64BEE">
      <w:start w:val="1"/>
      <w:numFmt w:val="bullet"/>
      <w:lvlText w:val=""/>
      <w:lvlJc w:val="left"/>
      <w:pPr>
        <w:ind w:left="6870" w:hanging="360"/>
      </w:pPr>
      <w:rPr>
        <w:rFonts w:ascii="Wingdings" w:hAnsi="Wingdings" w:hint="default"/>
      </w:rPr>
    </w:lvl>
  </w:abstractNum>
  <w:abstractNum w:abstractNumId="2" w15:restartNumberingAfterBreak="0">
    <w:nsid w:val="0000000C"/>
    <w:multiLevelType w:val="hybridMultilevel"/>
    <w:tmpl w:val="15FCA580"/>
    <w:lvl w:ilvl="0" w:tplc="A770FF78">
      <w:start w:val="1"/>
      <w:numFmt w:val="bullet"/>
      <w:lvlText w:val=""/>
      <w:lvlJc w:val="left"/>
      <w:pPr>
        <w:ind w:left="1080" w:hanging="360"/>
      </w:pPr>
      <w:rPr>
        <w:rFonts w:ascii="Symbol" w:hAnsi="Symbol" w:hint="default"/>
      </w:rPr>
    </w:lvl>
    <w:lvl w:ilvl="1" w:tplc="2A3E01BE">
      <w:numFmt w:val="bullet"/>
      <w:lvlText w:val="·"/>
      <w:lvlJc w:val="left"/>
      <w:pPr>
        <w:ind w:left="1800" w:hanging="360"/>
      </w:pPr>
      <w:rPr>
        <w:rFonts w:ascii="Arial" w:eastAsia="Times New Roman" w:hAnsi="Arial" w:cs="Arial" w:hint="default"/>
      </w:rPr>
    </w:lvl>
    <w:lvl w:ilvl="2" w:tplc="4914EE2E">
      <w:start w:val="1"/>
      <w:numFmt w:val="bullet"/>
      <w:lvlText w:val=""/>
      <w:lvlJc w:val="left"/>
      <w:pPr>
        <w:ind w:left="2520" w:hanging="360"/>
      </w:pPr>
      <w:rPr>
        <w:rFonts w:ascii="Wingdings" w:hAnsi="Wingdings" w:hint="default"/>
      </w:rPr>
    </w:lvl>
    <w:lvl w:ilvl="3" w:tplc="0C14BE28">
      <w:start w:val="1"/>
      <w:numFmt w:val="bullet"/>
      <w:lvlText w:val=""/>
      <w:lvlJc w:val="left"/>
      <w:pPr>
        <w:ind w:left="3240" w:hanging="360"/>
      </w:pPr>
      <w:rPr>
        <w:rFonts w:ascii="Symbol" w:hAnsi="Symbol" w:hint="default"/>
      </w:rPr>
    </w:lvl>
    <w:lvl w:ilvl="4" w:tplc="9D80BAE6">
      <w:start w:val="1"/>
      <w:numFmt w:val="bullet"/>
      <w:lvlText w:val="o"/>
      <w:lvlJc w:val="left"/>
      <w:pPr>
        <w:ind w:left="3960" w:hanging="360"/>
      </w:pPr>
      <w:rPr>
        <w:rFonts w:ascii="Courier New" w:hAnsi="Courier New" w:cs="Courier New" w:hint="default"/>
      </w:rPr>
    </w:lvl>
    <w:lvl w:ilvl="5" w:tplc="7B5CE9C0">
      <w:start w:val="1"/>
      <w:numFmt w:val="bullet"/>
      <w:lvlText w:val=""/>
      <w:lvlJc w:val="left"/>
      <w:pPr>
        <w:ind w:left="4680" w:hanging="360"/>
      </w:pPr>
      <w:rPr>
        <w:rFonts w:ascii="Wingdings" w:hAnsi="Wingdings" w:hint="default"/>
      </w:rPr>
    </w:lvl>
    <w:lvl w:ilvl="6" w:tplc="085C2220">
      <w:start w:val="1"/>
      <w:numFmt w:val="bullet"/>
      <w:lvlText w:val=""/>
      <w:lvlJc w:val="left"/>
      <w:pPr>
        <w:ind w:left="5400" w:hanging="360"/>
      </w:pPr>
      <w:rPr>
        <w:rFonts w:ascii="Symbol" w:hAnsi="Symbol" w:hint="default"/>
      </w:rPr>
    </w:lvl>
    <w:lvl w:ilvl="7" w:tplc="7ED417FC">
      <w:start w:val="1"/>
      <w:numFmt w:val="bullet"/>
      <w:lvlText w:val="o"/>
      <w:lvlJc w:val="left"/>
      <w:pPr>
        <w:ind w:left="6120" w:hanging="360"/>
      </w:pPr>
      <w:rPr>
        <w:rFonts w:ascii="Courier New" w:hAnsi="Courier New" w:cs="Courier New" w:hint="default"/>
      </w:rPr>
    </w:lvl>
    <w:lvl w:ilvl="8" w:tplc="72500502">
      <w:start w:val="1"/>
      <w:numFmt w:val="bullet"/>
      <w:lvlText w:val=""/>
      <w:lvlJc w:val="left"/>
      <w:pPr>
        <w:ind w:left="6840" w:hanging="360"/>
      </w:pPr>
      <w:rPr>
        <w:rFonts w:ascii="Wingdings" w:hAnsi="Wingdings" w:hint="default"/>
      </w:rPr>
    </w:lvl>
  </w:abstractNum>
  <w:abstractNum w:abstractNumId="3" w15:restartNumberingAfterBreak="0">
    <w:nsid w:val="0000000E"/>
    <w:multiLevelType w:val="hybridMultilevel"/>
    <w:tmpl w:val="5C081DB6"/>
    <w:lvl w:ilvl="0" w:tplc="E77E77DC">
      <w:start w:val="1"/>
      <w:numFmt w:val="bullet"/>
      <w:lvlText w:val=""/>
      <w:lvlJc w:val="left"/>
      <w:pPr>
        <w:ind w:left="945" w:hanging="585"/>
      </w:pPr>
      <w:rPr>
        <w:rFonts w:ascii="Symbol" w:hAnsi="Symbol" w:hint="default"/>
      </w:rPr>
    </w:lvl>
    <w:lvl w:ilvl="1" w:tplc="C340E9B8">
      <w:start w:val="1"/>
      <w:numFmt w:val="bullet"/>
      <w:lvlText w:val=""/>
      <w:lvlJc w:val="left"/>
      <w:pPr>
        <w:ind w:left="1710" w:hanging="630"/>
      </w:pPr>
      <w:rPr>
        <w:rFonts w:ascii="Symbol" w:hAnsi="Symbol" w:hint="default"/>
      </w:rPr>
    </w:lvl>
    <w:lvl w:ilvl="2" w:tplc="BD26D1A0">
      <w:start w:val="1"/>
      <w:numFmt w:val="bullet"/>
      <w:lvlText w:val=""/>
      <w:lvlJc w:val="left"/>
      <w:pPr>
        <w:ind w:left="2160" w:hanging="360"/>
      </w:pPr>
      <w:rPr>
        <w:rFonts w:ascii="Wingdings" w:hAnsi="Wingdings" w:hint="default"/>
      </w:rPr>
    </w:lvl>
    <w:lvl w:ilvl="3" w:tplc="7E66944C">
      <w:start w:val="1"/>
      <w:numFmt w:val="bullet"/>
      <w:lvlText w:val=""/>
      <w:lvlJc w:val="left"/>
      <w:pPr>
        <w:ind w:left="2880" w:hanging="360"/>
      </w:pPr>
      <w:rPr>
        <w:rFonts w:ascii="Symbol" w:hAnsi="Symbol" w:hint="default"/>
      </w:rPr>
    </w:lvl>
    <w:lvl w:ilvl="4" w:tplc="BFBAF184">
      <w:start w:val="1"/>
      <w:numFmt w:val="bullet"/>
      <w:lvlText w:val="o"/>
      <w:lvlJc w:val="left"/>
      <w:pPr>
        <w:ind w:left="3600" w:hanging="360"/>
      </w:pPr>
      <w:rPr>
        <w:rFonts w:ascii="Courier New" w:hAnsi="Courier New" w:cs="Courier New" w:hint="default"/>
      </w:rPr>
    </w:lvl>
    <w:lvl w:ilvl="5" w:tplc="0C1A8BD2">
      <w:start w:val="1"/>
      <w:numFmt w:val="bullet"/>
      <w:lvlText w:val=""/>
      <w:lvlJc w:val="left"/>
      <w:pPr>
        <w:ind w:left="4320" w:hanging="360"/>
      </w:pPr>
      <w:rPr>
        <w:rFonts w:ascii="Wingdings" w:hAnsi="Wingdings" w:hint="default"/>
      </w:rPr>
    </w:lvl>
    <w:lvl w:ilvl="6" w:tplc="7D42C4EC">
      <w:start w:val="1"/>
      <w:numFmt w:val="bullet"/>
      <w:lvlText w:val=""/>
      <w:lvlJc w:val="left"/>
      <w:pPr>
        <w:ind w:left="5040" w:hanging="360"/>
      </w:pPr>
      <w:rPr>
        <w:rFonts w:ascii="Symbol" w:hAnsi="Symbol" w:hint="default"/>
      </w:rPr>
    </w:lvl>
    <w:lvl w:ilvl="7" w:tplc="0D62A720">
      <w:start w:val="1"/>
      <w:numFmt w:val="bullet"/>
      <w:lvlText w:val="o"/>
      <w:lvlJc w:val="left"/>
      <w:pPr>
        <w:ind w:left="5760" w:hanging="360"/>
      </w:pPr>
      <w:rPr>
        <w:rFonts w:ascii="Courier New" w:hAnsi="Courier New" w:cs="Courier New" w:hint="default"/>
      </w:rPr>
    </w:lvl>
    <w:lvl w:ilvl="8" w:tplc="F8849EFC">
      <w:start w:val="1"/>
      <w:numFmt w:val="bullet"/>
      <w:lvlText w:val=""/>
      <w:lvlJc w:val="left"/>
      <w:pPr>
        <w:ind w:left="6480" w:hanging="360"/>
      </w:pPr>
      <w:rPr>
        <w:rFonts w:ascii="Wingdings" w:hAnsi="Wingdings" w:hint="default"/>
      </w:rPr>
    </w:lvl>
  </w:abstractNum>
  <w:abstractNum w:abstractNumId="4" w15:restartNumberingAfterBreak="0">
    <w:nsid w:val="0000000F"/>
    <w:multiLevelType w:val="hybridMultilevel"/>
    <w:tmpl w:val="D5AA9470"/>
    <w:lvl w:ilvl="0" w:tplc="40320894">
      <w:start w:val="1"/>
      <w:numFmt w:val="bullet"/>
      <w:lvlText w:val=""/>
      <w:lvlJc w:val="left"/>
      <w:pPr>
        <w:ind w:left="720" w:hanging="360"/>
      </w:pPr>
      <w:rPr>
        <w:rFonts w:ascii="Symbol" w:hAnsi="Symbol" w:hint="default"/>
      </w:rPr>
    </w:lvl>
    <w:lvl w:ilvl="1" w:tplc="8C32C630">
      <w:start w:val="1"/>
      <w:numFmt w:val="bullet"/>
      <w:lvlText w:val="o"/>
      <w:lvlJc w:val="left"/>
      <w:pPr>
        <w:ind w:left="1440" w:hanging="360"/>
      </w:pPr>
      <w:rPr>
        <w:rFonts w:ascii="Courier New" w:hAnsi="Courier New" w:cs="Courier New" w:hint="default"/>
      </w:rPr>
    </w:lvl>
    <w:lvl w:ilvl="2" w:tplc="933E49D4">
      <w:start w:val="1"/>
      <w:numFmt w:val="bullet"/>
      <w:lvlText w:val=""/>
      <w:lvlJc w:val="left"/>
      <w:pPr>
        <w:ind w:left="2160" w:hanging="360"/>
      </w:pPr>
      <w:rPr>
        <w:rFonts w:ascii="Wingdings" w:hAnsi="Wingdings" w:hint="default"/>
      </w:rPr>
    </w:lvl>
    <w:lvl w:ilvl="3" w:tplc="A5E8682A">
      <w:start w:val="1"/>
      <w:numFmt w:val="bullet"/>
      <w:lvlText w:val=""/>
      <w:lvlJc w:val="left"/>
      <w:pPr>
        <w:ind w:left="2880" w:hanging="360"/>
      </w:pPr>
      <w:rPr>
        <w:rFonts w:ascii="Symbol" w:hAnsi="Symbol" w:hint="default"/>
      </w:rPr>
    </w:lvl>
    <w:lvl w:ilvl="4" w:tplc="8FAAE0EC">
      <w:start w:val="1"/>
      <w:numFmt w:val="bullet"/>
      <w:lvlText w:val="o"/>
      <w:lvlJc w:val="left"/>
      <w:pPr>
        <w:ind w:left="3600" w:hanging="360"/>
      </w:pPr>
      <w:rPr>
        <w:rFonts w:ascii="Courier New" w:hAnsi="Courier New" w:cs="Courier New" w:hint="default"/>
      </w:rPr>
    </w:lvl>
    <w:lvl w:ilvl="5" w:tplc="65BEA2C2">
      <w:start w:val="1"/>
      <w:numFmt w:val="bullet"/>
      <w:lvlText w:val=""/>
      <w:lvlJc w:val="left"/>
      <w:pPr>
        <w:ind w:left="4320" w:hanging="360"/>
      </w:pPr>
      <w:rPr>
        <w:rFonts w:ascii="Wingdings" w:hAnsi="Wingdings" w:hint="default"/>
      </w:rPr>
    </w:lvl>
    <w:lvl w:ilvl="6" w:tplc="8A543C78">
      <w:start w:val="1"/>
      <w:numFmt w:val="bullet"/>
      <w:lvlText w:val=""/>
      <w:lvlJc w:val="left"/>
      <w:pPr>
        <w:ind w:left="5040" w:hanging="360"/>
      </w:pPr>
      <w:rPr>
        <w:rFonts w:ascii="Symbol" w:hAnsi="Symbol" w:hint="default"/>
      </w:rPr>
    </w:lvl>
    <w:lvl w:ilvl="7" w:tplc="4BD811D4">
      <w:start w:val="1"/>
      <w:numFmt w:val="bullet"/>
      <w:lvlText w:val="o"/>
      <w:lvlJc w:val="left"/>
      <w:pPr>
        <w:ind w:left="5760" w:hanging="360"/>
      </w:pPr>
      <w:rPr>
        <w:rFonts w:ascii="Courier New" w:hAnsi="Courier New" w:cs="Courier New" w:hint="default"/>
      </w:rPr>
    </w:lvl>
    <w:lvl w:ilvl="8" w:tplc="37EE2C26">
      <w:start w:val="1"/>
      <w:numFmt w:val="bullet"/>
      <w:lvlText w:val=""/>
      <w:lvlJc w:val="left"/>
      <w:pPr>
        <w:ind w:left="6480" w:hanging="360"/>
      </w:pPr>
      <w:rPr>
        <w:rFonts w:ascii="Wingdings" w:hAnsi="Wingdings" w:hint="default"/>
      </w:rPr>
    </w:lvl>
  </w:abstractNum>
  <w:abstractNum w:abstractNumId="5" w15:restartNumberingAfterBreak="0">
    <w:nsid w:val="00000010"/>
    <w:multiLevelType w:val="hybridMultilevel"/>
    <w:tmpl w:val="82A8CE96"/>
    <w:lvl w:ilvl="0" w:tplc="E38C133A">
      <w:start w:val="1"/>
      <w:numFmt w:val="bullet"/>
      <w:lvlText w:val=""/>
      <w:lvlJc w:val="left"/>
      <w:pPr>
        <w:ind w:left="720" w:hanging="360"/>
      </w:pPr>
      <w:rPr>
        <w:rFonts w:ascii="Symbol" w:hAnsi="Symbol" w:hint="default"/>
      </w:rPr>
    </w:lvl>
    <w:lvl w:ilvl="1" w:tplc="EC0083F0">
      <w:start w:val="1"/>
      <w:numFmt w:val="bullet"/>
      <w:lvlText w:val="o"/>
      <w:lvlJc w:val="left"/>
      <w:pPr>
        <w:ind w:left="1440" w:hanging="360"/>
      </w:pPr>
      <w:rPr>
        <w:rFonts w:ascii="Courier New" w:hAnsi="Courier New" w:cs="Courier New" w:hint="default"/>
      </w:rPr>
    </w:lvl>
    <w:lvl w:ilvl="2" w:tplc="35FC6304">
      <w:start w:val="1"/>
      <w:numFmt w:val="bullet"/>
      <w:lvlText w:val=""/>
      <w:lvlJc w:val="left"/>
      <w:pPr>
        <w:ind w:left="2160" w:hanging="360"/>
      </w:pPr>
      <w:rPr>
        <w:rFonts w:ascii="Wingdings" w:hAnsi="Wingdings" w:hint="default"/>
      </w:rPr>
    </w:lvl>
    <w:lvl w:ilvl="3" w:tplc="038A069A">
      <w:start w:val="1"/>
      <w:numFmt w:val="bullet"/>
      <w:lvlText w:val=""/>
      <w:lvlJc w:val="left"/>
      <w:pPr>
        <w:ind w:left="2880" w:hanging="360"/>
      </w:pPr>
      <w:rPr>
        <w:rFonts w:ascii="Symbol" w:hAnsi="Symbol" w:hint="default"/>
      </w:rPr>
    </w:lvl>
    <w:lvl w:ilvl="4" w:tplc="9D7406C0">
      <w:start w:val="1"/>
      <w:numFmt w:val="bullet"/>
      <w:lvlText w:val="o"/>
      <w:lvlJc w:val="left"/>
      <w:pPr>
        <w:ind w:left="3600" w:hanging="360"/>
      </w:pPr>
      <w:rPr>
        <w:rFonts w:ascii="Courier New" w:hAnsi="Courier New" w:cs="Courier New" w:hint="default"/>
      </w:rPr>
    </w:lvl>
    <w:lvl w:ilvl="5" w:tplc="44FABE2E">
      <w:start w:val="1"/>
      <w:numFmt w:val="bullet"/>
      <w:lvlText w:val=""/>
      <w:lvlJc w:val="left"/>
      <w:pPr>
        <w:ind w:left="4320" w:hanging="360"/>
      </w:pPr>
      <w:rPr>
        <w:rFonts w:ascii="Wingdings" w:hAnsi="Wingdings" w:hint="default"/>
      </w:rPr>
    </w:lvl>
    <w:lvl w:ilvl="6" w:tplc="92AC3444">
      <w:start w:val="1"/>
      <w:numFmt w:val="bullet"/>
      <w:lvlText w:val=""/>
      <w:lvlJc w:val="left"/>
      <w:pPr>
        <w:ind w:left="5040" w:hanging="360"/>
      </w:pPr>
      <w:rPr>
        <w:rFonts w:ascii="Symbol" w:hAnsi="Symbol" w:hint="default"/>
      </w:rPr>
    </w:lvl>
    <w:lvl w:ilvl="7" w:tplc="622A5080">
      <w:start w:val="1"/>
      <w:numFmt w:val="bullet"/>
      <w:lvlText w:val="o"/>
      <w:lvlJc w:val="left"/>
      <w:pPr>
        <w:ind w:left="5760" w:hanging="360"/>
      </w:pPr>
      <w:rPr>
        <w:rFonts w:ascii="Courier New" w:hAnsi="Courier New" w:cs="Courier New" w:hint="default"/>
      </w:rPr>
    </w:lvl>
    <w:lvl w:ilvl="8" w:tplc="B33A4CD4">
      <w:start w:val="1"/>
      <w:numFmt w:val="bullet"/>
      <w:lvlText w:val=""/>
      <w:lvlJc w:val="left"/>
      <w:pPr>
        <w:ind w:left="6480" w:hanging="360"/>
      </w:pPr>
      <w:rPr>
        <w:rFonts w:ascii="Wingdings" w:hAnsi="Wingdings" w:hint="default"/>
      </w:rPr>
    </w:lvl>
  </w:abstractNum>
  <w:abstractNum w:abstractNumId="6" w15:restartNumberingAfterBreak="0">
    <w:nsid w:val="00000011"/>
    <w:multiLevelType w:val="hybridMultilevel"/>
    <w:tmpl w:val="53FC8216"/>
    <w:lvl w:ilvl="0" w:tplc="27B81F04">
      <w:start w:val="1"/>
      <w:numFmt w:val="bullet"/>
      <w:lvlText w:val=""/>
      <w:lvlJc w:val="left"/>
      <w:pPr>
        <w:ind w:left="780" w:hanging="360"/>
      </w:pPr>
      <w:rPr>
        <w:rFonts w:ascii="Symbol" w:hAnsi="Symbol" w:hint="default"/>
      </w:rPr>
    </w:lvl>
    <w:lvl w:ilvl="1" w:tplc="68724E78">
      <w:start w:val="1"/>
      <w:numFmt w:val="bullet"/>
      <w:lvlText w:val="o"/>
      <w:lvlJc w:val="left"/>
      <w:pPr>
        <w:ind w:left="1500" w:hanging="360"/>
      </w:pPr>
      <w:rPr>
        <w:rFonts w:ascii="Courier New" w:hAnsi="Courier New" w:cs="Courier New" w:hint="default"/>
      </w:rPr>
    </w:lvl>
    <w:lvl w:ilvl="2" w:tplc="C688D904">
      <w:start w:val="1"/>
      <w:numFmt w:val="bullet"/>
      <w:lvlText w:val=""/>
      <w:lvlJc w:val="left"/>
      <w:pPr>
        <w:ind w:left="2220" w:hanging="360"/>
      </w:pPr>
      <w:rPr>
        <w:rFonts w:ascii="Wingdings" w:hAnsi="Wingdings" w:hint="default"/>
      </w:rPr>
    </w:lvl>
    <w:lvl w:ilvl="3" w:tplc="122CA37E">
      <w:start w:val="1"/>
      <w:numFmt w:val="bullet"/>
      <w:lvlText w:val=""/>
      <w:lvlJc w:val="left"/>
      <w:pPr>
        <w:ind w:left="2940" w:hanging="360"/>
      </w:pPr>
      <w:rPr>
        <w:rFonts w:ascii="Symbol" w:hAnsi="Symbol" w:hint="default"/>
      </w:rPr>
    </w:lvl>
    <w:lvl w:ilvl="4" w:tplc="A366FB8C">
      <w:start w:val="1"/>
      <w:numFmt w:val="bullet"/>
      <w:lvlText w:val="o"/>
      <w:lvlJc w:val="left"/>
      <w:pPr>
        <w:ind w:left="3660" w:hanging="360"/>
      </w:pPr>
      <w:rPr>
        <w:rFonts w:ascii="Courier New" w:hAnsi="Courier New" w:cs="Courier New" w:hint="default"/>
      </w:rPr>
    </w:lvl>
    <w:lvl w:ilvl="5" w:tplc="DD443656">
      <w:start w:val="1"/>
      <w:numFmt w:val="bullet"/>
      <w:lvlText w:val=""/>
      <w:lvlJc w:val="left"/>
      <w:pPr>
        <w:ind w:left="4380" w:hanging="360"/>
      </w:pPr>
      <w:rPr>
        <w:rFonts w:ascii="Wingdings" w:hAnsi="Wingdings" w:hint="default"/>
      </w:rPr>
    </w:lvl>
    <w:lvl w:ilvl="6" w:tplc="C86A3A90">
      <w:start w:val="1"/>
      <w:numFmt w:val="bullet"/>
      <w:lvlText w:val=""/>
      <w:lvlJc w:val="left"/>
      <w:pPr>
        <w:ind w:left="5100" w:hanging="360"/>
      </w:pPr>
      <w:rPr>
        <w:rFonts w:ascii="Symbol" w:hAnsi="Symbol" w:hint="default"/>
      </w:rPr>
    </w:lvl>
    <w:lvl w:ilvl="7" w:tplc="2E783C78">
      <w:start w:val="1"/>
      <w:numFmt w:val="bullet"/>
      <w:lvlText w:val="o"/>
      <w:lvlJc w:val="left"/>
      <w:pPr>
        <w:ind w:left="5820" w:hanging="360"/>
      </w:pPr>
      <w:rPr>
        <w:rFonts w:ascii="Courier New" w:hAnsi="Courier New" w:cs="Courier New" w:hint="default"/>
      </w:rPr>
    </w:lvl>
    <w:lvl w:ilvl="8" w:tplc="3D24DA12">
      <w:start w:val="1"/>
      <w:numFmt w:val="bullet"/>
      <w:lvlText w:val=""/>
      <w:lvlJc w:val="left"/>
      <w:pPr>
        <w:ind w:left="6540" w:hanging="360"/>
      </w:pPr>
      <w:rPr>
        <w:rFonts w:ascii="Wingdings" w:hAnsi="Wingdings" w:hint="default"/>
      </w:rPr>
    </w:lvl>
  </w:abstractNum>
  <w:abstractNum w:abstractNumId="7" w15:restartNumberingAfterBreak="0">
    <w:nsid w:val="00000012"/>
    <w:multiLevelType w:val="hybridMultilevel"/>
    <w:tmpl w:val="9CFABFF0"/>
    <w:lvl w:ilvl="0" w:tplc="EBA2681E">
      <w:start w:val="1"/>
      <w:numFmt w:val="bullet"/>
      <w:lvlText w:val=""/>
      <w:lvlJc w:val="left"/>
      <w:pPr>
        <w:ind w:left="855" w:hanging="360"/>
      </w:pPr>
      <w:rPr>
        <w:rFonts w:ascii="Symbol" w:hAnsi="Symbol" w:hint="default"/>
      </w:rPr>
    </w:lvl>
    <w:lvl w:ilvl="1" w:tplc="9C6E9D48">
      <w:start w:val="1"/>
      <w:numFmt w:val="bullet"/>
      <w:lvlText w:val="o"/>
      <w:lvlJc w:val="left"/>
      <w:pPr>
        <w:ind w:left="1575" w:hanging="360"/>
      </w:pPr>
      <w:rPr>
        <w:rFonts w:ascii="Courier New" w:hAnsi="Courier New" w:cs="Courier New" w:hint="default"/>
      </w:rPr>
    </w:lvl>
    <w:lvl w:ilvl="2" w:tplc="56DA7E48">
      <w:start w:val="1"/>
      <w:numFmt w:val="bullet"/>
      <w:lvlText w:val=""/>
      <w:lvlJc w:val="left"/>
      <w:pPr>
        <w:ind w:left="2295" w:hanging="360"/>
      </w:pPr>
      <w:rPr>
        <w:rFonts w:ascii="Wingdings" w:hAnsi="Wingdings" w:hint="default"/>
      </w:rPr>
    </w:lvl>
    <w:lvl w:ilvl="3" w:tplc="1DC21432">
      <w:start w:val="1"/>
      <w:numFmt w:val="bullet"/>
      <w:lvlText w:val=""/>
      <w:lvlJc w:val="left"/>
      <w:pPr>
        <w:ind w:left="3015" w:hanging="360"/>
      </w:pPr>
      <w:rPr>
        <w:rFonts w:ascii="Symbol" w:hAnsi="Symbol" w:hint="default"/>
      </w:rPr>
    </w:lvl>
    <w:lvl w:ilvl="4" w:tplc="426CACA0">
      <w:start w:val="1"/>
      <w:numFmt w:val="bullet"/>
      <w:lvlText w:val="o"/>
      <w:lvlJc w:val="left"/>
      <w:pPr>
        <w:ind w:left="3735" w:hanging="360"/>
      </w:pPr>
      <w:rPr>
        <w:rFonts w:ascii="Courier New" w:hAnsi="Courier New" w:cs="Courier New" w:hint="default"/>
      </w:rPr>
    </w:lvl>
    <w:lvl w:ilvl="5" w:tplc="1D824734">
      <w:start w:val="1"/>
      <w:numFmt w:val="bullet"/>
      <w:lvlText w:val=""/>
      <w:lvlJc w:val="left"/>
      <w:pPr>
        <w:ind w:left="4455" w:hanging="360"/>
      </w:pPr>
      <w:rPr>
        <w:rFonts w:ascii="Wingdings" w:hAnsi="Wingdings" w:hint="default"/>
      </w:rPr>
    </w:lvl>
    <w:lvl w:ilvl="6" w:tplc="105ABD14">
      <w:start w:val="1"/>
      <w:numFmt w:val="bullet"/>
      <w:lvlText w:val=""/>
      <w:lvlJc w:val="left"/>
      <w:pPr>
        <w:ind w:left="5175" w:hanging="360"/>
      </w:pPr>
      <w:rPr>
        <w:rFonts w:ascii="Symbol" w:hAnsi="Symbol" w:hint="default"/>
      </w:rPr>
    </w:lvl>
    <w:lvl w:ilvl="7" w:tplc="32321234">
      <w:start w:val="1"/>
      <w:numFmt w:val="bullet"/>
      <w:lvlText w:val="o"/>
      <w:lvlJc w:val="left"/>
      <w:pPr>
        <w:ind w:left="5895" w:hanging="360"/>
      </w:pPr>
      <w:rPr>
        <w:rFonts w:ascii="Courier New" w:hAnsi="Courier New" w:cs="Courier New" w:hint="default"/>
      </w:rPr>
    </w:lvl>
    <w:lvl w:ilvl="8" w:tplc="B27A6FFA">
      <w:start w:val="1"/>
      <w:numFmt w:val="bullet"/>
      <w:lvlText w:val=""/>
      <w:lvlJc w:val="left"/>
      <w:pPr>
        <w:ind w:left="6615" w:hanging="360"/>
      </w:pPr>
      <w:rPr>
        <w:rFonts w:ascii="Wingdings" w:hAnsi="Wingdings" w:hint="default"/>
      </w:rPr>
    </w:lvl>
  </w:abstractNum>
  <w:abstractNum w:abstractNumId="8" w15:restartNumberingAfterBreak="0">
    <w:nsid w:val="00000013"/>
    <w:multiLevelType w:val="hybridMultilevel"/>
    <w:tmpl w:val="4308ED98"/>
    <w:lvl w:ilvl="0" w:tplc="0DF00D3C">
      <w:start w:val="1"/>
      <w:numFmt w:val="bullet"/>
      <w:lvlText w:val=""/>
      <w:lvlJc w:val="left"/>
      <w:pPr>
        <w:ind w:left="1440" w:hanging="360"/>
      </w:pPr>
      <w:rPr>
        <w:rFonts w:ascii="Symbol" w:hAnsi="Symbol" w:hint="default"/>
      </w:rPr>
    </w:lvl>
    <w:lvl w:ilvl="1" w:tplc="29AE7DA0">
      <w:start w:val="1"/>
      <w:numFmt w:val="bullet"/>
      <w:lvlText w:val="o"/>
      <w:lvlJc w:val="left"/>
      <w:pPr>
        <w:ind w:left="2160" w:hanging="360"/>
      </w:pPr>
      <w:rPr>
        <w:rFonts w:ascii="Courier New" w:hAnsi="Courier New" w:cs="Courier New" w:hint="default"/>
      </w:rPr>
    </w:lvl>
    <w:lvl w:ilvl="2" w:tplc="C61C9D22">
      <w:start w:val="1"/>
      <w:numFmt w:val="bullet"/>
      <w:lvlText w:val=""/>
      <w:lvlJc w:val="left"/>
      <w:pPr>
        <w:ind w:left="2880" w:hanging="360"/>
      </w:pPr>
      <w:rPr>
        <w:rFonts w:ascii="Wingdings" w:hAnsi="Wingdings" w:hint="default"/>
      </w:rPr>
    </w:lvl>
    <w:lvl w:ilvl="3" w:tplc="9E76C6B2">
      <w:start w:val="1"/>
      <w:numFmt w:val="bullet"/>
      <w:lvlText w:val=""/>
      <w:lvlJc w:val="left"/>
      <w:pPr>
        <w:ind w:left="3600" w:hanging="360"/>
      </w:pPr>
      <w:rPr>
        <w:rFonts w:ascii="Symbol" w:hAnsi="Symbol" w:hint="default"/>
      </w:rPr>
    </w:lvl>
    <w:lvl w:ilvl="4" w:tplc="57A26D92">
      <w:start w:val="1"/>
      <w:numFmt w:val="bullet"/>
      <w:lvlText w:val="o"/>
      <w:lvlJc w:val="left"/>
      <w:pPr>
        <w:ind w:left="4320" w:hanging="360"/>
      </w:pPr>
      <w:rPr>
        <w:rFonts w:ascii="Courier New" w:hAnsi="Courier New" w:cs="Courier New" w:hint="default"/>
      </w:rPr>
    </w:lvl>
    <w:lvl w:ilvl="5" w:tplc="02F83C18">
      <w:start w:val="1"/>
      <w:numFmt w:val="bullet"/>
      <w:lvlText w:val=""/>
      <w:lvlJc w:val="left"/>
      <w:pPr>
        <w:ind w:left="5040" w:hanging="360"/>
      </w:pPr>
      <w:rPr>
        <w:rFonts w:ascii="Wingdings" w:hAnsi="Wingdings" w:hint="default"/>
      </w:rPr>
    </w:lvl>
    <w:lvl w:ilvl="6" w:tplc="DBDC3DFC">
      <w:start w:val="1"/>
      <w:numFmt w:val="bullet"/>
      <w:lvlText w:val=""/>
      <w:lvlJc w:val="left"/>
      <w:pPr>
        <w:ind w:left="5760" w:hanging="360"/>
      </w:pPr>
      <w:rPr>
        <w:rFonts w:ascii="Symbol" w:hAnsi="Symbol" w:hint="default"/>
      </w:rPr>
    </w:lvl>
    <w:lvl w:ilvl="7" w:tplc="5058D754">
      <w:start w:val="1"/>
      <w:numFmt w:val="bullet"/>
      <w:lvlText w:val="o"/>
      <w:lvlJc w:val="left"/>
      <w:pPr>
        <w:ind w:left="6480" w:hanging="360"/>
      </w:pPr>
      <w:rPr>
        <w:rFonts w:ascii="Courier New" w:hAnsi="Courier New" w:cs="Courier New" w:hint="default"/>
      </w:rPr>
    </w:lvl>
    <w:lvl w:ilvl="8" w:tplc="3A589B72">
      <w:start w:val="1"/>
      <w:numFmt w:val="bullet"/>
      <w:lvlText w:val=""/>
      <w:lvlJc w:val="left"/>
      <w:pPr>
        <w:ind w:left="7200" w:hanging="360"/>
      </w:pPr>
      <w:rPr>
        <w:rFonts w:ascii="Wingdings" w:hAnsi="Wingdings" w:hint="default"/>
      </w:rPr>
    </w:lvl>
  </w:abstractNum>
  <w:abstractNum w:abstractNumId="9" w15:restartNumberingAfterBreak="0">
    <w:nsid w:val="00000015"/>
    <w:multiLevelType w:val="hybridMultilevel"/>
    <w:tmpl w:val="CDBC297A"/>
    <w:lvl w:ilvl="0" w:tplc="E59C27FC">
      <w:start w:val="1"/>
      <w:numFmt w:val="bullet"/>
      <w:lvlText w:val=""/>
      <w:lvlJc w:val="left"/>
      <w:pPr>
        <w:ind w:left="720" w:hanging="360"/>
      </w:pPr>
      <w:rPr>
        <w:rFonts w:ascii="Symbol" w:hAnsi="Symbol" w:hint="default"/>
      </w:rPr>
    </w:lvl>
    <w:lvl w:ilvl="1" w:tplc="3B28BE6A">
      <w:start w:val="1"/>
      <w:numFmt w:val="bullet"/>
      <w:lvlText w:val="o"/>
      <w:lvlJc w:val="left"/>
      <w:pPr>
        <w:ind w:left="1440" w:hanging="360"/>
      </w:pPr>
      <w:rPr>
        <w:rFonts w:ascii="Courier New" w:hAnsi="Courier New" w:cs="Courier New" w:hint="default"/>
      </w:rPr>
    </w:lvl>
    <w:lvl w:ilvl="2" w:tplc="8B606AC2">
      <w:start w:val="1"/>
      <w:numFmt w:val="bullet"/>
      <w:lvlText w:val=""/>
      <w:lvlJc w:val="left"/>
      <w:pPr>
        <w:ind w:left="2160" w:hanging="360"/>
      </w:pPr>
      <w:rPr>
        <w:rFonts w:ascii="Wingdings" w:hAnsi="Wingdings" w:hint="default"/>
      </w:rPr>
    </w:lvl>
    <w:lvl w:ilvl="3" w:tplc="262A64EE">
      <w:start w:val="1"/>
      <w:numFmt w:val="bullet"/>
      <w:lvlText w:val=""/>
      <w:lvlJc w:val="left"/>
      <w:pPr>
        <w:ind w:left="2880" w:hanging="360"/>
      </w:pPr>
      <w:rPr>
        <w:rFonts w:ascii="Symbol" w:hAnsi="Symbol" w:hint="default"/>
      </w:rPr>
    </w:lvl>
    <w:lvl w:ilvl="4" w:tplc="70BEA502">
      <w:start w:val="1"/>
      <w:numFmt w:val="bullet"/>
      <w:lvlText w:val="o"/>
      <w:lvlJc w:val="left"/>
      <w:pPr>
        <w:ind w:left="3600" w:hanging="360"/>
      </w:pPr>
      <w:rPr>
        <w:rFonts w:ascii="Courier New" w:hAnsi="Courier New" w:cs="Courier New" w:hint="default"/>
      </w:rPr>
    </w:lvl>
    <w:lvl w:ilvl="5" w:tplc="BC9E6E94">
      <w:start w:val="1"/>
      <w:numFmt w:val="bullet"/>
      <w:lvlText w:val=""/>
      <w:lvlJc w:val="left"/>
      <w:pPr>
        <w:ind w:left="4320" w:hanging="360"/>
      </w:pPr>
      <w:rPr>
        <w:rFonts w:ascii="Wingdings" w:hAnsi="Wingdings" w:hint="default"/>
      </w:rPr>
    </w:lvl>
    <w:lvl w:ilvl="6" w:tplc="ADE6061A">
      <w:start w:val="1"/>
      <w:numFmt w:val="bullet"/>
      <w:lvlText w:val=""/>
      <w:lvlJc w:val="left"/>
      <w:pPr>
        <w:ind w:left="5040" w:hanging="360"/>
      </w:pPr>
      <w:rPr>
        <w:rFonts w:ascii="Symbol" w:hAnsi="Symbol" w:hint="default"/>
      </w:rPr>
    </w:lvl>
    <w:lvl w:ilvl="7" w:tplc="7E805B50">
      <w:start w:val="1"/>
      <w:numFmt w:val="bullet"/>
      <w:lvlText w:val="o"/>
      <w:lvlJc w:val="left"/>
      <w:pPr>
        <w:ind w:left="5760" w:hanging="360"/>
      </w:pPr>
      <w:rPr>
        <w:rFonts w:ascii="Courier New" w:hAnsi="Courier New" w:cs="Courier New" w:hint="default"/>
      </w:rPr>
    </w:lvl>
    <w:lvl w:ilvl="8" w:tplc="9FD07C22">
      <w:start w:val="1"/>
      <w:numFmt w:val="bullet"/>
      <w:lvlText w:val=""/>
      <w:lvlJc w:val="left"/>
      <w:pPr>
        <w:ind w:left="6480" w:hanging="360"/>
      </w:pPr>
      <w:rPr>
        <w:rFonts w:ascii="Wingdings" w:hAnsi="Wingdings" w:hint="default"/>
      </w:rPr>
    </w:lvl>
  </w:abstractNum>
  <w:abstractNum w:abstractNumId="10" w15:restartNumberingAfterBreak="0">
    <w:nsid w:val="00000017"/>
    <w:multiLevelType w:val="hybridMultilevel"/>
    <w:tmpl w:val="B9987896"/>
    <w:lvl w:ilvl="0" w:tplc="62AA9D24">
      <w:start w:val="1"/>
      <w:numFmt w:val="bullet"/>
      <w:lvlText w:val=""/>
      <w:lvlJc w:val="left"/>
      <w:pPr>
        <w:ind w:left="720" w:hanging="360"/>
      </w:pPr>
      <w:rPr>
        <w:rFonts w:ascii="Symbol" w:hAnsi="Symbol" w:hint="default"/>
      </w:rPr>
    </w:lvl>
    <w:lvl w:ilvl="1" w:tplc="1F94B844">
      <w:start w:val="1"/>
      <w:numFmt w:val="bullet"/>
      <w:lvlText w:val="o"/>
      <w:lvlJc w:val="left"/>
      <w:pPr>
        <w:ind w:left="1440" w:hanging="360"/>
      </w:pPr>
      <w:rPr>
        <w:rFonts w:ascii="Courier New" w:hAnsi="Courier New" w:cs="Courier New" w:hint="default"/>
      </w:rPr>
    </w:lvl>
    <w:lvl w:ilvl="2" w:tplc="9EBAC1BE">
      <w:start w:val="1"/>
      <w:numFmt w:val="bullet"/>
      <w:lvlText w:val=""/>
      <w:lvlJc w:val="left"/>
      <w:pPr>
        <w:ind w:left="2160" w:hanging="360"/>
      </w:pPr>
      <w:rPr>
        <w:rFonts w:ascii="Wingdings" w:hAnsi="Wingdings" w:hint="default"/>
      </w:rPr>
    </w:lvl>
    <w:lvl w:ilvl="3" w:tplc="23AA758E">
      <w:start w:val="1"/>
      <w:numFmt w:val="bullet"/>
      <w:lvlText w:val=""/>
      <w:lvlJc w:val="left"/>
      <w:pPr>
        <w:ind w:left="2880" w:hanging="360"/>
      </w:pPr>
      <w:rPr>
        <w:rFonts w:ascii="Symbol" w:hAnsi="Symbol" w:hint="default"/>
      </w:rPr>
    </w:lvl>
    <w:lvl w:ilvl="4" w:tplc="555AD266">
      <w:start w:val="1"/>
      <w:numFmt w:val="bullet"/>
      <w:lvlText w:val="o"/>
      <w:lvlJc w:val="left"/>
      <w:pPr>
        <w:ind w:left="3600" w:hanging="360"/>
      </w:pPr>
      <w:rPr>
        <w:rFonts w:ascii="Courier New" w:hAnsi="Courier New" w:cs="Courier New" w:hint="default"/>
      </w:rPr>
    </w:lvl>
    <w:lvl w:ilvl="5" w:tplc="1E948686">
      <w:start w:val="1"/>
      <w:numFmt w:val="bullet"/>
      <w:lvlText w:val=""/>
      <w:lvlJc w:val="left"/>
      <w:pPr>
        <w:ind w:left="4320" w:hanging="360"/>
      </w:pPr>
      <w:rPr>
        <w:rFonts w:ascii="Wingdings" w:hAnsi="Wingdings" w:hint="default"/>
      </w:rPr>
    </w:lvl>
    <w:lvl w:ilvl="6" w:tplc="5F9EAD36">
      <w:start w:val="1"/>
      <w:numFmt w:val="bullet"/>
      <w:lvlText w:val=""/>
      <w:lvlJc w:val="left"/>
      <w:pPr>
        <w:ind w:left="5040" w:hanging="360"/>
      </w:pPr>
      <w:rPr>
        <w:rFonts w:ascii="Symbol" w:hAnsi="Symbol" w:hint="default"/>
      </w:rPr>
    </w:lvl>
    <w:lvl w:ilvl="7" w:tplc="A30EC606">
      <w:start w:val="1"/>
      <w:numFmt w:val="bullet"/>
      <w:lvlText w:val="o"/>
      <w:lvlJc w:val="left"/>
      <w:pPr>
        <w:ind w:left="5760" w:hanging="360"/>
      </w:pPr>
      <w:rPr>
        <w:rFonts w:ascii="Courier New" w:hAnsi="Courier New" w:cs="Courier New" w:hint="default"/>
      </w:rPr>
    </w:lvl>
    <w:lvl w:ilvl="8" w:tplc="83FA6B9E">
      <w:start w:val="1"/>
      <w:numFmt w:val="bullet"/>
      <w:lvlText w:val=""/>
      <w:lvlJc w:val="left"/>
      <w:pPr>
        <w:ind w:left="6480" w:hanging="360"/>
      </w:pPr>
      <w:rPr>
        <w:rFonts w:ascii="Wingdings" w:hAnsi="Wingdings" w:hint="default"/>
      </w:rPr>
    </w:lvl>
  </w:abstractNum>
  <w:abstractNum w:abstractNumId="11" w15:restartNumberingAfterBreak="0">
    <w:nsid w:val="00000019"/>
    <w:multiLevelType w:val="hybridMultilevel"/>
    <w:tmpl w:val="F88E00EE"/>
    <w:lvl w:ilvl="0" w:tplc="61268A56">
      <w:start w:val="1"/>
      <w:numFmt w:val="bullet"/>
      <w:lvlText w:val=""/>
      <w:lvlJc w:val="left"/>
      <w:pPr>
        <w:ind w:left="720" w:hanging="360"/>
      </w:pPr>
      <w:rPr>
        <w:rFonts w:ascii="Symbol" w:hAnsi="Symbol" w:hint="default"/>
      </w:rPr>
    </w:lvl>
    <w:lvl w:ilvl="1" w:tplc="9BBACC0A">
      <w:start w:val="1"/>
      <w:numFmt w:val="bullet"/>
      <w:lvlText w:val="o"/>
      <w:lvlJc w:val="left"/>
      <w:pPr>
        <w:ind w:left="1440" w:hanging="360"/>
      </w:pPr>
      <w:rPr>
        <w:rFonts w:ascii="Courier New" w:hAnsi="Courier New" w:cs="Courier New" w:hint="default"/>
      </w:rPr>
    </w:lvl>
    <w:lvl w:ilvl="2" w:tplc="0FBE6154">
      <w:start w:val="1"/>
      <w:numFmt w:val="bullet"/>
      <w:lvlText w:val=""/>
      <w:lvlJc w:val="left"/>
      <w:pPr>
        <w:ind w:left="2160" w:hanging="360"/>
      </w:pPr>
      <w:rPr>
        <w:rFonts w:ascii="Wingdings" w:hAnsi="Wingdings" w:hint="default"/>
      </w:rPr>
    </w:lvl>
    <w:lvl w:ilvl="3" w:tplc="4A260BCE">
      <w:start w:val="1"/>
      <w:numFmt w:val="bullet"/>
      <w:lvlText w:val=""/>
      <w:lvlJc w:val="left"/>
      <w:pPr>
        <w:ind w:left="2880" w:hanging="360"/>
      </w:pPr>
      <w:rPr>
        <w:rFonts w:ascii="Symbol" w:hAnsi="Symbol" w:hint="default"/>
      </w:rPr>
    </w:lvl>
    <w:lvl w:ilvl="4" w:tplc="63449BC6">
      <w:start w:val="1"/>
      <w:numFmt w:val="bullet"/>
      <w:lvlText w:val="o"/>
      <w:lvlJc w:val="left"/>
      <w:pPr>
        <w:ind w:left="3600" w:hanging="360"/>
      </w:pPr>
      <w:rPr>
        <w:rFonts w:ascii="Courier New" w:hAnsi="Courier New" w:cs="Courier New" w:hint="default"/>
      </w:rPr>
    </w:lvl>
    <w:lvl w:ilvl="5" w:tplc="7144C61C">
      <w:start w:val="1"/>
      <w:numFmt w:val="bullet"/>
      <w:lvlText w:val=""/>
      <w:lvlJc w:val="left"/>
      <w:pPr>
        <w:ind w:left="4320" w:hanging="360"/>
      </w:pPr>
      <w:rPr>
        <w:rFonts w:ascii="Wingdings" w:hAnsi="Wingdings" w:hint="default"/>
      </w:rPr>
    </w:lvl>
    <w:lvl w:ilvl="6" w:tplc="DCBCBFBC">
      <w:start w:val="1"/>
      <w:numFmt w:val="bullet"/>
      <w:lvlText w:val=""/>
      <w:lvlJc w:val="left"/>
      <w:pPr>
        <w:ind w:left="5040" w:hanging="360"/>
      </w:pPr>
      <w:rPr>
        <w:rFonts w:ascii="Symbol" w:hAnsi="Symbol" w:hint="default"/>
      </w:rPr>
    </w:lvl>
    <w:lvl w:ilvl="7" w:tplc="054C771C">
      <w:start w:val="1"/>
      <w:numFmt w:val="bullet"/>
      <w:lvlText w:val="o"/>
      <w:lvlJc w:val="left"/>
      <w:pPr>
        <w:ind w:left="5760" w:hanging="360"/>
      </w:pPr>
      <w:rPr>
        <w:rFonts w:ascii="Courier New" w:hAnsi="Courier New" w:cs="Courier New" w:hint="default"/>
      </w:rPr>
    </w:lvl>
    <w:lvl w:ilvl="8" w:tplc="E9B66DD6">
      <w:start w:val="1"/>
      <w:numFmt w:val="bullet"/>
      <w:lvlText w:val=""/>
      <w:lvlJc w:val="left"/>
      <w:pPr>
        <w:ind w:left="6480" w:hanging="360"/>
      </w:pPr>
      <w:rPr>
        <w:rFonts w:ascii="Wingdings" w:hAnsi="Wingdings" w:hint="default"/>
      </w:rPr>
    </w:lvl>
  </w:abstractNum>
  <w:abstractNum w:abstractNumId="12" w15:restartNumberingAfterBreak="0">
    <w:nsid w:val="0000001A"/>
    <w:multiLevelType w:val="hybridMultilevel"/>
    <w:tmpl w:val="F266B458"/>
    <w:lvl w:ilvl="0" w:tplc="1C704A4E">
      <w:start w:val="1"/>
      <w:numFmt w:val="bullet"/>
      <w:lvlText w:val=""/>
      <w:lvlJc w:val="left"/>
      <w:pPr>
        <w:ind w:left="720" w:hanging="360"/>
      </w:pPr>
      <w:rPr>
        <w:rFonts w:ascii="Symbol" w:hAnsi="Symbol" w:hint="default"/>
      </w:rPr>
    </w:lvl>
    <w:lvl w:ilvl="1" w:tplc="EC9A703C">
      <w:start w:val="1"/>
      <w:numFmt w:val="bullet"/>
      <w:lvlText w:val="o"/>
      <w:lvlJc w:val="left"/>
      <w:pPr>
        <w:ind w:left="1440" w:hanging="360"/>
      </w:pPr>
      <w:rPr>
        <w:rFonts w:ascii="Courier New" w:hAnsi="Courier New" w:cs="Courier New" w:hint="default"/>
      </w:rPr>
    </w:lvl>
    <w:lvl w:ilvl="2" w:tplc="07B60D4A">
      <w:start w:val="1"/>
      <w:numFmt w:val="bullet"/>
      <w:lvlText w:val=""/>
      <w:lvlJc w:val="left"/>
      <w:pPr>
        <w:ind w:left="2160" w:hanging="360"/>
      </w:pPr>
      <w:rPr>
        <w:rFonts w:ascii="Wingdings" w:hAnsi="Wingdings" w:hint="default"/>
      </w:rPr>
    </w:lvl>
    <w:lvl w:ilvl="3" w:tplc="53C06722">
      <w:start w:val="1"/>
      <w:numFmt w:val="bullet"/>
      <w:lvlText w:val=""/>
      <w:lvlJc w:val="left"/>
      <w:pPr>
        <w:ind w:left="2880" w:hanging="360"/>
      </w:pPr>
      <w:rPr>
        <w:rFonts w:ascii="Symbol" w:hAnsi="Symbol" w:hint="default"/>
      </w:rPr>
    </w:lvl>
    <w:lvl w:ilvl="4" w:tplc="F47A6C24">
      <w:start w:val="1"/>
      <w:numFmt w:val="bullet"/>
      <w:lvlText w:val="o"/>
      <w:lvlJc w:val="left"/>
      <w:pPr>
        <w:ind w:left="3600" w:hanging="360"/>
      </w:pPr>
      <w:rPr>
        <w:rFonts w:ascii="Courier New" w:hAnsi="Courier New" w:cs="Courier New" w:hint="default"/>
      </w:rPr>
    </w:lvl>
    <w:lvl w:ilvl="5" w:tplc="287C998A">
      <w:start w:val="1"/>
      <w:numFmt w:val="bullet"/>
      <w:lvlText w:val=""/>
      <w:lvlJc w:val="left"/>
      <w:pPr>
        <w:ind w:left="4320" w:hanging="360"/>
      </w:pPr>
      <w:rPr>
        <w:rFonts w:ascii="Wingdings" w:hAnsi="Wingdings" w:hint="default"/>
      </w:rPr>
    </w:lvl>
    <w:lvl w:ilvl="6" w:tplc="CD50291A">
      <w:start w:val="1"/>
      <w:numFmt w:val="bullet"/>
      <w:lvlText w:val=""/>
      <w:lvlJc w:val="left"/>
      <w:pPr>
        <w:ind w:left="5040" w:hanging="360"/>
      </w:pPr>
      <w:rPr>
        <w:rFonts w:ascii="Symbol" w:hAnsi="Symbol" w:hint="default"/>
      </w:rPr>
    </w:lvl>
    <w:lvl w:ilvl="7" w:tplc="44E0BB6C">
      <w:start w:val="1"/>
      <w:numFmt w:val="bullet"/>
      <w:lvlText w:val="o"/>
      <w:lvlJc w:val="left"/>
      <w:pPr>
        <w:ind w:left="5760" w:hanging="360"/>
      </w:pPr>
      <w:rPr>
        <w:rFonts w:ascii="Courier New" w:hAnsi="Courier New" w:cs="Courier New" w:hint="default"/>
      </w:rPr>
    </w:lvl>
    <w:lvl w:ilvl="8" w:tplc="D08E6794">
      <w:start w:val="1"/>
      <w:numFmt w:val="bullet"/>
      <w:lvlText w:val=""/>
      <w:lvlJc w:val="left"/>
      <w:pPr>
        <w:ind w:left="6480" w:hanging="360"/>
      </w:pPr>
      <w:rPr>
        <w:rFonts w:ascii="Wingdings" w:hAnsi="Wingdings" w:hint="default"/>
      </w:rPr>
    </w:lvl>
  </w:abstractNum>
  <w:abstractNum w:abstractNumId="13" w15:restartNumberingAfterBreak="0">
    <w:nsid w:val="000D10E5"/>
    <w:multiLevelType w:val="hybridMultilevel"/>
    <w:tmpl w:val="7390E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147210C"/>
    <w:multiLevelType w:val="hybridMultilevel"/>
    <w:tmpl w:val="7578E17E"/>
    <w:lvl w:ilvl="0" w:tplc="FFFFFFFF">
      <w:start w:val="1"/>
      <w:numFmt w:val="bullet"/>
      <w:lvlText w:val=""/>
      <w:lvlJc w:val="left"/>
      <w:pPr>
        <w:ind w:left="1140" w:hanging="360"/>
      </w:pPr>
      <w:rPr>
        <w:rFonts w:ascii="Symbol" w:hAnsi="Symbol" w:hint="default"/>
      </w:rPr>
    </w:lvl>
    <w:lvl w:ilvl="1" w:tplc="FFFFFFFF">
      <w:start w:val="1"/>
      <w:numFmt w:val="bullet"/>
      <w:lvlText w:val="o"/>
      <w:lvlJc w:val="left"/>
      <w:pPr>
        <w:ind w:left="1860" w:hanging="360"/>
      </w:pPr>
      <w:rPr>
        <w:rFonts w:ascii="Courier New" w:hAnsi="Courier New" w:cs="Courier New" w:hint="default"/>
      </w:rPr>
    </w:lvl>
    <w:lvl w:ilvl="2" w:tplc="08090003">
      <w:start w:val="1"/>
      <w:numFmt w:val="bullet"/>
      <w:lvlText w:val="o"/>
      <w:lvlJc w:val="left"/>
      <w:pPr>
        <w:ind w:left="2580" w:hanging="360"/>
      </w:pPr>
      <w:rPr>
        <w:rFonts w:ascii="Courier New" w:hAnsi="Courier New" w:cs="Courier New"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15" w15:restartNumberingAfterBreak="0">
    <w:nsid w:val="0369716F"/>
    <w:multiLevelType w:val="hybridMultilevel"/>
    <w:tmpl w:val="234E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58C725F"/>
    <w:multiLevelType w:val="hybridMultilevel"/>
    <w:tmpl w:val="D9DA0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66F0B6B"/>
    <w:multiLevelType w:val="hybridMultilevel"/>
    <w:tmpl w:val="9F52805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069F2C01"/>
    <w:multiLevelType w:val="multilevel"/>
    <w:tmpl w:val="52E0CBCA"/>
    <w:lvl w:ilvl="0">
      <w:start w:val="1"/>
      <w:numFmt w:val="decimal"/>
      <w:pStyle w:val="Body"/>
      <w:lvlText w:val="%1."/>
      <w:lvlJc w:val="left"/>
      <w:pPr>
        <w:ind w:left="360" w:hanging="360"/>
      </w:pPr>
    </w:lvl>
    <w:lvl w:ilvl="1">
      <w:start w:val="1"/>
      <w:numFmt w:val="decimal"/>
      <w:isLgl/>
      <w:lvlText w:val="%1.%2"/>
      <w:lvlJc w:val="left"/>
      <w:pPr>
        <w:ind w:left="473" w:hanging="360"/>
      </w:pPr>
      <w:rPr>
        <w:rFonts w:hint="default"/>
      </w:rPr>
    </w:lvl>
    <w:lvl w:ilvl="2">
      <w:start w:val="1"/>
      <w:numFmt w:val="decimal"/>
      <w:isLgl/>
      <w:lvlText w:val="%1.%2.%3"/>
      <w:lvlJc w:val="left"/>
      <w:pPr>
        <w:ind w:left="946" w:hanging="720"/>
      </w:pPr>
      <w:rPr>
        <w:rFonts w:hint="default"/>
      </w:rPr>
    </w:lvl>
    <w:lvl w:ilvl="3">
      <w:start w:val="1"/>
      <w:numFmt w:val="decimal"/>
      <w:isLgl/>
      <w:lvlText w:val="%1.%2.%3.%4"/>
      <w:lvlJc w:val="left"/>
      <w:pPr>
        <w:ind w:left="1059" w:hanging="720"/>
      </w:pPr>
      <w:rPr>
        <w:rFonts w:hint="default"/>
      </w:rPr>
    </w:lvl>
    <w:lvl w:ilvl="4">
      <w:start w:val="1"/>
      <w:numFmt w:val="decimal"/>
      <w:isLgl/>
      <w:lvlText w:val="%1.%2.%3.%4.%5"/>
      <w:lvlJc w:val="left"/>
      <w:pPr>
        <w:ind w:left="1532" w:hanging="1080"/>
      </w:pPr>
      <w:rPr>
        <w:rFonts w:hint="default"/>
      </w:rPr>
    </w:lvl>
    <w:lvl w:ilvl="5">
      <w:start w:val="1"/>
      <w:numFmt w:val="decimal"/>
      <w:isLgl/>
      <w:lvlText w:val="%1.%2.%3.%4.%5.%6"/>
      <w:lvlJc w:val="left"/>
      <w:pPr>
        <w:ind w:left="1645" w:hanging="1080"/>
      </w:pPr>
      <w:rPr>
        <w:rFonts w:hint="default"/>
      </w:rPr>
    </w:lvl>
    <w:lvl w:ilvl="6">
      <w:start w:val="1"/>
      <w:numFmt w:val="decimal"/>
      <w:isLgl/>
      <w:lvlText w:val="%1.%2.%3.%4.%5.%6.%7"/>
      <w:lvlJc w:val="left"/>
      <w:pPr>
        <w:ind w:left="2118" w:hanging="1440"/>
      </w:pPr>
      <w:rPr>
        <w:rFonts w:hint="default"/>
      </w:rPr>
    </w:lvl>
    <w:lvl w:ilvl="7">
      <w:start w:val="1"/>
      <w:numFmt w:val="decimal"/>
      <w:isLgl/>
      <w:lvlText w:val="%1.%2.%3.%4.%5.%6.%7.%8"/>
      <w:lvlJc w:val="left"/>
      <w:pPr>
        <w:ind w:left="2231" w:hanging="1440"/>
      </w:pPr>
      <w:rPr>
        <w:rFonts w:hint="default"/>
      </w:rPr>
    </w:lvl>
    <w:lvl w:ilvl="8">
      <w:start w:val="1"/>
      <w:numFmt w:val="decimal"/>
      <w:isLgl/>
      <w:lvlText w:val="%1.%2.%3.%4.%5.%6.%7.%8.%9"/>
      <w:lvlJc w:val="left"/>
      <w:pPr>
        <w:ind w:left="2704" w:hanging="1800"/>
      </w:pPr>
      <w:rPr>
        <w:rFonts w:hint="default"/>
      </w:rPr>
    </w:lvl>
  </w:abstractNum>
  <w:abstractNum w:abstractNumId="19" w15:restartNumberingAfterBreak="0">
    <w:nsid w:val="0827686B"/>
    <w:multiLevelType w:val="hybridMultilevel"/>
    <w:tmpl w:val="5074FF6C"/>
    <w:lvl w:ilvl="0" w:tplc="EDE65A78">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08392F05"/>
    <w:multiLevelType w:val="hybridMultilevel"/>
    <w:tmpl w:val="C55CFF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A6D29F1"/>
    <w:multiLevelType w:val="hybridMultilevel"/>
    <w:tmpl w:val="727EB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BC36E1B"/>
    <w:multiLevelType w:val="hybridMultilevel"/>
    <w:tmpl w:val="A4968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C5E149C"/>
    <w:multiLevelType w:val="hybridMultilevel"/>
    <w:tmpl w:val="99B43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0C955DBA"/>
    <w:multiLevelType w:val="hybridMultilevel"/>
    <w:tmpl w:val="28466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F4C1562"/>
    <w:multiLevelType w:val="hybridMultilevel"/>
    <w:tmpl w:val="2CCE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07F00E7"/>
    <w:multiLevelType w:val="hybridMultilevel"/>
    <w:tmpl w:val="59044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1A81A1F"/>
    <w:multiLevelType w:val="hybridMultilevel"/>
    <w:tmpl w:val="8EBA0794"/>
    <w:lvl w:ilvl="0" w:tplc="08090001">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8" w15:restartNumberingAfterBreak="0">
    <w:nsid w:val="14053EF4"/>
    <w:multiLevelType w:val="multilevel"/>
    <w:tmpl w:val="81D092B6"/>
    <w:lvl w:ilvl="0">
      <w:start w:val="1"/>
      <w:numFmt w:val="decimal"/>
      <w:lvlText w:val="%1."/>
      <w:lvlJc w:val="left"/>
      <w:pPr>
        <w:ind w:left="360" w:hanging="360"/>
      </w:pPr>
      <w:rPr>
        <w:rFonts w:hint="default"/>
      </w:rPr>
    </w:lvl>
    <w:lvl w:ilvl="1">
      <w:start w:val="1"/>
      <w:numFmt w:val="decimal"/>
      <w:pStyle w:val="AGS-Bullets"/>
      <w:lvlText w:val="%1.%2"/>
      <w:lvlJc w:val="left"/>
      <w:pPr>
        <w:ind w:left="360" w:hanging="360"/>
      </w:pPr>
      <w:rPr>
        <w:rFonts w:ascii="Calibri" w:hAnsi="Calibri" w:hint="default"/>
        <w:b w:val="0"/>
        <w:i w:val="0"/>
        <w:strike w:val="0"/>
        <w:color w:val="auto"/>
      </w:rPr>
    </w:lvl>
    <w:lvl w:ilvl="2">
      <w:start w:val="1"/>
      <w:numFmt w:val="lowerRoman"/>
      <w:lvlText w:val="(%3)"/>
      <w:lvlJc w:val="left"/>
      <w:pPr>
        <w:ind w:left="1287" w:hanging="720"/>
      </w:pPr>
      <w:rPr>
        <w:rFonts w:asciiTheme="majorHAnsi" w:eastAsia="Times New Roman" w:hAnsiTheme="majorHAnsi" w:cs="Calibri"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14D97022"/>
    <w:multiLevelType w:val="hybridMultilevel"/>
    <w:tmpl w:val="39665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6514374"/>
    <w:multiLevelType w:val="hybridMultilevel"/>
    <w:tmpl w:val="BC78F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9407300"/>
    <w:multiLevelType w:val="hybridMultilevel"/>
    <w:tmpl w:val="D9C8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9697DCB"/>
    <w:multiLevelType w:val="multilevel"/>
    <w:tmpl w:val="0520D9C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DAC01DE"/>
    <w:multiLevelType w:val="hybridMultilevel"/>
    <w:tmpl w:val="8DE4D5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0767CF0"/>
    <w:multiLevelType w:val="hybridMultilevel"/>
    <w:tmpl w:val="B016E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604C11"/>
    <w:multiLevelType w:val="hybridMultilevel"/>
    <w:tmpl w:val="599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59E69AA"/>
    <w:multiLevelType w:val="multilevel"/>
    <w:tmpl w:val="3118C848"/>
    <w:numStyleLink w:val="TfGMList"/>
  </w:abstractNum>
  <w:abstractNum w:abstractNumId="37" w15:restartNumberingAfterBreak="0">
    <w:nsid w:val="259F0CF6"/>
    <w:multiLevelType w:val="hybridMultilevel"/>
    <w:tmpl w:val="B9AC6A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5BC48F1"/>
    <w:multiLevelType w:val="hybridMultilevel"/>
    <w:tmpl w:val="0A7C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6E02A9"/>
    <w:multiLevelType w:val="hybridMultilevel"/>
    <w:tmpl w:val="A3F6A534"/>
    <w:lvl w:ilvl="0" w:tplc="BBD0AFB8">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A930B23"/>
    <w:multiLevelType w:val="hybridMultilevel"/>
    <w:tmpl w:val="F6281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AE55663"/>
    <w:multiLevelType w:val="hybridMultilevel"/>
    <w:tmpl w:val="C072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447955"/>
    <w:multiLevelType w:val="hybridMultilevel"/>
    <w:tmpl w:val="7B000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C1D1C60"/>
    <w:multiLevelType w:val="hybridMultilevel"/>
    <w:tmpl w:val="9DE2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2EB1A20"/>
    <w:multiLevelType w:val="hybridMultilevel"/>
    <w:tmpl w:val="D17E866A"/>
    <w:lvl w:ilvl="0" w:tplc="C14E8280">
      <w:start w:val="1"/>
      <w:numFmt w:val="bullet"/>
      <w:lvlText w:val=""/>
      <w:lvlJc w:val="left"/>
      <w:pPr>
        <w:tabs>
          <w:tab w:val="num" w:pos="1512"/>
        </w:tabs>
        <w:ind w:left="1512"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40F58A5"/>
    <w:multiLevelType w:val="hybridMultilevel"/>
    <w:tmpl w:val="16842A1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6" w15:restartNumberingAfterBreak="0">
    <w:nsid w:val="37416C9C"/>
    <w:multiLevelType w:val="hybridMultilevel"/>
    <w:tmpl w:val="D416D4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7" w15:restartNumberingAfterBreak="0">
    <w:nsid w:val="3883344A"/>
    <w:multiLevelType w:val="hybridMultilevel"/>
    <w:tmpl w:val="4FD4F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9844F89"/>
    <w:multiLevelType w:val="hybridMultilevel"/>
    <w:tmpl w:val="373E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AF50C67"/>
    <w:multiLevelType w:val="hybridMultilevel"/>
    <w:tmpl w:val="08C0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B9C0D52"/>
    <w:multiLevelType w:val="hybridMultilevel"/>
    <w:tmpl w:val="38708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BB72294"/>
    <w:multiLevelType w:val="hybridMultilevel"/>
    <w:tmpl w:val="4EDCC50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F427602"/>
    <w:multiLevelType w:val="hybridMultilevel"/>
    <w:tmpl w:val="E2F8C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13A026B"/>
    <w:multiLevelType w:val="hybridMultilevel"/>
    <w:tmpl w:val="CB0E7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E8028D"/>
    <w:multiLevelType w:val="multilevel"/>
    <w:tmpl w:val="1952E0AA"/>
    <w:styleLink w:val="AGMAList"/>
    <w:lvl w:ilvl="0">
      <w:start w:val="1"/>
      <w:numFmt w:val="decimal"/>
      <w:pStyle w:val="1AGMAHeading1"/>
      <w:lvlText w:val="%1."/>
      <w:lvlJc w:val="left"/>
      <w:pPr>
        <w:ind w:left="851" w:hanging="851"/>
      </w:pPr>
      <w:rPr>
        <w:rFonts w:ascii="Arial" w:hAnsi="Arial" w:cs="Times New Roman" w:hint="default"/>
        <w:b/>
        <w:i w:val="0"/>
        <w:sz w:val="24"/>
      </w:rPr>
    </w:lvl>
    <w:lvl w:ilvl="1">
      <w:start w:val="1"/>
      <w:numFmt w:val="decimal"/>
      <w:pStyle w:val="2AGMAHeading2"/>
      <w:lvlText w:val="%1.%2"/>
      <w:lvlJc w:val="left"/>
      <w:pPr>
        <w:ind w:left="851" w:hanging="851"/>
      </w:pPr>
      <w:rPr>
        <w:rFonts w:ascii="Arial" w:hAnsi="Arial" w:cs="Times New Roman" w:hint="default"/>
        <w:b w:val="0"/>
        <w:i w:val="0"/>
        <w:sz w:val="24"/>
      </w:rPr>
    </w:lvl>
    <w:lvl w:ilvl="2">
      <w:start w:val="1"/>
      <w:numFmt w:val="decimal"/>
      <w:pStyle w:val="3AGMAHeading3"/>
      <w:lvlText w:val="%1.%2.%3"/>
      <w:lvlJc w:val="left"/>
      <w:pPr>
        <w:ind w:left="851" w:hanging="851"/>
      </w:pPr>
      <w:rPr>
        <w:rFonts w:ascii="Arial" w:hAnsi="Arial" w:cs="Times New Roman" w:hint="default"/>
        <w:b w:val="0"/>
        <w:i w:val="0"/>
        <w:sz w:val="24"/>
      </w:rPr>
    </w:lvl>
    <w:lvl w:ilvl="3">
      <w:start w:val="1"/>
      <w:numFmt w:val="bullet"/>
      <w:pStyle w:val="4AGMABullet1"/>
      <w:lvlText w:val=""/>
      <w:lvlJc w:val="left"/>
      <w:pPr>
        <w:ind w:left="1134" w:hanging="283"/>
      </w:pPr>
      <w:rPr>
        <w:rFonts w:ascii="Symbol" w:hAnsi="Symbol" w:hint="default"/>
        <w:color w:val="auto"/>
      </w:rPr>
    </w:lvl>
    <w:lvl w:ilvl="4">
      <w:start w:val="1"/>
      <w:numFmt w:val="bullet"/>
      <w:pStyle w:val="5AGMABullet2"/>
      <w:lvlText w:val=""/>
      <w:lvlJc w:val="left"/>
      <w:pPr>
        <w:ind w:left="1418" w:hanging="284"/>
      </w:pPr>
      <w:rPr>
        <w:rFonts w:ascii="Symbol" w:hAnsi="Symbol" w:hint="default"/>
      </w:rPr>
    </w:lvl>
    <w:lvl w:ilvl="5">
      <w:start w:val="1"/>
      <w:numFmt w:val="lowerRoman"/>
      <w:pStyle w:val="6AGMARecommendations"/>
      <w:lvlText w:val="(%6)"/>
      <w:lvlJc w:val="left"/>
      <w:pPr>
        <w:ind w:left="1077" w:hanging="226"/>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5" w15:restartNumberingAfterBreak="0">
    <w:nsid w:val="448C6BF4"/>
    <w:multiLevelType w:val="hybridMultilevel"/>
    <w:tmpl w:val="B9FA3780"/>
    <w:lvl w:ilvl="0" w:tplc="2FCE7DCA">
      <w:numFmt w:val="bullet"/>
      <w:lvlText w:val="•"/>
      <w:lvlJc w:val="left"/>
      <w:pPr>
        <w:ind w:left="720" w:hanging="360"/>
      </w:pPr>
      <w:rPr>
        <w:rFonts w:ascii="Verdana" w:eastAsia="Verdana" w:hAnsi="Verdana" w:cs="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4D14545"/>
    <w:multiLevelType w:val="hybridMultilevel"/>
    <w:tmpl w:val="0AFA9B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55F1DEC"/>
    <w:multiLevelType w:val="hybridMultilevel"/>
    <w:tmpl w:val="BE44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7AD6B2F"/>
    <w:multiLevelType w:val="hybridMultilevel"/>
    <w:tmpl w:val="79A8B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D0A3EE4"/>
    <w:multiLevelType w:val="hybridMultilevel"/>
    <w:tmpl w:val="AFCCC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D8E0CF8"/>
    <w:multiLevelType w:val="hybridMultilevel"/>
    <w:tmpl w:val="63FC514E"/>
    <w:lvl w:ilvl="0" w:tplc="08090001">
      <w:start w:val="1"/>
      <w:numFmt w:val="bullet"/>
      <w:lvlText w:val=""/>
      <w:lvlJc w:val="left"/>
      <w:pPr>
        <w:ind w:left="3712" w:hanging="360"/>
      </w:pPr>
      <w:rPr>
        <w:rFonts w:ascii="Symbol" w:hAnsi="Symbol" w:hint="default"/>
      </w:rPr>
    </w:lvl>
    <w:lvl w:ilvl="1" w:tplc="08090003" w:tentative="1">
      <w:start w:val="1"/>
      <w:numFmt w:val="bullet"/>
      <w:lvlText w:val="o"/>
      <w:lvlJc w:val="left"/>
      <w:pPr>
        <w:ind w:left="4432" w:hanging="360"/>
      </w:pPr>
      <w:rPr>
        <w:rFonts w:ascii="Courier New" w:hAnsi="Courier New" w:cs="Courier New" w:hint="default"/>
      </w:rPr>
    </w:lvl>
    <w:lvl w:ilvl="2" w:tplc="08090005" w:tentative="1">
      <w:start w:val="1"/>
      <w:numFmt w:val="bullet"/>
      <w:lvlText w:val=""/>
      <w:lvlJc w:val="left"/>
      <w:pPr>
        <w:ind w:left="5152" w:hanging="360"/>
      </w:pPr>
      <w:rPr>
        <w:rFonts w:ascii="Wingdings" w:hAnsi="Wingdings" w:hint="default"/>
      </w:rPr>
    </w:lvl>
    <w:lvl w:ilvl="3" w:tplc="08090001" w:tentative="1">
      <w:start w:val="1"/>
      <w:numFmt w:val="bullet"/>
      <w:lvlText w:val=""/>
      <w:lvlJc w:val="left"/>
      <w:pPr>
        <w:ind w:left="5872" w:hanging="360"/>
      </w:pPr>
      <w:rPr>
        <w:rFonts w:ascii="Symbol" w:hAnsi="Symbol" w:hint="default"/>
      </w:rPr>
    </w:lvl>
    <w:lvl w:ilvl="4" w:tplc="08090003" w:tentative="1">
      <w:start w:val="1"/>
      <w:numFmt w:val="bullet"/>
      <w:lvlText w:val="o"/>
      <w:lvlJc w:val="left"/>
      <w:pPr>
        <w:ind w:left="6592" w:hanging="360"/>
      </w:pPr>
      <w:rPr>
        <w:rFonts w:ascii="Courier New" w:hAnsi="Courier New" w:cs="Courier New" w:hint="default"/>
      </w:rPr>
    </w:lvl>
    <w:lvl w:ilvl="5" w:tplc="08090005" w:tentative="1">
      <w:start w:val="1"/>
      <w:numFmt w:val="bullet"/>
      <w:lvlText w:val=""/>
      <w:lvlJc w:val="left"/>
      <w:pPr>
        <w:ind w:left="7312" w:hanging="360"/>
      </w:pPr>
      <w:rPr>
        <w:rFonts w:ascii="Wingdings" w:hAnsi="Wingdings" w:hint="default"/>
      </w:rPr>
    </w:lvl>
    <w:lvl w:ilvl="6" w:tplc="08090001" w:tentative="1">
      <w:start w:val="1"/>
      <w:numFmt w:val="bullet"/>
      <w:lvlText w:val=""/>
      <w:lvlJc w:val="left"/>
      <w:pPr>
        <w:ind w:left="8032" w:hanging="360"/>
      </w:pPr>
      <w:rPr>
        <w:rFonts w:ascii="Symbol" w:hAnsi="Symbol" w:hint="default"/>
      </w:rPr>
    </w:lvl>
    <w:lvl w:ilvl="7" w:tplc="08090003" w:tentative="1">
      <w:start w:val="1"/>
      <w:numFmt w:val="bullet"/>
      <w:lvlText w:val="o"/>
      <w:lvlJc w:val="left"/>
      <w:pPr>
        <w:ind w:left="8752" w:hanging="360"/>
      </w:pPr>
      <w:rPr>
        <w:rFonts w:ascii="Courier New" w:hAnsi="Courier New" w:cs="Courier New" w:hint="default"/>
      </w:rPr>
    </w:lvl>
    <w:lvl w:ilvl="8" w:tplc="08090005" w:tentative="1">
      <w:start w:val="1"/>
      <w:numFmt w:val="bullet"/>
      <w:lvlText w:val=""/>
      <w:lvlJc w:val="left"/>
      <w:pPr>
        <w:ind w:left="9472" w:hanging="360"/>
      </w:pPr>
      <w:rPr>
        <w:rFonts w:ascii="Wingdings" w:hAnsi="Wingdings" w:hint="default"/>
      </w:rPr>
    </w:lvl>
  </w:abstractNum>
  <w:abstractNum w:abstractNumId="61" w15:restartNumberingAfterBreak="0">
    <w:nsid w:val="4EC3545C"/>
    <w:multiLevelType w:val="hybridMultilevel"/>
    <w:tmpl w:val="560A0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FFA7B49"/>
    <w:multiLevelType w:val="hybridMultilevel"/>
    <w:tmpl w:val="EA5A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23C177A"/>
    <w:multiLevelType w:val="multilevel"/>
    <w:tmpl w:val="3118C848"/>
    <w:styleLink w:val="TfGMList"/>
    <w:lvl w:ilvl="0">
      <w:start w:val="1"/>
      <w:numFmt w:val="decimal"/>
      <w:pStyle w:val="1TfGMHeading1"/>
      <w:lvlText w:val="%1"/>
      <w:lvlJc w:val="left"/>
      <w:pPr>
        <w:ind w:left="851" w:hanging="851"/>
      </w:pPr>
      <w:rPr>
        <w:rFonts w:ascii="Calibri" w:hAnsi="Calibri" w:hint="default"/>
        <w:b/>
        <w:sz w:val="26"/>
      </w:rPr>
    </w:lvl>
    <w:lvl w:ilvl="1">
      <w:start w:val="1"/>
      <w:numFmt w:val="decimal"/>
      <w:pStyle w:val="2TfGMHeading2"/>
      <w:lvlText w:val="%1.%2"/>
      <w:lvlJc w:val="left"/>
      <w:pPr>
        <w:ind w:left="851" w:hanging="851"/>
      </w:pPr>
      <w:rPr>
        <w:rFonts w:ascii="Calibri" w:hAnsi="Calibri" w:hint="default"/>
        <w:sz w:val="26"/>
      </w:rPr>
    </w:lvl>
    <w:lvl w:ilvl="2">
      <w:start w:val="1"/>
      <w:numFmt w:val="decimal"/>
      <w:pStyle w:val="3TfGMHeading3"/>
      <w:lvlText w:val="%1.%2.%3"/>
      <w:lvlJc w:val="left"/>
      <w:pPr>
        <w:ind w:left="851" w:hanging="851"/>
      </w:pPr>
      <w:rPr>
        <w:rFonts w:ascii="Calibri" w:hAnsi="Calibri" w:hint="default"/>
        <w:sz w:val="26"/>
      </w:rPr>
    </w:lvl>
    <w:lvl w:ilvl="3">
      <w:start w:val="1"/>
      <w:numFmt w:val="bullet"/>
      <w:pStyle w:val="4TfGMBullet1"/>
      <w:lvlText w:val=""/>
      <w:lvlJc w:val="left"/>
      <w:pPr>
        <w:ind w:left="567" w:firstLine="510"/>
      </w:pPr>
      <w:rPr>
        <w:rFonts w:ascii="Symbol" w:hAnsi="Symbol" w:hint="default"/>
        <w:color w:val="auto"/>
        <w:sz w:val="26"/>
      </w:rPr>
    </w:lvl>
    <w:lvl w:ilvl="4">
      <w:start w:val="1"/>
      <w:numFmt w:val="bullet"/>
      <w:pStyle w:val="5TfGMBullet2"/>
      <w:lvlText w:val=""/>
      <w:lvlJc w:val="left"/>
      <w:pPr>
        <w:ind w:left="567" w:firstLine="851"/>
      </w:pPr>
      <w:rPr>
        <w:rFonts w:ascii="Symbol" w:hAnsi="Symbol" w:hint="default"/>
        <w:sz w:val="26"/>
      </w:rPr>
    </w:lvl>
    <w:lvl w:ilvl="5">
      <w:start w:val="1"/>
      <w:numFmt w:val="lowerRoman"/>
      <w:pStyle w:val="6TfGMRecommendations"/>
      <w:lvlText w:val="%6)"/>
      <w:lvlJc w:val="left"/>
      <w:pPr>
        <w:ind w:left="567" w:firstLine="510"/>
      </w:pPr>
      <w:rPr>
        <w:rFonts w:ascii="Calibri" w:hAnsi="Calibri" w:hint="default"/>
        <w:sz w:val="26"/>
      </w:rPr>
    </w:lvl>
    <w:lvl w:ilvl="6">
      <w:start w:val="1"/>
      <w:numFmt w:val="none"/>
      <w:lvlText w:val=""/>
      <w:lvlJc w:val="left"/>
      <w:pPr>
        <w:ind w:left="851" w:firstLine="31918"/>
      </w:pPr>
      <w:rPr>
        <w:rFonts w:ascii="Calibri" w:hAnsi="Calibri" w:hint="default"/>
        <w:sz w:val="26"/>
      </w:rPr>
    </w:lvl>
    <w:lvl w:ilvl="7">
      <w:start w:val="1"/>
      <w:numFmt w:val="lowerLetter"/>
      <w:lvlText w:val="%8."/>
      <w:lvlJc w:val="left"/>
      <w:pPr>
        <w:ind w:left="12960" w:hanging="360"/>
      </w:pPr>
      <w:rPr>
        <w:rFonts w:hint="default"/>
      </w:rPr>
    </w:lvl>
    <w:lvl w:ilvl="8">
      <w:start w:val="1"/>
      <w:numFmt w:val="lowerRoman"/>
      <w:lvlText w:val="%9."/>
      <w:lvlJc w:val="left"/>
      <w:pPr>
        <w:ind w:left="13320" w:hanging="360"/>
      </w:pPr>
      <w:rPr>
        <w:rFonts w:hint="default"/>
      </w:rPr>
    </w:lvl>
  </w:abstractNum>
  <w:abstractNum w:abstractNumId="64" w15:restartNumberingAfterBreak="0">
    <w:nsid w:val="541A233A"/>
    <w:multiLevelType w:val="hybridMultilevel"/>
    <w:tmpl w:val="29C83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4561D49"/>
    <w:multiLevelType w:val="hybridMultilevel"/>
    <w:tmpl w:val="3384C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48E1566"/>
    <w:multiLevelType w:val="hybridMultilevel"/>
    <w:tmpl w:val="3F04F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6734E93"/>
    <w:multiLevelType w:val="hybridMultilevel"/>
    <w:tmpl w:val="E5220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70E73FA"/>
    <w:multiLevelType w:val="hybridMultilevel"/>
    <w:tmpl w:val="3536E8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7231BD1"/>
    <w:multiLevelType w:val="hybridMultilevel"/>
    <w:tmpl w:val="9C866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8255EE8"/>
    <w:multiLevelType w:val="hybridMultilevel"/>
    <w:tmpl w:val="5964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8F57E6B"/>
    <w:multiLevelType w:val="hybridMultilevel"/>
    <w:tmpl w:val="DCFA0148"/>
    <w:lvl w:ilvl="0" w:tplc="08090001">
      <w:start w:val="1"/>
      <w:numFmt w:val="bullet"/>
      <w:lvlText w:val=""/>
      <w:lvlJc w:val="left"/>
      <w:pPr>
        <w:ind w:left="720" w:hanging="360"/>
      </w:pPr>
      <w:rPr>
        <w:rFonts w:ascii="Symbol" w:hAnsi="Symbol" w:hint="default"/>
      </w:rPr>
    </w:lvl>
    <w:lvl w:ilvl="1" w:tplc="987EC794">
      <w:start w:val="2"/>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97067DE"/>
    <w:multiLevelType w:val="hybridMultilevel"/>
    <w:tmpl w:val="E28A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A1C1FC3"/>
    <w:multiLevelType w:val="hybridMultilevel"/>
    <w:tmpl w:val="762CE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4" w15:restartNumberingAfterBreak="0">
    <w:nsid w:val="5B3D0C2F"/>
    <w:multiLevelType w:val="multilevel"/>
    <w:tmpl w:val="C47A0EFA"/>
    <w:lvl w:ilvl="0">
      <w:start w:val="1"/>
      <w:numFmt w:val="decimal"/>
      <w:pStyle w:val="Heading2numbered"/>
      <w:lvlText w:val="%1."/>
      <w:lvlJc w:val="left"/>
      <w:pPr>
        <w:ind w:left="720" w:hanging="360"/>
      </w:pPr>
    </w:lvl>
    <w:lvl w:ilvl="1">
      <w:start w:val="1"/>
      <w:numFmt w:val="decimal"/>
      <w:pStyle w:val="Heading3Numbered"/>
      <w:lvlText w:val="%1.%2."/>
      <w:lvlJc w:val="left"/>
      <w:pPr>
        <w:ind w:left="1152" w:hanging="432"/>
      </w:pPr>
    </w:lvl>
    <w:lvl w:ilvl="2">
      <w:start w:val="1"/>
      <w:numFmt w:val="decimal"/>
      <w:pStyle w:val="Heading4Numbered"/>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5" w15:restartNumberingAfterBreak="0">
    <w:nsid w:val="5C590D02"/>
    <w:multiLevelType w:val="hybridMultilevel"/>
    <w:tmpl w:val="D20A75F4"/>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6" w15:restartNumberingAfterBreak="0">
    <w:nsid w:val="623F4963"/>
    <w:multiLevelType w:val="hybridMultilevel"/>
    <w:tmpl w:val="FFFFFFFF"/>
    <w:styleLink w:val="ImportedStyle16"/>
    <w:lvl w:ilvl="0" w:tplc="2FECF79E">
      <w:start w:val="1"/>
      <w:numFmt w:val="bullet"/>
      <w:lvlText w:val="•"/>
      <w:lvlJc w:val="left"/>
      <w:pPr>
        <w:ind w:left="36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99E51AA">
      <w:start w:val="1"/>
      <w:numFmt w:val="bullet"/>
      <w:lvlText w:val="o"/>
      <w:lvlJc w:val="left"/>
      <w:pPr>
        <w:ind w:left="108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5B680F8C">
      <w:start w:val="1"/>
      <w:numFmt w:val="bullet"/>
      <w:lvlText w:val="▪"/>
      <w:lvlJc w:val="left"/>
      <w:pPr>
        <w:ind w:left="180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C922BA6A">
      <w:start w:val="1"/>
      <w:numFmt w:val="bullet"/>
      <w:lvlText w:val="▪"/>
      <w:lvlJc w:val="left"/>
      <w:pPr>
        <w:ind w:left="252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01C2A65A">
      <w:start w:val="1"/>
      <w:numFmt w:val="bullet"/>
      <w:lvlText w:val="▪"/>
      <w:lvlJc w:val="left"/>
      <w:pPr>
        <w:ind w:left="324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4CF264BE">
      <w:start w:val="1"/>
      <w:numFmt w:val="bullet"/>
      <w:lvlText w:val="▪"/>
      <w:lvlJc w:val="left"/>
      <w:pPr>
        <w:ind w:left="396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61E2B132">
      <w:start w:val="1"/>
      <w:numFmt w:val="bullet"/>
      <w:lvlText w:val="▪"/>
      <w:lvlJc w:val="left"/>
      <w:pPr>
        <w:ind w:left="468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7C7C1D14">
      <w:start w:val="1"/>
      <w:numFmt w:val="bullet"/>
      <w:lvlText w:val="▪"/>
      <w:lvlJc w:val="left"/>
      <w:pPr>
        <w:ind w:left="540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C93A4148">
      <w:start w:val="1"/>
      <w:numFmt w:val="bullet"/>
      <w:lvlText w:val="▪"/>
      <w:lvlJc w:val="left"/>
      <w:pPr>
        <w:ind w:left="612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63823C14"/>
    <w:multiLevelType w:val="hybridMultilevel"/>
    <w:tmpl w:val="574A2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48B6854"/>
    <w:multiLevelType w:val="hybridMultilevel"/>
    <w:tmpl w:val="465458E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9" w15:restartNumberingAfterBreak="0">
    <w:nsid w:val="65E24940"/>
    <w:multiLevelType w:val="hybridMultilevel"/>
    <w:tmpl w:val="B7A60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7B97FF5"/>
    <w:multiLevelType w:val="hybridMultilevel"/>
    <w:tmpl w:val="CC04319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1" w15:restartNumberingAfterBreak="0">
    <w:nsid w:val="6B915FF6"/>
    <w:multiLevelType w:val="hybridMultilevel"/>
    <w:tmpl w:val="4EDCC50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C92631F"/>
    <w:multiLevelType w:val="hybridMultilevel"/>
    <w:tmpl w:val="CAC46C68"/>
    <w:lvl w:ilvl="0" w:tplc="5FB417A4">
      <w:start w:val="1"/>
      <w:numFmt w:val="decimal"/>
      <w:pStyle w:val="Heading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F3F1699"/>
    <w:multiLevelType w:val="hybridMultilevel"/>
    <w:tmpl w:val="4A64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2922033"/>
    <w:multiLevelType w:val="hybridMultilevel"/>
    <w:tmpl w:val="DFAED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5187C34"/>
    <w:multiLevelType w:val="hybridMultilevel"/>
    <w:tmpl w:val="A782B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B9E2C49"/>
    <w:multiLevelType w:val="hybridMultilevel"/>
    <w:tmpl w:val="71704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DAC7436"/>
    <w:multiLevelType w:val="hybridMultilevel"/>
    <w:tmpl w:val="282EF5B0"/>
    <w:lvl w:ilvl="0" w:tplc="08090001">
      <w:start w:val="1"/>
      <w:numFmt w:val="bullet"/>
      <w:lvlText w:val=""/>
      <w:lvlJc w:val="left"/>
      <w:pPr>
        <w:ind w:left="1211" w:hanging="360"/>
      </w:pPr>
      <w:rPr>
        <w:rFonts w:ascii="Symbol" w:hAnsi="Symbol" w:hint="default"/>
      </w:rPr>
    </w:lvl>
    <w:lvl w:ilvl="1" w:tplc="08090001">
      <w:start w:val="1"/>
      <w:numFmt w:val="bullet"/>
      <w:lvlText w:val=""/>
      <w:lvlJc w:val="left"/>
      <w:pPr>
        <w:ind w:left="2171" w:hanging="600"/>
      </w:pPr>
      <w:rPr>
        <w:rFonts w:ascii="Symbol" w:hAnsi="Symbol"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8" w15:restartNumberingAfterBreak="0">
    <w:nsid w:val="7DE16EA5"/>
    <w:multiLevelType w:val="hybridMultilevel"/>
    <w:tmpl w:val="E44CE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712071">
    <w:abstractNumId w:val="65"/>
  </w:num>
  <w:num w:numId="2" w16cid:durableId="377053215">
    <w:abstractNumId w:val="33"/>
  </w:num>
  <w:num w:numId="3" w16cid:durableId="2139570541">
    <w:abstractNumId w:val="56"/>
  </w:num>
  <w:num w:numId="4" w16cid:durableId="451483274">
    <w:abstractNumId w:val="77"/>
  </w:num>
  <w:num w:numId="5" w16cid:durableId="1142890935">
    <w:abstractNumId w:val="54"/>
  </w:num>
  <w:num w:numId="6" w16cid:durableId="820853645">
    <w:abstractNumId w:val="76"/>
  </w:num>
  <w:num w:numId="7" w16cid:durableId="53237741">
    <w:abstractNumId w:val="29"/>
  </w:num>
  <w:num w:numId="8" w16cid:durableId="198472768">
    <w:abstractNumId w:val="17"/>
  </w:num>
  <w:num w:numId="9" w16cid:durableId="87502297">
    <w:abstractNumId w:val="80"/>
  </w:num>
  <w:num w:numId="10" w16cid:durableId="701590638">
    <w:abstractNumId w:val="41"/>
  </w:num>
  <w:num w:numId="11" w16cid:durableId="1414552142">
    <w:abstractNumId w:val="72"/>
  </w:num>
  <w:num w:numId="12" w16cid:durableId="1159879896">
    <w:abstractNumId w:val="59"/>
  </w:num>
  <w:num w:numId="13" w16cid:durableId="965618357">
    <w:abstractNumId w:val="66"/>
  </w:num>
  <w:num w:numId="14" w16cid:durableId="940796510">
    <w:abstractNumId w:val="37"/>
  </w:num>
  <w:num w:numId="15" w16cid:durableId="1749495192">
    <w:abstractNumId w:val="43"/>
  </w:num>
  <w:num w:numId="16" w16cid:durableId="370034002">
    <w:abstractNumId w:val="70"/>
  </w:num>
  <w:num w:numId="17" w16cid:durableId="118501280">
    <w:abstractNumId w:val="25"/>
  </w:num>
  <w:num w:numId="18" w16cid:durableId="122969418">
    <w:abstractNumId w:val="1"/>
  </w:num>
  <w:num w:numId="19" w16cid:durableId="633098913">
    <w:abstractNumId w:val="2"/>
  </w:num>
  <w:num w:numId="20" w16cid:durableId="2076973928">
    <w:abstractNumId w:val="3"/>
  </w:num>
  <w:num w:numId="21" w16cid:durableId="1490948680">
    <w:abstractNumId w:val="4"/>
  </w:num>
  <w:num w:numId="22" w16cid:durableId="1480611947">
    <w:abstractNumId w:val="5"/>
  </w:num>
  <w:num w:numId="23" w16cid:durableId="124588706">
    <w:abstractNumId w:val="6"/>
  </w:num>
  <w:num w:numId="24" w16cid:durableId="1657996993">
    <w:abstractNumId w:val="7"/>
  </w:num>
  <w:num w:numId="25" w16cid:durableId="764619599">
    <w:abstractNumId w:val="8"/>
  </w:num>
  <w:num w:numId="26" w16cid:durableId="1128860632">
    <w:abstractNumId w:val="9"/>
  </w:num>
  <w:num w:numId="27" w16cid:durableId="157310983">
    <w:abstractNumId w:val="10"/>
  </w:num>
  <w:num w:numId="28" w16cid:durableId="54359645">
    <w:abstractNumId w:val="28"/>
  </w:num>
  <w:num w:numId="29" w16cid:durableId="1753354439">
    <w:abstractNumId w:val="20"/>
  </w:num>
  <w:num w:numId="30" w16cid:durableId="1060832575">
    <w:abstractNumId w:val="64"/>
  </w:num>
  <w:num w:numId="31" w16cid:durableId="2091003600">
    <w:abstractNumId w:val="24"/>
  </w:num>
  <w:num w:numId="32" w16cid:durableId="1349914591">
    <w:abstractNumId w:val="69"/>
  </w:num>
  <w:num w:numId="33" w16cid:durableId="1225069312">
    <w:abstractNumId w:val="81"/>
  </w:num>
  <w:num w:numId="34" w16cid:durableId="2062631676">
    <w:abstractNumId w:val="35"/>
  </w:num>
  <w:num w:numId="35" w16cid:durableId="775829382">
    <w:abstractNumId w:val="31"/>
  </w:num>
  <w:num w:numId="36" w16cid:durableId="318461927">
    <w:abstractNumId w:val="55"/>
  </w:num>
  <w:num w:numId="37" w16cid:durableId="364914551">
    <w:abstractNumId w:val="30"/>
  </w:num>
  <w:num w:numId="38" w16cid:durableId="1959406298">
    <w:abstractNumId w:val="19"/>
  </w:num>
  <w:num w:numId="39" w16cid:durableId="2083331569">
    <w:abstractNumId w:val="44"/>
  </w:num>
  <w:num w:numId="40" w16cid:durableId="229001940">
    <w:abstractNumId w:val="0"/>
  </w:num>
  <w:num w:numId="41" w16cid:durableId="216598392">
    <w:abstractNumId w:val="67"/>
  </w:num>
  <w:num w:numId="42" w16cid:durableId="340813562">
    <w:abstractNumId w:val="85"/>
  </w:num>
  <w:num w:numId="43" w16cid:durableId="1053039127">
    <w:abstractNumId w:val="87"/>
  </w:num>
  <w:num w:numId="44" w16cid:durableId="624852635">
    <w:abstractNumId w:val="50"/>
  </w:num>
  <w:num w:numId="45" w16cid:durableId="453064024">
    <w:abstractNumId w:val="39"/>
  </w:num>
  <w:num w:numId="46" w16cid:durableId="682167400">
    <w:abstractNumId w:val="82"/>
  </w:num>
  <w:num w:numId="47" w16cid:durableId="2095323221">
    <w:abstractNumId w:val="46"/>
  </w:num>
  <w:num w:numId="48" w16cid:durableId="1642464541">
    <w:abstractNumId w:val="38"/>
  </w:num>
  <w:num w:numId="49" w16cid:durableId="963804502">
    <w:abstractNumId w:val="63"/>
  </w:num>
  <w:num w:numId="50" w16cid:durableId="226190706">
    <w:abstractNumId w:val="36"/>
    <w:lvlOverride w:ilvl="0">
      <w:lvl w:ilvl="0">
        <w:start w:val="1"/>
        <w:numFmt w:val="decimal"/>
        <w:pStyle w:val="1TfGMHeading1"/>
        <w:lvlText w:val="%1"/>
        <w:lvlJc w:val="left"/>
        <w:pPr>
          <w:ind w:left="851" w:hanging="851"/>
        </w:pPr>
        <w:rPr>
          <w:rFonts w:ascii="Calibri" w:hAnsi="Calibri" w:hint="default"/>
          <w:b/>
          <w:sz w:val="20"/>
        </w:rPr>
      </w:lvl>
    </w:lvlOverride>
    <w:lvlOverride w:ilvl="1">
      <w:lvl w:ilvl="1">
        <w:start w:val="1"/>
        <w:numFmt w:val="decimal"/>
        <w:pStyle w:val="2TfGMHeading2"/>
        <w:lvlText w:val="%1.%2"/>
        <w:lvlJc w:val="left"/>
        <w:pPr>
          <w:ind w:left="851" w:hanging="851"/>
        </w:pPr>
        <w:rPr>
          <w:rFonts w:ascii="Calibri" w:hAnsi="Calibri" w:hint="default"/>
          <w:sz w:val="20"/>
        </w:rPr>
      </w:lvl>
    </w:lvlOverride>
    <w:lvlOverride w:ilvl="2">
      <w:lvl w:ilvl="2">
        <w:start w:val="1"/>
        <w:numFmt w:val="decimal"/>
        <w:pStyle w:val="3TfGMHeading3"/>
        <w:lvlText w:val="%1.%2.%3"/>
        <w:lvlJc w:val="left"/>
        <w:pPr>
          <w:ind w:left="851" w:hanging="851"/>
        </w:pPr>
        <w:rPr>
          <w:rFonts w:ascii="Calibri" w:hAnsi="Calibri" w:hint="default"/>
          <w:sz w:val="26"/>
        </w:rPr>
      </w:lvl>
    </w:lvlOverride>
    <w:lvlOverride w:ilvl="3">
      <w:lvl w:ilvl="3">
        <w:start w:val="1"/>
        <w:numFmt w:val="bullet"/>
        <w:pStyle w:val="4TfGMBullet1"/>
        <w:lvlText w:val=""/>
        <w:lvlJc w:val="left"/>
        <w:pPr>
          <w:ind w:left="567" w:firstLine="510"/>
        </w:pPr>
        <w:rPr>
          <w:rFonts w:ascii="Symbol" w:hAnsi="Symbol" w:hint="default"/>
          <w:color w:val="auto"/>
          <w:sz w:val="26"/>
        </w:rPr>
      </w:lvl>
    </w:lvlOverride>
    <w:lvlOverride w:ilvl="4">
      <w:lvl w:ilvl="4">
        <w:start w:val="1"/>
        <w:numFmt w:val="bullet"/>
        <w:pStyle w:val="5TfGMBullet2"/>
        <w:lvlText w:val=""/>
        <w:lvlJc w:val="left"/>
        <w:pPr>
          <w:ind w:left="567" w:firstLine="851"/>
        </w:pPr>
        <w:rPr>
          <w:rFonts w:ascii="Symbol" w:hAnsi="Symbol" w:hint="default"/>
          <w:sz w:val="26"/>
        </w:rPr>
      </w:lvl>
    </w:lvlOverride>
    <w:lvlOverride w:ilvl="5">
      <w:lvl w:ilvl="5">
        <w:start w:val="1"/>
        <w:numFmt w:val="lowerRoman"/>
        <w:pStyle w:val="6TfGMRecommendations"/>
        <w:lvlText w:val="%6)"/>
        <w:lvlJc w:val="left"/>
        <w:pPr>
          <w:ind w:left="567" w:firstLine="510"/>
        </w:pPr>
        <w:rPr>
          <w:rFonts w:ascii="Calibri" w:hAnsi="Calibri" w:hint="default"/>
          <w:sz w:val="26"/>
        </w:rPr>
      </w:lvl>
    </w:lvlOverride>
    <w:lvlOverride w:ilvl="6">
      <w:lvl w:ilvl="6">
        <w:start w:val="1"/>
        <w:numFmt w:val="none"/>
        <w:lvlText w:val=""/>
        <w:lvlJc w:val="left"/>
        <w:pPr>
          <w:ind w:left="851" w:firstLine="31918"/>
        </w:pPr>
        <w:rPr>
          <w:rFonts w:ascii="Calibri" w:hAnsi="Calibri" w:hint="default"/>
          <w:sz w:val="26"/>
        </w:rPr>
      </w:lvl>
    </w:lvlOverride>
    <w:lvlOverride w:ilvl="7">
      <w:lvl w:ilvl="7">
        <w:start w:val="1"/>
        <w:numFmt w:val="lowerLetter"/>
        <w:lvlText w:val="%8."/>
        <w:lvlJc w:val="left"/>
        <w:pPr>
          <w:ind w:left="12960" w:hanging="360"/>
        </w:pPr>
        <w:rPr>
          <w:rFonts w:hint="default"/>
        </w:rPr>
      </w:lvl>
    </w:lvlOverride>
    <w:lvlOverride w:ilvl="8">
      <w:lvl w:ilvl="8">
        <w:start w:val="1"/>
        <w:numFmt w:val="lowerRoman"/>
        <w:lvlText w:val="%9."/>
        <w:lvlJc w:val="left"/>
        <w:pPr>
          <w:ind w:left="13320" w:hanging="360"/>
        </w:pPr>
        <w:rPr>
          <w:rFonts w:hint="default"/>
        </w:rPr>
      </w:lvl>
    </w:lvlOverride>
  </w:num>
  <w:num w:numId="51" w16cid:durableId="956452335">
    <w:abstractNumId w:val="18"/>
  </w:num>
  <w:num w:numId="52" w16cid:durableId="1215432743">
    <w:abstractNumId w:val="75"/>
  </w:num>
  <w:num w:numId="53" w16cid:durableId="1001395988">
    <w:abstractNumId w:val="11"/>
  </w:num>
  <w:num w:numId="54" w16cid:durableId="112136868">
    <w:abstractNumId w:val="12"/>
  </w:num>
  <w:num w:numId="55" w16cid:durableId="153180819">
    <w:abstractNumId w:val="68"/>
  </w:num>
  <w:num w:numId="56" w16cid:durableId="238758054">
    <w:abstractNumId w:val="13"/>
  </w:num>
  <w:num w:numId="57" w16cid:durableId="840774208">
    <w:abstractNumId w:val="84"/>
  </w:num>
  <w:num w:numId="58" w16cid:durableId="1882597565">
    <w:abstractNumId w:val="26"/>
  </w:num>
  <w:num w:numId="59" w16cid:durableId="350033793">
    <w:abstractNumId w:val="62"/>
  </w:num>
  <w:num w:numId="60" w16cid:durableId="1979411790">
    <w:abstractNumId w:val="48"/>
  </w:num>
  <w:num w:numId="61" w16cid:durableId="1730691430">
    <w:abstractNumId w:val="51"/>
  </w:num>
  <w:num w:numId="62" w16cid:durableId="1090007050">
    <w:abstractNumId w:val="42"/>
  </w:num>
  <w:num w:numId="63" w16cid:durableId="1328747298">
    <w:abstractNumId w:val="49"/>
  </w:num>
  <w:num w:numId="64" w16cid:durableId="1675259279">
    <w:abstractNumId w:val="15"/>
  </w:num>
  <w:num w:numId="65" w16cid:durableId="1671561516">
    <w:abstractNumId w:val="86"/>
  </w:num>
  <w:num w:numId="66" w16cid:durableId="646785436">
    <w:abstractNumId w:val="83"/>
  </w:num>
  <w:num w:numId="67" w16cid:durableId="1842430703">
    <w:abstractNumId w:val="27"/>
  </w:num>
  <w:num w:numId="68" w16cid:durableId="910165597">
    <w:abstractNumId w:val="78"/>
  </w:num>
  <w:num w:numId="69" w16cid:durableId="1507480552">
    <w:abstractNumId w:val="47"/>
  </w:num>
  <w:num w:numId="70" w16cid:durableId="1474981048">
    <w:abstractNumId w:val="74"/>
  </w:num>
  <w:num w:numId="71" w16cid:durableId="329066339">
    <w:abstractNumId w:val="60"/>
  </w:num>
  <w:num w:numId="72" w16cid:durableId="1190682282">
    <w:abstractNumId w:val="21"/>
  </w:num>
  <w:num w:numId="73" w16cid:durableId="1781602312">
    <w:abstractNumId w:val="88"/>
  </w:num>
  <w:num w:numId="74" w16cid:durableId="796144625">
    <w:abstractNumId w:val="40"/>
  </w:num>
  <w:num w:numId="75" w16cid:durableId="1634093243">
    <w:abstractNumId w:val="61"/>
  </w:num>
  <w:num w:numId="76" w16cid:durableId="1425490473">
    <w:abstractNumId w:val="53"/>
  </w:num>
  <w:num w:numId="77" w16cid:durableId="1820414953">
    <w:abstractNumId w:val="52"/>
  </w:num>
  <w:num w:numId="78" w16cid:durableId="1103382920">
    <w:abstractNumId w:val="22"/>
  </w:num>
  <w:num w:numId="79" w16cid:durableId="980766211">
    <w:abstractNumId w:val="58"/>
  </w:num>
  <w:num w:numId="80" w16cid:durableId="1806508868">
    <w:abstractNumId w:val="79"/>
  </w:num>
  <w:num w:numId="81" w16cid:durableId="1708334744">
    <w:abstractNumId w:val="71"/>
  </w:num>
  <w:num w:numId="82" w16cid:durableId="1009141617">
    <w:abstractNumId w:val="73"/>
  </w:num>
  <w:num w:numId="83" w16cid:durableId="979846745">
    <w:abstractNumId w:val="23"/>
  </w:num>
  <w:num w:numId="84" w16cid:durableId="805199092">
    <w:abstractNumId w:val="45"/>
  </w:num>
  <w:num w:numId="85" w16cid:durableId="1892497766">
    <w:abstractNumId w:val="14"/>
  </w:num>
  <w:num w:numId="86" w16cid:durableId="1948391739">
    <w:abstractNumId w:val="32"/>
  </w:num>
  <w:num w:numId="87" w16cid:durableId="1441949886">
    <w:abstractNumId w:val="34"/>
  </w:num>
  <w:num w:numId="88" w16cid:durableId="1793473736">
    <w:abstractNumId w:val="16"/>
  </w:num>
  <w:num w:numId="89" w16cid:durableId="457115803">
    <w:abstractNumId w:val="5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300"/>
    <w:rsid w:val="000008C1"/>
    <w:rsid w:val="00001147"/>
    <w:rsid w:val="000014B1"/>
    <w:rsid w:val="00002622"/>
    <w:rsid w:val="000026DC"/>
    <w:rsid w:val="00002D6A"/>
    <w:rsid w:val="00003377"/>
    <w:rsid w:val="000037B3"/>
    <w:rsid w:val="00003CD3"/>
    <w:rsid w:val="00003F30"/>
    <w:rsid w:val="00004436"/>
    <w:rsid w:val="000058B6"/>
    <w:rsid w:val="00006751"/>
    <w:rsid w:val="00006ADD"/>
    <w:rsid w:val="00006FCC"/>
    <w:rsid w:val="000071D7"/>
    <w:rsid w:val="00007437"/>
    <w:rsid w:val="000100D5"/>
    <w:rsid w:val="0001019F"/>
    <w:rsid w:val="00010401"/>
    <w:rsid w:val="000113E7"/>
    <w:rsid w:val="0001170B"/>
    <w:rsid w:val="000121F2"/>
    <w:rsid w:val="00013345"/>
    <w:rsid w:val="000140CC"/>
    <w:rsid w:val="00014212"/>
    <w:rsid w:val="000148D8"/>
    <w:rsid w:val="00014DE7"/>
    <w:rsid w:val="000162E7"/>
    <w:rsid w:val="00016686"/>
    <w:rsid w:val="00016988"/>
    <w:rsid w:val="00016C24"/>
    <w:rsid w:val="00020DA9"/>
    <w:rsid w:val="0002190C"/>
    <w:rsid w:val="00021D5A"/>
    <w:rsid w:val="00022220"/>
    <w:rsid w:val="0002416A"/>
    <w:rsid w:val="0002432F"/>
    <w:rsid w:val="000254B5"/>
    <w:rsid w:val="00025CB7"/>
    <w:rsid w:val="00026E51"/>
    <w:rsid w:val="00027BE1"/>
    <w:rsid w:val="00027C2E"/>
    <w:rsid w:val="00027EC2"/>
    <w:rsid w:val="00027F3A"/>
    <w:rsid w:val="00030B86"/>
    <w:rsid w:val="00031A22"/>
    <w:rsid w:val="000329D6"/>
    <w:rsid w:val="00032DA3"/>
    <w:rsid w:val="00032ED6"/>
    <w:rsid w:val="0003428E"/>
    <w:rsid w:val="0003456C"/>
    <w:rsid w:val="000355AC"/>
    <w:rsid w:val="00036354"/>
    <w:rsid w:val="000407DD"/>
    <w:rsid w:val="00040A1A"/>
    <w:rsid w:val="00041DAE"/>
    <w:rsid w:val="00043063"/>
    <w:rsid w:val="00044067"/>
    <w:rsid w:val="00044139"/>
    <w:rsid w:val="000442D5"/>
    <w:rsid w:val="000451CA"/>
    <w:rsid w:val="00045882"/>
    <w:rsid w:val="000459AB"/>
    <w:rsid w:val="00046148"/>
    <w:rsid w:val="00046A7D"/>
    <w:rsid w:val="00050D41"/>
    <w:rsid w:val="00050D81"/>
    <w:rsid w:val="00050EC4"/>
    <w:rsid w:val="00051B9A"/>
    <w:rsid w:val="000525BE"/>
    <w:rsid w:val="00052C64"/>
    <w:rsid w:val="00052C74"/>
    <w:rsid w:val="0005360C"/>
    <w:rsid w:val="00053A7C"/>
    <w:rsid w:val="00053E1A"/>
    <w:rsid w:val="00054583"/>
    <w:rsid w:val="000546CA"/>
    <w:rsid w:val="000560AF"/>
    <w:rsid w:val="00056761"/>
    <w:rsid w:val="00057EEC"/>
    <w:rsid w:val="0006241B"/>
    <w:rsid w:val="00062B2C"/>
    <w:rsid w:val="0006366E"/>
    <w:rsid w:val="00064376"/>
    <w:rsid w:val="0006490A"/>
    <w:rsid w:val="00064C3C"/>
    <w:rsid w:val="0006524E"/>
    <w:rsid w:val="0006685C"/>
    <w:rsid w:val="00067560"/>
    <w:rsid w:val="000713CE"/>
    <w:rsid w:val="0007272A"/>
    <w:rsid w:val="00072FCF"/>
    <w:rsid w:val="000731D7"/>
    <w:rsid w:val="00073770"/>
    <w:rsid w:val="0007382A"/>
    <w:rsid w:val="00073BDC"/>
    <w:rsid w:val="00073E55"/>
    <w:rsid w:val="00073FBD"/>
    <w:rsid w:val="000740BC"/>
    <w:rsid w:val="0007442E"/>
    <w:rsid w:val="00074FAB"/>
    <w:rsid w:val="00075218"/>
    <w:rsid w:val="0007558E"/>
    <w:rsid w:val="0007572B"/>
    <w:rsid w:val="000767D4"/>
    <w:rsid w:val="000767F9"/>
    <w:rsid w:val="00076DF7"/>
    <w:rsid w:val="00077DB3"/>
    <w:rsid w:val="00080228"/>
    <w:rsid w:val="000805FA"/>
    <w:rsid w:val="00080B54"/>
    <w:rsid w:val="000811AC"/>
    <w:rsid w:val="00081545"/>
    <w:rsid w:val="00081DA7"/>
    <w:rsid w:val="00081F87"/>
    <w:rsid w:val="00082940"/>
    <w:rsid w:val="00084130"/>
    <w:rsid w:val="00084476"/>
    <w:rsid w:val="00084BB4"/>
    <w:rsid w:val="00085C04"/>
    <w:rsid w:val="00085EF8"/>
    <w:rsid w:val="00085FBD"/>
    <w:rsid w:val="00086043"/>
    <w:rsid w:val="00086FA1"/>
    <w:rsid w:val="000874EF"/>
    <w:rsid w:val="00090E63"/>
    <w:rsid w:val="000915B2"/>
    <w:rsid w:val="00092735"/>
    <w:rsid w:val="00093337"/>
    <w:rsid w:val="000933D8"/>
    <w:rsid w:val="00093A5F"/>
    <w:rsid w:val="000945A1"/>
    <w:rsid w:val="000945AF"/>
    <w:rsid w:val="00094A78"/>
    <w:rsid w:val="00095267"/>
    <w:rsid w:val="0009565D"/>
    <w:rsid w:val="00095C18"/>
    <w:rsid w:val="000960E1"/>
    <w:rsid w:val="000963D2"/>
    <w:rsid w:val="000A0695"/>
    <w:rsid w:val="000A0F4F"/>
    <w:rsid w:val="000A17F5"/>
    <w:rsid w:val="000A258D"/>
    <w:rsid w:val="000A2EDF"/>
    <w:rsid w:val="000A4994"/>
    <w:rsid w:val="000A630A"/>
    <w:rsid w:val="000A68A4"/>
    <w:rsid w:val="000A6E69"/>
    <w:rsid w:val="000A79F2"/>
    <w:rsid w:val="000A7AB6"/>
    <w:rsid w:val="000B133D"/>
    <w:rsid w:val="000B14D0"/>
    <w:rsid w:val="000B1D0E"/>
    <w:rsid w:val="000B247E"/>
    <w:rsid w:val="000B3072"/>
    <w:rsid w:val="000B32B0"/>
    <w:rsid w:val="000B3FD2"/>
    <w:rsid w:val="000B4A7E"/>
    <w:rsid w:val="000B5A53"/>
    <w:rsid w:val="000B67F1"/>
    <w:rsid w:val="000B6E49"/>
    <w:rsid w:val="000B7231"/>
    <w:rsid w:val="000B7486"/>
    <w:rsid w:val="000B7B21"/>
    <w:rsid w:val="000C0ECB"/>
    <w:rsid w:val="000C19CD"/>
    <w:rsid w:val="000C19F2"/>
    <w:rsid w:val="000C230B"/>
    <w:rsid w:val="000C2D30"/>
    <w:rsid w:val="000C2F94"/>
    <w:rsid w:val="000C364F"/>
    <w:rsid w:val="000C3CF7"/>
    <w:rsid w:val="000C4B28"/>
    <w:rsid w:val="000C53A4"/>
    <w:rsid w:val="000C5F4E"/>
    <w:rsid w:val="000C6B2A"/>
    <w:rsid w:val="000C7D8A"/>
    <w:rsid w:val="000D11BC"/>
    <w:rsid w:val="000D1F38"/>
    <w:rsid w:val="000D3910"/>
    <w:rsid w:val="000D4E4E"/>
    <w:rsid w:val="000D4E56"/>
    <w:rsid w:val="000D5882"/>
    <w:rsid w:val="000D615B"/>
    <w:rsid w:val="000D6A7A"/>
    <w:rsid w:val="000D7E38"/>
    <w:rsid w:val="000D7F53"/>
    <w:rsid w:val="000E09F5"/>
    <w:rsid w:val="000E0AE8"/>
    <w:rsid w:val="000E15E4"/>
    <w:rsid w:val="000E18CB"/>
    <w:rsid w:val="000E1954"/>
    <w:rsid w:val="000E2349"/>
    <w:rsid w:val="000E2A08"/>
    <w:rsid w:val="000E327E"/>
    <w:rsid w:val="000E36EC"/>
    <w:rsid w:val="000E46C3"/>
    <w:rsid w:val="000E5109"/>
    <w:rsid w:val="000E5378"/>
    <w:rsid w:val="000E5AD6"/>
    <w:rsid w:val="000E6B9C"/>
    <w:rsid w:val="000E706D"/>
    <w:rsid w:val="000E74C3"/>
    <w:rsid w:val="000E7CD3"/>
    <w:rsid w:val="000E7DA0"/>
    <w:rsid w:val="000E7F37"/>
    <w:rsid w:val="000F0CEB"/>
    <w:rsid w:val="000F1EB5"/>
    <w:rsid w:val="000F2BC6"/>
    <w:rsid w:val="000F2D9A"/>
    <w:rsid w:val="000F3752"/>
    <w:rsid w:val="000F4716"/>
    <w:rsid w:val="000F48B9"/>
    <w:rsid w:val="000F6434"/>
    <w:rsid w:val="000F64EB"/>
    <w:rsid w:val="00100674"/>
    <w:rsid w:val="00100C95"/>
    <w:rsid w:val="001026CC"/>
    <w:rsid w:val="00102E58"/>
    <w:rsid w:val="00103DD7"/>
    <w:rsid w:val="00105404"/>
    <w:rsid w:val="001056D1"/>
    <w:rsid w:val="00106061"/>
    <w:rsid w:val="00106B37"/>
    <w:rsid w:val="0010757F"/>
    <w:rsid w:val="0010781E"/>
    <w:rsid w:val="00110ACA"/>
    <w:rsid w:val="00112434"/>
    <w:rsid w:val="00112F30"/>
    <w:rsid w:val="00112F51"/>
    <w:rsid w:val="001131BA"/>
    <w:rsid w:val="00114815"/>
    <w:rsid w:val="00114BDA"/>
    <w:rsid w:val="00114D57"/>
    <w:rsid w:val="00115670"/>
    <w:rsid w:val="00115DCD"/>
    <w:rsid w:val="001162A2"/>
    <w:rsid w:val="001174F5"/>
    <w:rsid w:val="0012135A"/>
    <w:rsid w:val="0012253E"/>
    <w:rsid w:val="00122A4E"/>
    <w:rsid w:val="00122CC1"/>
    <w:rsid w:val="00122CC7"/>
    <w:rsid w:val="00122ECC"/>
    <w:rsid w:val="00122FE5"/>
    <w:rsid w:val="00123598"/>
    <w:rsid w:val="00123CF2"/>
    <w:rsid w:val="00123DA1"/>
    <w:rsid w:val="00123E80"/>
    <w:rsid w:val="00124E12"/>
    <w:rsid w:val="00125398"/>
    <w:rsid w:val="00126747"/>
    <w:rsid w:val="001267EE"/>
    <w:rsid w:val="00126B18"/>
    <w:rsid w:val="00126BFE"/>
    <w:rsid w:val="00127201"/>
    <w:rsid w:val="00130913"/>
    <w:rsid w:val="00130F88"/>
    <w:rsid w:val="001316B3"/>
    <w:rsid w:val="00131BA5"/>
    <w:rsid w:val="00131DE6"/>
    <w:rsid w:val="00131FED"/>
    <w:rsid w:val="00133863"/>
    <w:rsid w:val="00133E33"/>
    <w:rsid w:val="00135610"/>
    <w:rsid w:val="00135E29"/>
    <w:rsid w:val="00136014"/>
    <w:rsid w:val="0013619D"/>
    <w:rsid w:val="001366B9"/>
    <w:rsid w:val="00137D04"/>
    <w:rsid w:val="001416DC"/>
    <w:rsid w:val="0014202A"/>
    <w:rsid w:val="00142A03"/>
    <w:rsid w:val="00144400"/>
    <w:rsid w:val="00144404"/>
    <w:rsid w:val="001446CC"/>
    <w:rsid w:val="00144BB8"/>
    <w:rsid w:val="00144C23"/>
    <w:rsid w:val="00144E9F"/>
    <w:rsid w:val="001456FE"/>
    <w:rsid w:val="00145C13"/>
    <w:rsid w:val="001468DD"/>
    <w:rsid w:val="0014763F"/>
    <w:rsid w:val="00147906"/>
    <w:rsid w:val="00150CDE"/>
    <w:rsid w:val="00150E0B"/>
    <w:rsid w:val="001513E1"/>
    <w:rsid w:val="001513F6"/>
    <w:rsid w:val="00151606"/>
    <w:rsid w:val="0015228D"/>
    <w:rsid w:val="00152326"/>
    <w:rsid w:val="00152412"/>
    <w:rsid w:val="00152638"/>
    <w:rsid w:val="00153CBF"/>
    <w:rsid w:val="00153EF1"/>
    <w:rsid w:val="00154EDF"/>
    <w:rsid w:val="00155621"/>
    <w:rsid w:val="001557D9"/>
    <w:rsid w:val="001558C1"/>
    <w:rsid w:val="0015682A"/>
    <w:rsid w:val="00156EAA"/>
    <w:rsid w:val="00160771"/>
    <w:rsid w:val="00160785"/>
    <w:rsid w:val="00160E07"/>
    <w:rsid w:val="00161AD9"/>
    <w:rsid w:val="00163E12"/>
    <w:rsid w:val="001649F6"/>
    <w:rsid w:val="00164A5F"/>
    <w:rsid w:val="0016502D"/>
    <w:rsid w:val="00165CEE"/>
    <w:rsid w:val="00166F8F"/>
    <w:rsid w:val="00170115"/>
    <w:rsid w:val="0017061D"/>
    <w:rsid w:val="00171330"/>
    <w:rsid w:val="00171DAF"/>
    <w:rsid w:val="0017271E"/>
    <w:rsid w:val="00173546"/>
    <w:rsid w:val="00176124"/>
    <w:rsid w:val="00176317"/>
    <w:rsid w:val="0017725A"/>
    <w:rsid w:val="0017778E"/>
    <w:rsid w:val="00180CC0"/>
    <w:rsid w:val="00180E43"/>
    <w:rsid w:val="00181143"/>
    <w:rsid w:val="001819D9"/>
    <w:rsid w:val="00181A50"/>
    <w:rsid w:val="00182284"/>
    <w:rsid w:val="00182392"/>
    <w:rsid w:val="0018253E"/>
    <w:rsid w:val="001826CE"/>
    <w:rsid w:val="001838A2"/>
    <w:rsid w:val="00183E7A"/>
    <w:rsid w:val="00184362"/>
    <w:rsid w:val="001859D8"/>
    <w:rsid w:val="00186278"/>
    <w:rsid w:val="001867BA"/>
    <w:rsid w:val="00186C02"/>
    <w:rsid w:val="001876BD"/>
    <w:rsid w:val="00187C9F"/>
    <w:rsid w:val="001901D8"/>
    <w:rsid w:val="00190AF8"/>
    <w:rsid w:val="00190FF1"/>
    <w:rsid w:val="00191294"/>
    <w:rsid w:val="0019189C"/>
    <w:rsid w:val="00192CB0"/>
    <w:rsid w:val="00192EC4"/>
    <w:rsid w:val="001930C7"/>
    <w:rsid w:val="001937E4"/>
    <w:rsid w:val="0019391D"/>
    <w:rsid w:val="00193F02"/>
    <w:rsid w:val="001943BF"/>
    <w:rsid w:val="0019544B"/>
    <w:rsid w:val="001969DD"/>
    <w:rsid w:val="00197529"/>
    <w:rsid w:val="001A1195"/>
    <w:rsid w:val="001A1273"/>
    <w:rsid w:val="001A16CB"/>
    <w:rsid w:val="001A1EC9"/>
    <w:rsid w:val="001A2D52"/>
    <w:rsid w:val="001A3595"/>
    <w:rsid w:val="001A3736"/>
    <w:rsid w:val="001A454E"/>
    <w:rsid w:val="001A58C6"/>
    <w:rsid w:val="001A62A5"/>
    <w:rsid w:val="001A74B2"/>
    <w:rsid w:val="001A791D"/>
    <w:rsid w:val="001A7D30"/>
    <w:rsid w:val="001B0760"/>
    <w:rsid w:val="001B0BAB"/>
    <w:rsid w:val="001B1330"/>
    <w:rsid w:val="001B1DE6"/>
    <w:rsid w:val="001B2BD9"/>
    <w:rsid w:val="001B4436"/>
    <w:rsid w:val="001B4593"/>
    <w:rsid w:val="001B478E"/>
    <w:rsid w:val="001B6D1C"/>
    <w:rsid w:val="001B7888"/>
    <w:rsid w:val="001C1AA1"/>
    <w:rsid w:val="001C348B"/>
    <w:rsid w:val="001C3A4B"/>
    <w:rsid w:val="001C49A0"/>
    <w:rsid w:val="001C59EE"/>
    <w:rsid w:val="001C5DE1"/>
    <w:rsid w:val="001C5FFB"/>
    <w:rsid w:val="001C626B"/>
    <w:rsid w:val="001C6ACD"/>
    <w:rsid w:val="001C7AD8"/>
    <w:rsid w:val="001C7C79"/>
    <w:rsid w:val="001D1053"/>
    <w:rsid w:val="001D2055"/>
    <w:rsid w:val="001D2242"/>
    <w:rsid w:val="001D23EA"/>
    <w:rsid w:val="001D278E"/>
    <w:rsid w:val="001D4791"/>
    <w:rsid w:val="001D47A1"/>
    <w:rsid w:val="001D4868"/>
    <w:rsid w:val="001D4BAF"/>
    <w:rsid w:val="001D5319"/>
    <w:rsid w:val="001D5484"/>
    <w:rsid w:val="001D6744"/>
    <w:rsid w:val="001D69B8"/>
    <w:rsid w:val="001D6B41"/>
    <w:rsid w:val="001D735D"/>
    <w:rsid w:val="001D7507"/>
    <w:rsid w:val="001E052C"/>
    <w:rsid w:val="001E0C92"/>
    <w:rsid w:val="001E1831"/>
    <w:rsid w:val="001E1A08"/>
    <w:rsid w:val="001E2659"/>
    <w:rsid w:val="001E2EE1"/>
    <w:rsid w:val="001E30AB"/>
    <w:rsid w:val="001E3540"/>
    <w:rsid w:val="001E40DE"/>
    <w:rsid w:val="001E470D"/>
    <w:rsid w:val="001E50D6"/>
    <w:rsid w:val="001E581A"/>
    <w:rsid w:val="001E6260"/>
    <w:rsid w:val="001E6778"/>
    <w:rsid w:val="001F0259"/>
    <w:rsid w:val="001F072F"/>
    <w:rsid w:val="001F0E0C"/>
    <w:rsid w:val="001F1B0D"/>
    <w:rsid w:val="001F1CDD"/>
    <w:rsid w:val="001F2528"/>
    <w:rsid w:val="001F2C3F"/>
    <w:rsid w:val="001F2EE6"/>
    <w:rsid w:val="001F31F2"/>
    <w:rsid w:val="001F3CE0"/>
    <w:rsid w:val="001F692E"/>
    <w:rsid w:val="001F6973"/>
    <w:rsid w:val="001F6FEF"/>
    <w:rsid w:val="001F7108"/>
    <w:rsid w:val="001F7616"/>
    <w:rsid w:val="001F7D88"/>
    <w:rsid w:val="00201AD1"/>
    <w:rsid w:val="002020AA"/>
    <w:rsid w:val="00202C5F"/>
    <w:rsid w:val="00203B09"/>
    <w:rsid w:val="00203F2A"/>
    <w:rsid w:val="0020483D"/>
    <w:rsid w:val="00204D0B"/>
    <w:rsid w:val="00204E54"/>
    <w:rsid w:val="00204F33"/>
    <w:rsid w:val="0020516D"/>
    <w:rsid w:val="002061DD"/>
    <w:rsid w:val="00206DF3"/>
    <w:rsid w:val="00206F03"/>
    <w:rsid w:val="002103AC"/>
    <w:rsid w:val="00212C0B"/>
    <w:rsid w:val="002138F0"/>
    <w:rsid w:val="00214CB1"/>
    <w:rsid w:val="00215616"/>
    <w:rsid w:val="00215941"/>
    <w:rsid w:val="00215A6A"/>
    <w:rsid w:val="00216825"/>
    <w:rsid w:val="00216971"/>
    <w:rsid w:val="00216D69"/>
    <w:rsid w:val="00217A46"/>
    <w:rsid w:val="00217C9D"/>
    <w:rsid w:val="00217EB5"/>
    <w:rsid w:val="002201A2"/>
    <w:rsid w:val="002213B4"/>
    <w:rsid w:val="002217DB"/>
    <w:rsid w:val="00221C18"/>
    <w:rsid w:val="00223B59"/>
    <w:rsid w:val="0022418C"/>
    <w:rsid w:val="00225E28"/>
    <w:rsid w:val="00225F11"/>
    <w:rsid w:val="002265D2"/>
    <w:rsid w:val="00226BA8"/>
    <w:rsid w:val="002270C7"/>
    <w:rsid w:val="00227DEA"/>
    <w:rsid w:val="002305C6"/>
    <w:rsid w:val="00230784"/>
    <w:rsid w:val="00231013"/>
    <w:rsid w:val="00231EC2"/>
    <w:rsid w:val="002326BD"/>
    <w:rsid w:val="0023425C"/>
    <w:rsid w:val="00235431"/>
    <w:rsid w:val="00236570"/>
    <w:rsid w:val="00236F88"/>
    <w:rsid w:val="002409D6"/>
    <w:rsid w:val="002409D7"/>
    <w:rsid w:val="00240FAF"/>
    <w:rsid w:val="00242325"/>
    <w:rsid w:val="00243254"/>
    <w:rsid w:val="00243427"/>
    <w:rsid w:val="0024378D"/>
    <w:rsid w:val="0024576A"/>
    <w:rsid w:val="00245D50"/>
    <w:rsid w:val="00246B1A"/>
    <w:rsid w:val="00247E04"/>
    <w:rsid w:val="0025069B"/>
    <w:rsid w:val="00250B85"/>
    <w:rsid w:val="002510FA"/>
    <w:rsid w:val="00252539"/>
    <w:rsid w:val="00253110"/>
    <w:rsid w:val="00254030"/>
    <w:rsid w:val="002555A0"/>
    <w:rsid w:val="00255813"/>
    <w:rsid w:val="002558A0"/>
    <w:rsid w:val="00255A94"/>
    <w:rsid w:val="00256B04"/>
    <w:rsid w:val="00260876"/>
    <w:rsid w:val="00260A2B"/>
    <w:rsid w:val="00260BAF"/>
    <w:rsid w:val="00260FAE"/>
    <w:rsid w:val="00261260"/>
    <w:rsid w:val="00261307"/>
    <w:rsid w:val="00261631"/>
    <w:rsid w:val="00261CE2"/>
    <w:rsid w:val="00262377"/>
    <w:rsid w:val="00263339"/>
    <w:rsid w:val="00263783"/>
    <w:rsid w:val="00263B3D"/>
    <w:rsid w:val="00263E71"/>
    <w:rsid w:val="00264715"/>
    <w:rsid w:val="00265D05"/>
    <w:rsid w:val="0026647A"/>
    <w:rsid w:val="00266B23"/>
    <w:rsid w:val="00267033"/>
    <w:rsid w:val="00267675"/>
    <w:rsid w:val="00267803"/>
    <w:rsid w:val="00267A25"/>
    <w:rsid w:val="00267BF9"/>
    <w:rsid w:val="002706DC"/>
    <w:rsid w:val="00270FE4"/>
    <w:rsid w:val="00271956"/>
    <w:rsid w:val="00271B57"/>
    <w:rsid w:val="0027341C"/>
    <w:rsid w:val="002735A0"/>
    <w:rsid w:val="00275033"/>
    <w:rsid w:val="00276378"/>
    <w:rsid w:val="0027782F"/>
    <w:rsid w:val="00277A16"/>
    <w:rsid w:val="00281085"/>
    <w:rsid w:val="002810BB"/>
    <w:rsid w:val="00281348"/>
    <w:rsid w:val="002816D7"/>
    <w:rsid w:val="00281BE5"/>
    <w:rsid w:val="00282FEE"/>
    <w:rsid w:val="00283DF3"/>
    <w:rsid w:val="00285F28"/>
    <w:rsid w:val="00287411"/>
    <w:rsid w:val="00287D6E"/>
    <w:rsid w:val="00290F44"/>
    <w:rsid w:val="002914CC"/>
    <w:rsid w:val="002919EB"/>
    <w:rsid w:val="00291C64"/>
    <w:rsid w:val="00293CC5"/>
    <w:rsid w:val="002942E7"/>
    <w:rsid w:val="00294E50"/>
    <w:rsid w:val="002952F9"/>
    <w:rsid w:val="00295871"/>
    <w:rsid w:val="00296CD9"/>
    <w:rsid w:val="00296E9D"/>
    <w:rsid w:val="00296F78"/>
    <w:rsid w:val="002A0152"/>
    <w:rsid w:val="002A18FB"/>
    <w:rsid w:val="002A1987"/>
    <w:rsid w:val="002A19B3"/>
    <w:rsid w:val="002A1BED"/>
    <w:rsid w:val="002A5193"/>
    <w:rsid w:val="002A5D88"/>
    <w:rsid w:val="002A6212"/>
    <w:rsid w:val="002A6573"/>
    <w:rsid w:val="002A65CE"/>
    <w:rsid w:val="002A6C4C"/>
    <w:rsid w:val="002A74DB"/>
    <w:rsid w:val="002A799E"/>
    <w:rsid w:val="002A7CF3"/>
    <w:rsid w:val="002B00AF"/>
    <w:rsid w:val="002B049C"/>
    <w:rsid w:val="002B133F"/>
    <w:rsid w:val="002B38D1"/>
    <w:rsid w:val="002B3C1D"/>
    <w:rsid w:val="002B5482"/>
    <w:rsid w:val="002B553A"/>
    <w:rsid w:val="002B759B"/>
    <w:rsid w:val="002B7650"/>
    <w:rsid w:val="002C113C"/>
    <w:rsid w:val="002C21D2"/>
    <w:rsid w:val="002C2649"/>
    <w:rsid w:val="002C28C1"/>
    <w:rsid w:val="002C3062"/>
    <w:rsid w:val="002C36DB"/>
    <w:rsid w:val="002C3C28"/>
    <w:rsid w:val="002C411B"/>
    <w:rsid w:val="002C413A"/>
    <w:rsid w:val="002C48AD"/>
    <w:rsid w:val="002C4B67"/>
    <w:rsid w:val="002C5006"/>
    <w:rsid w:val="002C5479"/>
    <w:rsid w:val="002C641A"/>
    <w:rsid w:val="002C772E"/>
    <w:rsid w:val="002D2913"/>
    <w:rsid w:val="002D2E99"/>
    <w:rsid w:val="002D2F17"/>
    <w:rsid w:val="002D3571"/>
    <w:rsid w:val="002D358A"/>
    <w:rsid w:val="002D40FF"/>
    <w:rsid w:val="002D41AB"/>
    <w:rsid w:val="002D4A42"/>
    <w:rsid w:val="002D4B06"/>
    <w:rsid w:val="002D6356"/>
    <w:rsid w:val="002D68EA"/>
    <w:rsid w:val="002D76CD"/>
    <w:rsid w:val="002E08E9"/>
    <w:rsid w:val="002E0B9F"/>
    <w:rsid w:val="002E0E9D"/>
    <w:rsid w:val="002E10EA"/>
    <w:rsid w:val="002E18E5"/>
    <w:rsid w:val="002E1BEE"/>
    <w:rsid w:val="002E1DEA"/>
    <w:rsid w:val="002E200A"/>
    <w:rsid w:val="002E22CF"/>
    <w:rsid w:val="002E36E6"/>
    <w:rsid w:val="002E4EEE"/>
    <w:rsid w:val="002E56A4"/>
    <w:rsid w:val="002E5D9D"/>
    <w:rsid w:val="002E76FA"/>
    <w:rsid w:val="002E79D3"/>
    <w:rsid w:val="002E7A9F"/>
    <w:rsid w:val="002F037F"/>
    <w:rsid w:val="002F083C"/>
    <w:rsid w:val="002F25D4"/>
    <w:rsid w:val="002F2A52"/>
    <w:rsid w:val="002F46D8"/>
    <w:rsid w:val="002F5EDD"/>
    <w:rsid w:val="00300686"/>
    <w:rsid w:val="00300D64"/>
    <w:rsid w:val="00301A65"/>
    <w:rsid w:val="00302053"/>
    <w:rsid w:val="00303094"/>
    <w:rsid w:val="00305C7A"/>
    <w:rsid w:val="00305CA8"/>
    <w:rsid w:val="003061E0"/>
    <w:rsid w:val="00306657"/>
    <w:rsid w:val="0030674D"/>
    <w:rsid w:val="0030753F"/>
    <w:rsid w:val="003103DC"/>
    <w:rsid w:val="003109CE"/>
    <w:rsid w:val="003117AB"/>
    <w:rsid w:val="00311AE7"/>
    <w:rsid w:val="00314193"/>
    <w:rsid w:val="00314A95"/>
    <w:rsid w:val="00315FD6"/>
    <w:rsid w:val="003161FC"/>
    <w:rsid w:val="003166DA"/>
    <w:rsid w:val="0031699E"/>
    <w:rsid w:val="00317709"/>
    <w:rsid w:val="00317C98"/>
    <w:rsid w:val="00317E52"/>
    <w:rsid w:val="00320ADB"/>
    <w:rsid w:val="00320E1C"/>
    <w:rsid w:val="00321EB6"/>
    <w:rsid w:val="00322179"/>
    <w:rsid w:val="0032236D"/>
    <w:rsid w:val="00322485"/>
    <w:rsid w:val="00322755"/>
    <w:rsid w:val="00323BE3"/>
    <w:rsid w:val="0032476E"/>
    <w:rsid w:val="00324A39"/>
    <w:rsid w:val="003251F3"/>
    <w:rsid w:val="003262C5"/>
    <w:rsid w:val="0032642E"/>
    <w:rsid w:val="00327BDC"/>
    <w:rsid w:val="003313B0"/>
    <w:rsid w:val="003314BE"/>
    <w:rsid w:val="003318BC"/>
    <w:rsid w:val="00333273"/>
    <w:rsid w:val="003332EC"/>
    <w:rsid w:val="00334B82"/>
    <w:rsid w:val="003366E1"/>
    <w:rsid w:val="00336734"/>
    <w:rsid w:val="00336C9F"/>
    <w:rsid w:val="00336D63"/>
    <w:rsid w:val="003378D4"/>
    <w:rsid w:val="00337A59"/>
    <w:rsid w:val="00337C1A"/>
    <w:rsid w:val="00340252"/>
    <w:rsid w:val="00340F0A"/>
    <w:rsid w:val="00342B6D"/>
    <w:rsid w:val="00343260"/>
    <w:rsid w:val="00343351"/>
    <w:rsid w:val="0034379B"/>
    <w:rsid w:val="003439C3"/>
    <w:rsid w:val="00344898"/>
    <w:rsid w:val="003455E5"/>
    <w:rsid w:val="00345AFF"/>
    <w:rsid w:val="00345EB7"/>
    <w:rsid w:val="00345FB8"/>
    <w:rsid w:val="00346123"/>
    <w:rsid w:val="00347879"/>
    <w:rsid w:val="00350F78"/>
    <w:rsid w:val="00351717"/>
    <w:rsid w:val="00352866"/>
    <w:rsid w:val="003531BD"/>
    <w:rsid w:val="0035322B"/>
    <w:rsid w:val="003537DF"/>
    <w:rsid w:val="003539BC"/>
    <w:rsid w:val="00353B6F"/>
    <w:rsid w:val="003543D4"/>
    <w:rsid w:val="003544D1"/>
    <w:rsid w:val="0035486D"/>
    <w:rsid w:val="0035629E"/>
    <w:rsid w:val="003565C7"/>
    <w:rsid w:val="00356A8F"/>
    <w:rsid w:val="00356F92"/>
    <w:rsid w:val="0035752C"/>
    <w:rsid w:val="00357FDB"/>
    <w:rsid w:val="003613C0"/>
    <w:rsid w:val="00361995"/>
    <w:rsid w:val="003623B2"/>
    <w:rsid w:val="00362815"/>
    <w:rsid w:val="00364082"/>
    <w:rsid w:val="00364A5B"/>
    <w:rsid w:val="00365515"/>
    <w:rsid w:val="00365E9B"/>
    <w:rsid w:val="00366EB7"/>
    <w:rsid w:val="00367C72"/>
    <w:rsid w:val="00367E38"/>
    <w:rsid w:val="00370B6B"/>
    <w:rsid w:val="00371A6D"/>
    <w:rsid w:val="00372292"/>
    <w:rsid w:val="00373365"/>
    <w:rsid w:val="003741C8"/>
    <w:rsid w:val="00375977"/>
    <w:rsid w:val="00376627"/>
    <w:rsid w:val="00377E35"/>
    <w:rsid w:val="0038082E"/>
    <w:rsid w:val="0038153E"/>
    <w:rsid w:val="0038217D"/>
    <w:rsid w:val="003829AE"/>
    <w:rsid w:val="00383E2B"/>
    <w:rsid w:val="00384F95"/>
    <w:rsid w:val="003853D1"/>
    <w:rsid w:val="003865F0"/>
    <w:rsid w:val="00386B1F"/>
    <w:rsid w:val="00387156"/>
    <w:rsid w:val="00387436"/>
    <w:rsid w:val="00387571"/>
    <w:rsid w:val="003877F1"/>
    <w:rsid w:val="00387C38"/>
    <w:rsid w:val="003923B6"/>
    <w:rsid w:val="00392774"/>
    <w:rsid w:val="00392BE2"/>
    <w:rsid w:val="003941CA"/>
    <w:rsid w:val="003949B8"/>
    <w:rsid w:val="00394A58"/>
    <w:rsid w:val="00395E70"/>
    <w:rsid w:val="00396731"/>
    <w:rsid w:val="003975A7"/>
    <w:rsid w:val="00397854"/>
    <w:rsid w:val="003A2B5A"/>
    <w:rsid w:val="003A2C31"/>
    <w:rsid w:val="003A31EF"/>
    <w:rsid w:val="003A3296"/>
    <w:rsid w:val="003A363A"/>
    <w:rsid w:val="003A36B1"/>
    <w:rsid w:val="003A3F65"/>
    <w:rsid w:val="003A4391"/>
    <w:rsid w:val="003A46ED"/>
    <w:rsid w:val="003A641D"/>
    <w:rsid w:val="003A6BBA"/>
    <w:rsid w:val="003B018E"/>
    <w:rsid w:val="003B01B5"/>
    <w:rsid w:val="003B0A92"/>
    <w:rsid w:val="003B15CE"/>
    <w:rsid w:val="003B3921"/>
    <w:rsid w:val="003B44CC"/>
    <w:rsid w:val="003B46BF"/>
    <w:rsid w:val="003B4D5B"/>
    <w:rsid w:val="003B5460"/>
    <w:rsid w:val="003B62A8"/>
    <w:rsid w:val="003C15F7"/>
    <w:rsid w:val="003C272F"/>
    <w:rsid w:val="003C37CC"/>
    <w:rsid w:val="003C3CBC"/>
    <w:rsid w:val="003C3CE4"/>
    <w:rsid w:val="003C489B"/>
    <w:rsid w:val="003C5C4E"/>
    <w:rsid w:val="003C6654"/>
    <w:rsid w:val="003D03A4"/>
    <w:rsid w:val="003D0973"/>
    <w:rsid w:val="003D0AA7"/>
    <w:rsid w:val="003D0DED"/>
    <w:rsid w:val="003D1325"/>
    <w:rsid w:val="003D29CB"/>
    <w:rsid w:val="003D2CD5"/>
    <w:rsid w:val="003D3B7D"/>
    <w:rsid w:val="003D57AF"/>
    <w:rsid w:val="003D5A05"/>
    <w:rsid w:val="003E1986"/>
    <w:rsid w:val="003E1E05"/>
    <w:rsid w:val="003E20A2"/>
    <w:rsid w:val="003E22F1"/>
    <w:rsid w:val="003E27B6"/>
    <w:rsid w:val="003E4069"/>
    <w:rsid w:val="003E4C16"/>
    <w:rsid w:val="003E69FE"/>
    <w:rsid w:val="003E7B25"/>
    <w:rsid w:val="003F11FE"/>
    <w:rsid w:val="003F1F09"/>
    <w:rsid w:val="003F32BF"/>
    <w:rsid w:val="003F33EC"/>
    <w:rsid w:val="003F3CF2"/>
    <w:rsid w:val="003F6CDC"/>
    <w:rsid w:val="003F6FBC"/>
    <w:rsid w:val="003F7BEE"/>
    <w:rsid w:val="0040243D"/>
    <w:rsid w:val="004028D3"/>
    <w:rsid w:val="0040301F"/>
    <w:rsid w:val="004042BA"/>
    <w:rsid w:val="004046C0"/>
    <w:rsid w:val="004047A3"/>
    <w:rsid w:val="00404D5B"/>
    <w:rsid w:val="00404EEA"/>
    <w:rsid w:val="00405761"/>
    <w:rsid w:val="00406277"/>
    <w:rsid w:val="00406A62"/>
    <w:rsid w:val="00406FBB"/>
    <w:rsid w:val="0040773A"/>
    <w:rsid w:val="004103E9"/>
    <w:rsid w:val="00410CDF"/>
    <w:rsid w:val="00413894"/>
    <w:rsid w:val="00413C79"/>
    <w:rsid w:val="00413CC3"/>
    <w:rsid w:val="0041436B"/>
    <w:rsid w:val="00414515"/>
    <w:rsid w:val="00414538"/>
    <w:rsid w:val="00414F94"/>
    <w:rsid w:val="00415308"/>
    <w:rsid w:val="00415AD6"/>
    <w:rsid w:val="00416D4A"/>
    <w:rsid w:val="00417350"/>
    <w:rsid w:val="00417E04"/>
    <w:rsid w:val="004210DB"/>
    <w:rsid w:val="00421474"/>
    <w:rsid w:val="004219F1"/>
    <w:rsid w:val="0042270C"/>
    <w:rsid w:val="00423B0A"/>
    <w:rsid w:val="00423CA5"/>
    <w:rsid w:val="004254CB"/>
    <w:rsid w:val="004261BF"/>
    <w:rsid w:val="0042690D"/>
    <w:rsid w:val="004277A6"/>
    <w:rsid w:val="00427F33"/>
    <w:rsid w:val="004300C4"/>
    <w:rsid w:val="004311A4"/>
    <w:rsid w:val="00431940"/>
    <w:rsid w:val="00431D87"/>
    <w:rsid w:val="00431DA3"/>
    <w:rsid w:val="00431F6F"/>
    <w:rsid w:val="0043245A"/>
    <w:rsid w:val="00432D92"/>
    <w:rsid w:val="00432E3E"/>
    <w:rsid w:val="0043331B"/>
    <w:rsid w:val="004334C8"/>
    <w:rsid w:val="0043503F"/>
    <w:rsid w:val="00436A00"/>
    <w:rsid w:val="004371A7"/>
    <w:rsid w:val="00437C52"/>
    <w:rsid w:val="004404B8"/>
    <w:rsid w:val="004407D7"/>
    <w:rsid w:val="00440FB5"/>
    <w:rsid w:val="004418BB"/>
    <w:rsid w:val="00441C42"/>
    <w:rsid w:val="004420AF"/>
    <w:rsid w:val="00442C9E"/>
    <w:rsid w:val="00442F1B"/>
    <w:rsid w:val="00443D5C"/>
    <w:rsid w:val="00445D2B"/>
    <w:rsid w:val="004466F7"/>
    <w:rsid w:val="00446D99"/>
    <w:rsid w:val="0044773C"/>
    <w:rsid w:val="00447F22"/>
    <w:rsid w:val="004505C0"/>
    <w:rsid w:val="00451128"/>
    <w:rsid w:val="004511A1"/>
    <w:rsid w:val="00451E80"/>
    <w:rsid w:val="00451ECC"/>
    <w:rsid w:val="00452795"/>
    <w:rsid w:val="00455368"/>
    <w:rsid w:val="004554F4"/>
    <w:rsid w:val="00455E34"/>
    <w:rsid w:val="00457B77"/>
    <w:rsid w:val="00457D76"/>
    <w:rsid w:val="00460DE1"/>
    <w:rsid w:val="004611C5"/>
    <w:rsid w:val="0046128B"/>
    <w:rsid w:val="00461DC1"/>
    <w:rsid w:val="00462E88"/>
    <w:rsid w:val="00463AF0"/>
    <w:rsid w:val="004641F4"/>
    <w:rsid w:val="00464A86"/>
    <w:rsid w:val="00464DD2"/>
    <w:rsid w:val="00465416"/>
    <w:rsid w:val="00465662"/>
    <w:rsid w:val="00465E32"/>
    <w:rsid w:val="00465FFB"/>
    <w:rsid w:val="00466E30"/>
    <w:rsid w:val="0047021A"/>
    <w:rsid w:val="0047078D"/>
    <w:rsid w:val="00470A78"/>
    <w:rsid w:val="004716C5"/>
    <w:rsid w:val="00471A15"/>
    <w:rsid w:val="00471CCA"/>
    <w:rsid w:val="004726F0"/>
    <w:rsid w:val="00472E2F"/>
    <w:rsid w:val="00474D1F"/>
    <w:rsid w:val="00474E8D"/>
    <w:rsid w:val="00475816"/>
    <w:rsid w:val="00475A3D"/>
    <w:rsid w:val="00475DF4"/>
    <w:rsid w:val="00476CC7"/>
    <w:rsid w:val="00482031"/>
    <w:rsid w:val="004833A2"/>
    <w:rsid w:val="0048373A"/>
    <w:rsid w:val="004844EC"/>
    <w:rsid w:val="00484A56"/>
    <w:rsid w:val="00486E78"/>
    <w:rsid w:val="00487AB5"/>
    <w:rsid w:val="00487DB2"/>
    <w:rsid w:val="00490231"/>
    <w:rsid w:val="004903C5"/>
    <w:rsid w:val="0049058A"/>
    <w:rsid w:val="00490765"/>
    <w:rsid w:val="00490C00"/>
    <w:rsid w:val="00491417"/>
    <w:rsid w:val="00493476"/>
    <w:rsid w:val="004944B7"/>
    <w:rsid w:val="004948D5"/>
    <w:rsid w:val="00494F71"/>
    <w:rsid w:val="00495FFD"/>
    <w:rsid w:val="004970AF"/>
    <w:rsid w:val="004A0A00"/>
    <w:rsid w:val="004A0EA0"/>
    <w:rsid w:val="004A167F"/>
    <w:rsid w:val="004A1B08"/>
    <w:rsid w:val="004A1E00"/>
    <w:rsid w:val="004A2119"/>
    <w:rsid w:val="004A21E5"/>
    <w:rsid w:val="004A2572"/>
    <w:rsid w:val="004A32D4"/>
    <w:rsid w:val="004A4FE2"/>
    <w:rsid w:val="004A508B"/>
    <w:rsid w:val="004A5459"/>
    <w:rsid w:val="004A79D6"/>
    <w:rsid w:val="004B04BF"/>
    <w:rsid w:val="004B17B4"/>
    <w:rsid w:val="004B1BB7"/>
    <w:rsid w:val="004B1FD8"/>
    <w:rsid w:val="004B28AE"/>
    <w:rsid w:val="004B2EDB"/>
    <w:rsid w:val="004B34F9"/>
    <w:rsid w:val="004B4083"/>
    <w:rsid w:val="004B42D8"/>
    <w:rsid w:val="004B43FB"/>
    <w:rsid w:val="004B483A"/>
    <w:rsid w:val="004B4C2E"/>
    <w:rsid w:val="004B519B"/>
    <w:rsid w:val="004B70CE"/>
    <w:rsid w:val="004B71ED"/>
    <w:rsid w:val="004B7F14"/>
    <w:rsid w:val="004C0814"/>
    <w:rsid w:val="004C15B8"/>
    <w:rsid w:val="004C310E"/>
    <w:rsid w:val="004C38B1"/>
    <w:rsid w:val="004C5192"/>
    <w:rsid w:val="004C5297"/>
    <w:rsid w:val="004C594A"/>
    <w:rsid w:val="004C6295"/>
    <w:rsid w:val="004C7CAF"/>
    <w:rsid w:val="004C7E94"/>
    <w:rsid w:val="004D0520"/>
    <w:rsid w:val="004D0BFB"/>
    <w:rsid w:val="004D15B7"/>
    <w:rsid w:val="004D1848"/>
    <w:rsid w:val="004D1A81"/>
    <w:rsid w:val="004D1E0D"/>
    <w:rsid w:val="004D275D"/>
    <w:rsid w:val="004D2865"/>
    <w:rsid w:val="004D4F57"/>
    <w:rsid w:val="004D4FF0"/>
    <w:rsid w:val="004D531F"/>
    <w:rsid w:val="004D5F1A"/>
    <w:rsid w:val="004D680C"/>
    <w:rsid w:val="004D7727"/>
    <w:rsid w:val="004E11FD"/>
    <w:rsid w:val="004E2A1D"/>
    <w:rsid w:val="004E5004"/>
    <w:rsid w:val="004E50F0"/>
    <w:rsid w:val="004E552A"/>
    <w:rsid w:val="004E616C"/>
    <w:rsid w:val="004E6C8F"/>
    <w:rsid w:val="004E7B0B"/>
    <w:rsid w:val="004E7B4B"/>
    <w:rsid w:val="004E7E62"/>
    <w:rsid w:val="004F137A"/>
    <w:rsid w:val="004F14AA"/>
    <w:rsid w:val="004F1EB1"/>
    <w:rsid w:val="004F3065"/>
    <w:rsid w:val="004F306C"/>
    <w:rsid w:val="004F3874"/>
    <w:rsid w:val="004F5004"/>
    <w:rsid w:val="004F5B36"/>
    <w:rsid w:val="004F7B72"/>
    <w:rsid w:val="00500110"/>
    <w:rsid w:val="00500299"/>
    <w:rsid w:val="0050161B"/>
    <w:rsid w:val="00501A3A"/>
    <w:rsid w:val="00501D98"/>
    <w:rsid w:val="0050202D"/>
    <w:rsid w:val="00502211"/>
    <w:rsid w:val="00502339"/>
    <w:rsid w:val="0050323A"/>
    <w:rsid w:val="0050377A"/>
    <w:rsid w:val="00503BC1"/>
    <w:rsid w:val="005054B7"/>
    <w:rsid w:val="00505947"/>
    <w:rsid w:val="00506BE7"/>
    <w:rsid w:val="0050750F"/>
    <w:rsid w:val="00507B97"/>
    <w:rsid w:val="00511A8D"/>
    <w:rsid w:val="0051201B"/>
    <w:rsid w:val="00512CF5"/>
    <w:rsid w:val="00513B48"/>
    <w:rsid w:val="0051484F"/>
    <w:rsid w:val="00515457"/>
    <w:rsid w:val="00515CEF"/>
    <w:rsid w:val="00520F77"/>
    <w:rsid w:val="005211A9"/>
    <w:rsid w:val="0052156E"/>
    <w:rsid w:val="00521842"/>
    <w:rsid w:val="005220CB"/>
    <w:rsid w:val="00522FBC"/>
    <w:rsid w:val="005250DB"/>
    <w:rsid w:val="00525E5C"/>
    <w:rsid w:val="00526289"/>
    <w:rsid w:val="00526973"/>
    <w:rsid w:val="00527516"/>
    <w:rsid w:val="00527F29"/>
    <w:rsid w:val="005305F8"/>
    <w:rsid w:val="005309BB"/>
    <w:rsid w:val="00530FFA"/>
    <w:rsid w:val="00531512"/>
    <w:rsid w:val="0053162E"/>
    <w:rsid w:val="00532CF5"/>
    <w:rsid w:val="00533FE1"/>
    <w:rsid w:val="00534000"/>
    <w:rsid w:val="00535970"/>
    <w:rsid w:val="005375C2"/>
    <w:rsid w:val="005403AF"/>
    <w:rsid w:val="00541790"/>
    <w:rsid w:val="00541F54"/>
    <w:rsid w:val="005427F0"/>
    <w:rsid w:val="00542C78"/>
    <w:rsid w:val="0054308A"/>
    <w:rsid w:val="00543B15"/>
    <w:rsid w:val="00543D95"/>
    <w:rsid w:val="005443BF"/>
    <w:rsid w:val="005459E2"/>
    <w:rsid w:val="00546F11"/>
    <w:rsid w:val="005514FF"/>
    <w:rsid w:val="0055161B"/>
    <w:rsid w:val="0055182B"/>
    <w:rsid w:val="00551DCC"/>
    <w:rsid w:val="005521DC"/>
    <w:rsid w:val="00552B4E"/>
    <w:rsid w:val="00552C0D"/>
    <w:rsid w:val="00553560"/>
    <w:rsid w:val="00553F1C"/>
    <w:rsid w:val="00555109"/>
    <w:rsid w:val="0055554A"/>
    <w:rsid w:val="00555E68"/>
    <w:rsid w:val="00556989"/>
    <w:rsid w:val="00557828"/>
    <w:rsid w:val="00560057"/>
    <w:rsid w:val="005602D7"/>
    <w:rsid w:val="0056099C"/>
    <w:rsid w:val="0056108F"/>
    <w:rsid w:val="00564E77"/>
    <w:rsid w:val="0056516E"/>
    <w:rsid w:val="00565209"/>
    <w:rsid w:val="005660AF"/>
    <w:rsid w:val="0056706E"/>
    <w:rsid w:val="00567680"/>
    <w:rsid w:val="00567801"/>
    <w:rsid w:val="00567CBB"/>
    <w:rsid w:val="00567EAA"/>
    <w:rsid w:val="00570027"/>
    <w:rsid w:val="00571049"/>
    <w:rsid w:val="00571B67"/>
    <w:rsid w:val="00571C19"/>
    <w:rsid w:val="00571CE5"/>
    <w:rsid w:val="00572BAE"/>
    <w:rsid w:val="00572ECA"/>
    <w:rsid w:val="005737E5"/>
    <w:rsid w:val="00575573"/>
    <w:rsid w:val="005764D1"/>
    <w:rsid w:val="00576A21"/>
    <w:rsid w:val="005775D9"/>
    <w:rsid w:val="00577AA5"/>
    <w:rsid w:val="005800C9"/>
    <w:rsid w:val="00581295"/>
    <w:rsid w:val="005814E2"/>
    <w:rsid w:val="00582177"/>
    <w:rsid w:val="005838F8"/>
    <w:rsid w:val="00584258"/>
    <w:rsid w:val="0058440C"/>
    <w:rsid w:val="00584860"/>
    <w:rsid w:val="00585DBB"/>
    <w:rsid w:val="00586AF4"/>
    <w:rsid w:val="0058713C"/>
    <w:rsid w:val="0059095B"/>
    <w:rsid w:val="00590C24"/>
    <w:rsid w:val="005914B2"/>
    <w:rsid w:val="005919DA"/>
    <w:rsid w:val="00592A2E"/>
    <w:rsid w:val="00593738"/>
    <w:rsid w:val="005940E8"/>
    <w:rsid w:val="00594113"/>
    <w:rsid w:val="005949D1"/>
    <w:rsid w:val="00595212"/>
    <w:rsid w:val="00595F05"/>
    <w:rsid w:val="00596963"/>
    <w:rsid w:val="005972E8"/>
    <w:rsid w:val="005A021D"/>
    <w:rsid w:val="005A0274"/>
    <w:rsid w:val="005A1F62"/>
    <w:rsid w:val="005A2649"/>
    <w:rsid w:val="005A34DA"/>
    <w:rsid w:val="005A4DB9"/>
    <w:rsid w:val="005A4EFC"/>
    <w:rsid w:val="005A5731"/>
    <w:rsid w:val="005A59A9"/>
    <w:rsid w:val="005A601C"/>
    <w:rsid w:val="005A6C1D"/>
    <w:rsid w:val="005B0CC8"/>
    <w:rsid w:val="005B1B6B"/>
    <w:rsid w:val="005B25F0"/>
    <w:rsid w:val="005B26A1"/>
    <w:rsid w:val="005B2B3D"/>
    <w:rsid w:val="005B39A0"/>
    <w:rsid w:val="005B4139"/>
    <w:rsid w:val="005B730A"/>
    <w:rsid w:val="005B7B8F"/>
    <w:rsid w:val="005C3C01"/>
    <w:rsid w:val="005C3F1C"/>
    <w:rsid w:val="005C42E4"/>
    <w:rsid w:val="005C57C8"/>
    <w:rsid w:val="005C6D68"/>
    <w:rsid w:val="005C6F4C"/>
    <w:rsid w:val="005C7048"/>
    <w:rsid w:val="005D0823"/>
    <w:rsid w:val="005D166A"/>
    <w:rsid w:val="005D1A33"/>
    <w:rsid w:val="005D1F47"/>
    <w:rsid w:val="005D1F85"/>
    <w:rsid w:val="005D37FB"/>
    <w:rsid w:val="005D4E2A"/>
    <w:rsid w:val="005D4E9A"/>
    <w:rsid w:val="005D5957"/>
    <w:rsid w:val="005D60DB"/>
    <w:rsid w:val="005D6366"/>
    <w:rsid w:val="005D6EE2"/>
    <w:rsid w:val="005D7367"/>
    <w:rsid w:val="005E2778"/>
    <w:rsid w:val="005E300D"/>
    <w:rsid w:val="005E6F94"/>
    <w:rsid w:val="005E771A"/>
    <w:rsid w:val="005F01B4"/>
    <w:rsid w:val="005F1354"/>
    <w:rsid w:val="005F16B1"/>
    <w:rsid w:val="005F1921"/>
    <w:rsid w:val="005F1C30"/>
    <w:rsid w:val="005F2CA6"/>
    <w:rsid w:val="005F3210"/>
    <w:rsid w:val="005F371A"/>
    <w:rsid w:val="005F3DFC"/>
    <w:rsid w:val="005F4324"/>
    <w:rsid w:val="005F4456"/>
    <w:rsid w:val="005F5527"/>
    <w:rsid w:val="005F5DE4"/>
    <w:rsid w:val="005F619C"/>
    <w:rsid w:val="006004B8"/>
    <w:rsid w:val="006008F1"/>
    <w:rsid w:val="00600DE2"/>
    <w:rsid w:val="006014FB"/>
    <w:rsid w:val="00601DBA"/>
    <w:rsid w:val="00602BFE"/>
    <w:rsid w:val="006050F9"/>
    <w:rsid w:val="0060522D"/>
    <w:rsid w:val="0060687C"/>
    <w:rsid w:val="00606E4A"/>
    <w:rsid w:val="00607034"/>
    <w:rsid w:val="006070EF"/>
    <w:rsid w:val="0060751C"/>
    <w:rsid w:val="00611320"/>
    <w:rsid w:val="00611F61"/>
    <w:rsid w:val="006128A0"/>
    <w:rsid w:val="00612C4E"/>
    <w:rsid w:val="0061311B"/>
    <w:rsid w:val="006132E7"/>
    <w:rsid w:val="00613AF6"/>
    <w:rsid w:val="00613DE8"/>
    <w:rsid w:val="00614735"/>
    <w:rsid w:val="00615156"/>
    <w:rsid w:val="0061599E"/>
    <w:rsid w:val="006159A1"/>
    <w:rsid w:val="00615DE1"/>
    <w:rsid w:val="00615FB7"/>
    <w:rsid w:val="00616CD8"/>
    <w:rsid w:val="00617B8F"/>
    <w:rsid w:val="00620974"/>
    <w:rsid w:val="006216D4"/>
    <w:rsid w:val="006219CE"/>
    <w:rsid w:val="00622393"/>
    <w:rsid w:val="00622983"/>
    <w:rsid w:val="00623228"/>
    <w:rsid w:val="00623550"/>
    <w:rsid w:val="00623ED3"/>
    <w:rsid w:val="006257E7"/>
    <w:rsid w:val="00625974"/>
    <w:rsid w:val="00625C81"/>
    <w:rsid w:val="006269E0"/>
    <w:rsid w:val="006276D6"/>
    <w:rsid w:val="0062785B"/>
    <w:rsid w:val="00627BE3"/>
    <w:rsid w:val="006301F8"/>
    <w:rsid w:val="00631CAD"/>
    <w:rsid w:val="006323F0"/>
    <w:rsid w:val="006334E1"/>
    <w:rsid w:val="006334F8"/>
    <w:rsid w:val="00633BBB"/>
    <w:rsid w:val="00634F9A"/>
    <w:rsid w:val="0063513E"/>
    <w:rsid w:val="006355FF"/>
    <w:rsid w:val="006366E3"/>
    <w:rsid w:val="006368A0"/>
    <w:rsid w:val="00640182"/>
    <w:rsid w:val="006402CF"/>
    <w:rsid w:val="0064114E"/>
    <w:rsid w:val="00641547"/>
    <w:rsid w:val="00641574"/>
    <w:rsid w:val="006418CF"/>
    <w:rsid w:val="00641FF6"/>
    <w:rsid w:val="00647034"/>
    <w:rsid w:val="00647AE8"/>
    <w:rsid w:val="00650433"/>
    <w:rsid w:val="00650534"/>
    <w:rsid w:val="006506FA"/>
    <w:rsid w:val="00650F87"/>
    <w:rsid w:val="00651A93"/>
    <w:rsid w:val="00652983"/>
    <w:rsid w:val="00652FA4"/>
    <w:rsid w:val="006533F8"/>
    <w:rsid w:val="00653414"/>
    <w:rsid w:val="006539C3"/>
    <w:rsid w:val="00653D50"/>
    <w:rsid w:val="00655251"/>
    <w:rsid w:val="00655E4C"/>
    <w:rsid w:val="00656B99"/>
    <w:rsid w:val="0065752F"/>
    <w:rsid w:val="00660726"/>
    <w:rsid w:val="00661774"/>
    <w:rsid w:val="00663BC6"/>
    <w:rsid w:val="006640D1"/>
    <w:rsid w:val="00664A8C"/>
    <w:rsid w:val="00665347"/>
    <w:rsid w:val="006655A7"/>
    <w:rsid w:val="00665FB8"/>
    <w:rsid w:val="0066778F"/>
    <w:rsid w:val="006679B5"/>
    <w:rsid w:val="00667C71"/>
    <w:rsid w:val="0067120E"/>
    <w:rsid w:val="00671D4C"/>
    <w:rsid w:val="006721E7"/>
    <w:rsid w:val="00672A8E"/>
    <w:rsid w:val="00672FC1"/>
    <w:rsid w:val="0067370B"/>
    <w:rsid w:val="006737E3"/>
    <w:rsid w:val="00674982"/>
    <w:rsid w:val="006756B4"/>
    <w:rsid w:val="00675D0D"/>
    <w:rsid w:val="00676D0D"/>
    <w:rsid w:val="00677A80"/>
    <w:rsid w:val="00680267"/>
    <w:rsid w:val="00680EB5"/>
    <w:rsid w:val="00682195"/>
    <w:rsid w:val="00685D5B"/>
    <w:rsid w:val="00685E1C"/>
    <w:rsid w:val="00685F1C"/>
    <w:rsid w:val="00687F9E"/>
    <w:rsid w:val="00690211"/>
    <w:rsid w:val="006926AB"/>
    <w:rsid w:val="00692F29"/>
    <w:rsid w:val="0069372A"/>
    <w:rsid w:val="0069416A"/>
    <w:rsid w:val="0069432D"/>
    <w:rsid w:val="0069450B"/>
    <w:rsid w:val="00695D41"/>
    <w:rsid w:val="006962C5"/>
    <w:rsid w:val="00696B43"/>
    <w:rsid w:val="00697480"/>
    <w:rsid w:val="0069749D"/>
    <w:rsid w:val="00697508"/>
    <w:rsid w:val="00697721"/>
    <w:rsid w:val="0069780F"/>
    <w:rsid w:val="006A0802"/>
    <w:rsid w:val="006A156C"/>
    <w:rsid w:val="006A1983"/>
    <w:rsid w:val="006A209B"/>
    <w:rsid w:val="006A27AB"/>
    <w:rsid w:val="006A2C2B"/>
    <w:rsid w:val="006A2C41"/>
    <w:rsid w:val="006A2E5F"/>
    <w:rsid w:val="006A3069"/>
    <w:rsid w:val="006A3772"/>
    <w:rsid w:val="006A3FA2"/>
    <w:rsid w:val="006A425C"/>
    <w:rsid w:val="006A5604"/>
    <w:rsid w:val="006A7474"/>
    <w:rsid w:val="006A7580"/>
    <w:rsid w:val="006A7A2D"/>
    <w:rsid w:val="006A7CB8"/>
    <w:rsid w:val="006B05F5"/>
    <w:rsid w:val="006B0C59"/>
    <w:rsid w:val="006B1E72"/>
    <w:rsid w:val="006B2563"/>
    <w:rsid w:val="006B342F"/>
    <w:rsid w:val="006B3C25"/>
    <w:rsid w:val="006B59CA"/>
    <w:rsid w:val="006B5A71"/>
    <w:rsid w:val="006B7039"/>
    <w:rsid w:val="006B71C2"/>
    <w:rsid w:val="006B7E79"/>
    <w:rsid w:val="006C1D94"/>
    <w:rsid w:val="006C2940"/>
    <w:rsid w:val="006C4B27"/>
    <w:rsid w:val="006C5186"/>
    <w:rsid w:val="006C7B57"/>
    <w:rsid w:val="006C7BDA"/>
    <w:rsid w:val="006D0611"/>
    <w:rsid w:val="006D1366"/>
    <w:rsid w:val="006D2181"/>
    <w:rsid w:val="006D2710"/>
    <w:rsid w:val="006D3385"/>
    <w:rsid w:val="006D33C5"/>
    <w:rsid w:val="006D38BD"/>
    <w:rsid w:val="006D59B2"/>
    <w:rsid w:val="006D5A30"/>
    <w:rsid w:val="006D5D31"/>
    <w:rsid w:val="006D7982"/>
    <w:rsid w:val="006E0914"/>
    <w:rsid w:val="006E0BF0"/>
    <w:rsid w:val="006E0C9A"/>
    <w:rsid w:val="006E108D"/>
    <w:rsid w:val="006E1394"/>
    <w:rsid w:val="006E2332"/>
    <w:rsid w:val="006E28AB"/>
    <w:rsid w:val="006E294E"/>
    <w:rsid w:val="006E2CA8"/>
    <w:rsid w:val="006E339D"/>
    <w:rsid w:val="006E4A95"/>
    <w:rsid w:val="006E616E"/>
    <w:rsid w:val="006E6C8E"/>
    <w:rsid w:val="006E7062"/>
    <w:rsid w:val="006E737B"/>
    <w:rsid w:val="006E754E"/>
    <w:rsid w:val="006F0A94"/>
    <w:rsid w:val="006F1659"/>
    <w:rsid w:val="006F1CCD"/>
    <w:rsid w:val="006F2589"/>
    <w:rsid w:val="006F26C7"/>
    <w:rsid w:val="006F400A"/>
    <w:rsid w:val="006F40D6"/>
    <w:rsid w:val="006F416E"/>
    <w:rsid w:val="006F4C01"/>
    <w:rsid w:val="006F56A7"/>
    <w:rsid w:val="006F57EA"/>
    <w:rsid w:val="006F5BBD"/>
    <w:rsid w:val="006F5CE0"/>
    <w:rsid w:val="006F6E94"/>
    <w:rsid w:val="006F782B"/>
    <w:rsid w:val="006F7BF0"/>
    <w:rsid w:val="00700E24"/>
    <w:rsid w:val="007012A7"/>
    <w:rsid w:val="00702761"/>
    <w:rsid w:val="00702909"/>
    <w:rsid w:val="00706297"/>
    <w:rsid w:val="0071000D"/>
    <w:rsid w:val="007101FD"/>
    <w:rsid w:val="00710C03"/>
    <w:rsid w:val="00711336"/>
    <w:rsid w:val="007114B8"/>
    <w:rsid w:val="0071193A"/>
    <w:rsid w:val="007120A1"/>
    <w:rsid w:val="007120D9"/>
    <w:rsid w:val="00712935"/>
    <w:rsid w:val="00713682"/>
    <w:rsid w:val="00713EDC"/>
    <w:rsid w:val="00713F7F"/>
    <w:rsid w:val="00714713"/>
    <w:rsid w:val="00715C22"/>
    <w:rsid w:val="00716403"/>
    <w:rsid w:val="00716A39"/>
    <w:rsid w:val="00720784"/>
    <w:rsid w:val="00721E7A"/>
    <w:rsid w:val="00722D40"/>
    <w:rsid w:val="007234FA"/>
    <w:rsid w:val="00724DE4"/>
    <w:rsid w:val="00725E3C"/>
    <w:rsid w:val="0072796A"/>
    <w:rsid w:val="00727FB0"/>
    <w:rsid w:val="00730AF8"/>
    <w:rsid w:val="00731725"/>
    <w:rsid w:val="00731FC3"/>
    <w:rsid w:val="00732359"/>
    <w:rsid w:val="00735807"/>
    <w:rsid w:val="00736046"/>
    <w:rsid w:val="007360BC"/>
    <w:rsid w:val="007376E2"/>
    <w:rsid w:val="007402A1"/>
    <w:rsid w:val="00740595"/>
    <w:rsid w:val="00740996"/>
    <w:rsid w:val="007416B3"/>
    <w:rsid w:val="00741E75"/>
    <w:rsid w:val="00742A3A"/>
    <w:rsid w:val="00742E6F"/>
    <w:rsid w:val="00744363"/>
    <w:rsid w:val="007444D1"/>
    <w:rsid w:val="007445E7"/>
    <w:rsid w:val="00744B75"/>
    <w:rsid w:val="0074597D"/>
    <w:rsid w:val="00745F34"/>
    <w:rsid w:val="00746C9C"/>
    <w:rsid w:val="00746F6B"/>
    <w:rsid w:val="007474A4"/>
    <w:rsid w:val="00747587"/>
    <w:rsid w:val="007477F7"/>
    <w:rsid w:val="00747A4E"/>
    <w:rsid w:val="007510F5"/>
    <w:rsid w:val="007512FA"/>
    <w:rsid w:val="0075175B"/>
    <w:rsid w:val="007518C8"/>
    <w:rsid w:val="00751D53"/>
    <w:rsid w:val="00752F37"/>
    <w:rsid w:val="00753900"/>
    <w:rsid w:val="00754750"/>
    <w:rsid w:val="007547C9"/>
    <w:rsid w:val="00754D73"/>
    <w:rsid w:val="00755EA4"/>
    <w:rsid w:val="00756131"/>
    <w:rsid w:val="00756D1F"/>
    <w:rsid w:val="007575E1"/>
    <w:rsid w:val="0075784B"/>
    <w:rsid w:val="00757FC3"/>
    <w:rsid w:val="007609F4"/>
    <w:rsid w:val="007612D5"/>
    <w:rsid w:val="00761957"/>
    <w:rsid w:val="007625B4"/>
    <w:rsid w:val="007629A1"/>
    <w:rsid w:val="0076348A"/>
    <w:rsid w:val="00763511"/>
    <w:rsid w:val="00764100"/>
    <w:rsid w:val="00764CCD"/>
    <w:rsid w:val="00765877"/>
    <w:rsid w:val="00765D26"/>
    <w:rsid w:val="00766864"/>
    <w:rsid w:val="00766D45"/>
    <w:rsid w:val="00767773"/>
    <w:rsid w:val="00767BDD"/>
    <w:rsid w:val="0077198A"/>
    <w:rsid w:val="00771AC6"/>
    <w:rsid w:val="00771BD3"/>
    <w:rsid w:val="00771E5E"/>
    <w:rsid w:val="00772082"/>
    <w:rsid w:val="007721F5"/>
    <w:rsid w:val="00773D95"/>
    <w:rsid w:val="007744F6"/>
    <w:rsid w:val="00775981"/>
    <w:rsid w:val="007759B8"/>
    <w:rsid w:val="00776993"/>
    <w:rsid w:val="00776CC6"/>
    <w:rsid w:val="00776DD2"/>
    <w:rsid w:val="00777DD4"/>
    <w:rsid w:val="00780BDC"/>
    <w:rsid w:val="00784A9E"/>
    <w:rsid w:val="007858B6"/>
    <w:rsid w:val="00785A67"/>
    <w:rsid w:val="00785CEA"/>
    <w:rsid w:val="0078639F"/>
    <w:rsid w:val="007871A5"/>
    <w:rsid w:val="00792349"/>
    <w:rsid w:val="00793037"/>
    <w:rsid w:val="0079381D"/>
    <w:rsid w:val="007938BA"/>
    <w:rsid w:val="0079409A"/>
    <w:rsid w:val="00794B6D"/>
    <w:rsid w:val="00794CE5"/>
    <w:rsid w:val="0079577C"/>
    <w:rsid w:val="00795BE0"/>
    <w:rsid w:val="00795E11"/>
    <w:rsid w:val="00795E46"/>
    <w:rsid w:val="00796777"/>
    <w:rsid w:val="00796C6F"/>
    <w:rsid w:val="00796FBA"/>
    <w:rsid w:val="007A1C84"/>
    <w:rsid w:val="007A2085"/>
    <w:rsid w:val="007A2501"/>
    <w:rsid w:val="007A37B2"/>
    <w:rsid w:val="007A3BBC"/>
    <w:rsid w:val="007A5365"/>
    <w:rsid w:val="007A6E96"/>
    <w:rsid w:val="007A711E"/>
    <w:rsid w:val="007A7747"/>
    <w:rsid w:val="007A7A72"/>
    <w:rsid w:val="007A7DCC"/>
    <w:rsid w:val="007B0FA5"/>
    <w:rsid w:val="007B1051"/>
    <w:rsid w:val="007B3A7A"/>
    <w:rsid w:val="007B479E"/>
    <w:rsid w:val="007B4AF8"/>
    <w:rsid w:val="007B4CF2"/>
    <w:rsid w:val="007B567F"/>
    <w:rsid w:val="007B6EAC"/>
    <w:rsid w:val="007B7CB8"/>
    <w:rsid w:val="007C0750"/>
    <w:rsid w:val="007C0CAE"/>
    <w:rsid w:val="007C2136"/>
    <w:rsid w:val="007C2B58"/>
    <w:rsid w:val="007C45E2"/>
    <w:rsid w:val="007C4F54"/>
    <w:rsid w:val="007C64B7"/>
    <w:rsid w:val="007C7C98"/>
    <w:rsid w:val="007C7E27"/>
    <w:rsid w:val="007D09A6"/>
    <w:rsid w:val="007D1678"/>
    <w:rsid w:val="007D1746"/>
    <w:rsid w:val="007D2F13"/>
    <w:rsid w:val="007D46F9"/>
    <w:rsid w:val="007D591F"/>
    <w:rsid w:val="007D5BD7"/>
    <w:rsid w:val="007D6C76"/>
    <w:rsid w:val="007E0EF3"/>
    <w:rsid w:val="007E40CE"/>
    <w:rsid w:val="007E4DDF"/>
    <w:rsid w:val="007E4ED3"/>
    <w:rsid w:val="007E5937"/>
    <w:rsid w:val="007E675D"/>
    <w:rsid w:val="007E791E"/>
    <w:rsid w:val="007F0BED"/>
    <w:rsid w:val="007F111B"/>
    <w:rsid w:val="007F154A"/>
    <w:rsid w:val="007F2080"/>
    <w:rsid w:val="007F371B"/>
    <w:rsid w:val="007F381A"/>
    <w:rsid w:val="007F40D2"/>
    <w:rsid w:val="007F474B"/>
    <w:rsid w:val="007F4F06"/>
    <w:rsid w:val="007F7217"/>
    <w:rsid w:val="007F78D0"/>
    <w:rsid w:val="00801C0D"/>
    <w:rsid w:val="00802122"/>
    <w:rsid w:val="0080212E"/>
    <w:rsid w:val="00802596"/>
    <w:rsid w:val="008028C1"/>
    <w:rsid w:val="008060EE"/>
    <w:rsid w:val="008064FB"/>
    <w:rsid w:val="00806535"/>
    <w:rsid w:val="0080660E"/>
    <w:rsid w:val="00806DD0"/>
    <w:rsid w:val="00807F6C"/>
    <w:rsid w:val="0081020C"/>
    <w:rsid w:val="008111AE"/>
    <w:rsid w:val="00812DBD"/>
    <w:rsid w:val="00813669"/>
    <w:rsid w:val="00814B5C"/>
    <w:rsid w:val="008157F1"/>
    <w:rsid w:val="0081587D"/>
    <w:rsid w:val="008163A9"/>
    <w:rsid w:val="008166BF"/>
    <w:rsid w:val="008169B1"/>
    <w:rsid w:val="00816A69"/>
    <w:rsid w:val="0081728A"/>
    <w:rsid w:val="00817530"/>
    <w:rsid w:val="00820D5B"/>
    <w:rsid w:val="00822338"/>
    <w:rsid w:val="00822DE2"/>
    <w:rsid w:val="00823103"/>
    <w:rsid w:val="0082314D"/>
    <w:rsid w:val="008249C0"/>
    <w:rsid w:val="00824FE2"/>
    <w:rsid w:val="00825070"/>
    <w:rsid w:val="0082510F"/>
    <w:rsid w:val="00826230"/>
    <w:rsid w:val="008267BC"/>
    <w:rsid w:val="008278C5"/>
    <w:rsid w:val="00827EEA"/>
    <w:rsid w:val="008301C7"/>
    <w:rsid w:val="00831A0A"/>
    <w:rsid w:val="00831E1B"/>
    <w:rsid w:val="00833679"/>
    <w:rsid w:val="00833B21"/>
    <w:rsid w:val="00833D07"/>
    <w:rsid w:val="008349BD"/>
    <w:rsid w:val="00834CE3"/>
    <w:rsid w:val="00835DD8"/>
    <w:rsid w:val="008373B0"/>
    <w:rsid w:val="00837502"/>
    <w:rsid w:val="0083780A"/>
    <w:rsid w:val="008413E6"/>
    <w:rsid w:val="00841450"/>
    <w:rsid w:val="0084156E"/>
    <w:rsid w:val="00841739"/>
    <w:rsid w:val="00843031"/>
    <w:rsid w:val="008439DF"/>
    <w:rsid w:val="008446B3"/>
    <w:rsid w:val="00844729"/>
    <w:rsid w:val="00844BE9"/>
    <w:rsid w:val="00844CE8"/>
    <w:rsid w:val="00844D9E"/>
    <w:rsid w:val="00845B32"/>
    <w:rsid w:val="00846C38"/>
    <w:rsid w:val="00846F1D"/>
    <w:rsid w:val="0085136B"/>
    <w:rsid w:val="00851B4E"/>
    <w:rsid w:val="008523BE"/>
    <w:rsid w:val="00852E3A"/>
    <w:rsid w:val="00853080"/>
    <w:rsid w:val="008551B6"/>
    <w:rsid w:val="00855296"/>
    <w:rsid w:val="008555AB"/>
    <w:rsid w:val="0085625D"/>
    <w:rsid w:val="00857515"/>
    <w:rsid w:val="00860E50"/>
    <w:rsid w:val="00862936"/>
    <w:rsid w:val="00862B30"/>
    <w:rsid w:val="00863346"/>
    <w:rsid w:val="00863EF6"/>
    <w:rsid w:val="00864474"/>
    <w:rsid w:val="00864617"/>
    <w:rsid w:val="008649F9"/>
    <w:rsid w:val="00864F2C"/>
    <w:rsid w:val="008664B6"/>
    <w:rsid w:val="008671BE"/>
    <w:rsid w:val="0086765F"/>
    <w:rsid w:val="00867D36"/>
    <w:rsid w:val="00870623"/>
    <w:rsid w:val="008711FF"/>
    <w:rsid w:val="00872257"/>
    <w:rsid w:val="00872573"/>
    <w:rsid w:val="008729B6"/>
    <w:rsid w:val="00872C16"/>
    <w:rsid w:val="008735D6"/>
    <w:rsid w:val="008743A7"/>
    <w:rsid w:val="00874A97"/>
    <w:rsid w:val="008752E8"/>
    <w:rsid w:val="00875309"/>
    <w:rsid w:val="00875E2D"/>
    <w:rsid w:val="00876B48"/>
    <w:rsid w:val="00876E4C"/>
    <w:rsid w:val="008772BD"/>
    <w:rsid w:val="008803FF"/>
    <w:rsid w:val="008809FE"/>
    <w:rsid w:val="0088218B"/>
    <w:rsid w:val="00882283"/>
    <w:rsid w:val="00882716"/>
    <w:rsid w:val="00884440"/>
    <w:rsid w:val="00884D7A"/>
    <w:rsid w:val="0088539C"/>
    <w:rsid w:val="00885591"/>
    <w:rsid w:val="008859A7"/>
    <w:rsid w:val="00885FF6"/>
    <w:rsid w:val="00886DC3"/>
    <w:rsid w:val="008902ED"/>
    <w:rsid w:val="0089095F"/>
    <w:rsid w:val="00890A6B"/>
    <w:rsid w:val="00890DAA"/>
    <w:rsid w:val="0089236E"/>
    <w:rsid w:val="00892EDC"/>
    <w:rsid w:val="008939BD"/>
    <w:rsid w:val="00893B42"/>
    <w:rsid w:val="0089440B"/>
    <w:rsid w:val="00895072"/>
    <w:rsid w:val="00896A68"/>
    <w:rsid w:val="00897793"/>
    <w:rsid w:val="008A0A69"/>
    <w:rsid w:val="008A1583"/>
    <w:rsid w:val="008A1801"/>
    <w:rsid w:val="008A1C84"/>
    <w:rsid w:val="008A21C8"/>
    <w:rsid w:val="008A2447"/>
    <w:rsid w:val="008A2937"/>
    <w:rsid w:val="008A37F1"/>
    <w:rsid w:val="008A3D2A"/>
    <w:rsid w:val="008A40F2"/>
    <w:rsid w:val="008A593A"/>
    <w:rsid w:val="008A6C8C"/>
    <w:rsid w:val="008A7789"/>
    <w:rsid w:val="008B016E"/>
    <w:rsid w:val="008B02D7"/>
    <w:rsid w:val="008B052D"/>
    <w:rsid w:val="008B10EB"/>
    <w:rsid w:val="008B1A29"/>
    <w:rsid w:val="008B249B"/>
    <w:rsid w:val="008B25DA"/>
    <w:rsid w:val="008B3083"/>
    <w:rsid w:val="008B356D"/>
    <w:rsid w:val="008B36C4"/>
    <w:rsid w:val="008B40F2"/>
    <w:rsid w:val="008B6AF2"/>
    <w:rsid w:val="008B7DA1"/>
    <w:rsid w:val="008B7E93"/>
    <w:rsid w:val="008C0473"/>
    <w:rsid w:val="008C0738"/>
    <w:rsid w:val="008C0D2A"/>
    <w:rsid w:val="008C186C"/>
    <w:rsid w:val="008C1CB1"/>
    <w:rsid w:val="008C2889"/>
    <w:rsid w:val="008C3B0C"/>
    <w:rsid w:val="008C4064"/>
    <w:rsid w:val="008C482C"/>
    <w:rsid w:val="008C5F76"/>
    <w:rsid w:val="008C65AA"/>
    <w:rsid w:val="008C682F"/>
    <w:rsid w:val="008C71CF"/>
    <w:rsid w:val="008D027F"/>
    <w:rsid w:val="008D077F"/>
    <w:rsid w:val="008D0C11"/>
    <w:rsid w:val="008D1C0E"/>
    <w:rsid w:val="008D2C8E"/>
    <w:rsid w:val="008D2DA5"/>
    <w:rsid w:val="008D3134"/>
    <w:rsid w:val="008D3B14"/>
    <w:rsid w:val="008D55C3"/>
    <w:rsid w:val="008D6472"/>
    <w:rsid w:val="008D6F49"/>
    <w:rsid w:val="008D6F60"/>
    <w:rsid w:val="008D7ACA"/>
    <w:rsid w:val="008E0264"/>
    <w:rsid w:val="008E1240"/>
    <w:rsid w:val="008E1780"/>
    <w:rsid w:val="008E18C5"/>
    <w:rsid w:val="008E1BF5"/>
    <w:rsid w:val="008E2A0D"/>
    <w:rsid w:val="008E2CB8"/>
    <w:rsid w:val="008E3497"/>
    <w:rsid w:val="008E4075"/>
    <w:rsid w:val="008E4356"/>
    <w:rsid w:val="008E50FC"/>
    <w:rsid w:val="008E544B"/>
    <w:rsid w:val="008E577F"/>
    <w:rsid w:val="008E57C6"/>
    <w:rsid w:val="008E7BD7"/>
    <w:rsid w:val="008F12E4"/>
    <w:rsid w:val="008F1A79"/>
    <w:rsid w:val="008F330E"/>
    <w:rsid w:val="008F392D"/>
    <w:rsid w:val="008F3BF9"/>
    <w:rsid w:val="008F4A98"/>
    <w:rsid w:val="008F5AFA"/>
    <w:rsid w:val="008F6931"/>
    <w:rsid w:val="008F6A36"/>
    <w:rsid w:val="008F727E"/>
    <w:rsid w:val="008F7B59"/>
    <w:rsid w:val="009006F5"/>
    <w:rsid w:val="00900C7C"/>
    <w:rsid w:val="0090138C"/>
    <w:rsid w:val="009022D5"/>
    <w:rsid w:val="009032D9"/>
    <w:rsid w:val="00903D02"/>
    <w:rsid w:val="0090498E"/>
    <w:rsid w:val="00905AAC"/>
    <w:rsid w:val="00905E4B"/>
    <w:rsid w:val="00906184"/>
    <w:rsid w:val="009079BA"/>
    <w:rsid w:val="009102B6"/>
    <w:rsid w:val="00910772"/>
    <w:rsid w:val="009110EC"/>
    <w:rsid w:val="00911130"/>
    <w:rsid w:val="00911920"/>
    <w:rsid w:val="00911E04"/>
    <w:rsid w:val="00911EAA"/>
    <w:rsid w:val="009121BA"/>
    <w:rsid w:val="009126D2"/>
    <w:rsid w:val="00912B96"/>
    <w:rsid w:val="00912ED4"/>
    <w:rsid w:val="00913118"/>
    <w:rsid w:val="00913548"/>
    <w:rsid w:val="00914651"/>
    <w:rsid w:val="009159D3"/>
    <w:rsid w:val="00916D13"/>
    <w:rsid w:val="0091741C"/>
    <w:rsid w:val="00920402"/>
    <w:rsid w:val="00920D46"/>
    <w:rsid w:val="009215D0"/>
    <w:rsid w:val="00922B84"/>
    <w:rsid w:val="009231AC"/>
    <w:rsid w:val="00923E34"/>
    <w:rsid w:val="00923E75"/>
    <w:rsid w:val="00923EED"/>
    <w:rsid w:val="009240A9"/>
    <w:rsid w:val="00924375"/>
    <w:rsid w:val="00924B0A"/>
    <w:rsid w:val="00924E51"/>
    <w:rsid w:val="0092597A"/>
    <w:rsid w:val="00926018"/>
    <w:rsid w:val="009260BE"/>
    <w:rsid w:val="00927741"/>
    <w:rsid w:val="00927C84"/>
    <w:rsid w:val="00927CF5"/>
    <w:rsid w:val="00931BA5"/>
    <w:rsid w:val="00931CD4"/>
    <w:rsid w:val="00932C40"/>
    <w:rsid w:val="009332EA"/>
    <w:rsid w:val="00934F50"/>
    <w:rsid w:val="00935157"/>
    <w:rsid w:val="009352BB"/>
    <w:rsid w:val="00935680"/>
    <w:rsid w:val="00935849"/>
    <w:rsid w:val="00936026"/>
    <w:rsid w:val="0093637C"/>
    <w:rsid w:val="009367E1"/>
    <w:rsid w:val="009375B5"/>
    <w:rsid w:val="0094056D"/>
    <w:rsid w:val="00940D2C"/>
    <w:rsid w:val="00942055"/>
    <w:rsid w:val="00942643"/>
    <w:rsid w:val="00943154"/>
    <w:rsid w:val="00943897"/>
    <w:rsid w:val="00943C5B"/>
    <w:rsid w:val="00943EE0"/>
    <w:rsid w:val="00943F46"/>
    <w:rsid w:val="00944D15"/>
    <w:rsid w:val="00945A5D"/>
    <w:rsid w:val="009502C1"/>
    <w:rsid w:val="00950A2E"/>
    <w:rsid w:val="00950EAF"/>
    <w:rsid w:val="00951291"/>
    <w:rsid w:val="009518CD"/>
    <w:rsid w:val="00951938"/>
    <w:rsid w:val="00952201"/>
    <w:rsid w:val="009525EC"/>
    <w:rsid w:val="00952982"/>
    <w:rsid w:val="00953288"/>
    <w:rsid w:val="009533F7"/>
    <w:rsid w:val="0095384C"/>
    <w:rsid w:val="00953EE2"/>
    <w:rsid w:val="0095519B"/>
    <w:rsid w:val="009563BC"/>
    <w:rsid w:val="00956A1D"/>
    <w:rsid w:val="00956C3E"/>
    <w:rsid w:val="009573CB"/>
    <w:rsid w:val="009578EC"/>
    <w:rsid w:val="009609BB"/>
    <w:rsid w:val="00961074"/>
    <w:rsid w:val="009615B5"/>
    <w:rsid w:val="00966500"/>
    <w:rsid w:val="00970BA2"/>
    <w:rsid w:val="009712DE"/>
    <w:rsid w:val="00971D36"/>
    <w:rsid w:val="00972811"/>
    <w:rsid w:val="00972ACF"/>
    <w:rsid w:val="00972EC1"/>
    <w:rsid w:val="00973896"/>
    <w:rsid w:val="00973D1F"/>
    <w:rsid w:val="00974AF2"/>
    <w:rsid w:val="00974CA9"/>
    <w:rsid w:val="00974D40"/>
    <w:rsid w:val="0097563B"/>
    <w:rsid w:val="0097605E"/>
    <w:rsid w:val="009771BC"/>
    <w:rsid w:val="009771F9"/>
    <w:rsid w:val="00977446"/>
    <w:rsid w:val="00977A81"/>
    <w:rsid w:val="009802D8"/>
    <w:rsid w:val="00980D35"/>
    <w:rsid w:val="00981486"/>
    <w:rsid w:val="00981DBA"/>
    <w:rsid w:val="00982819"/>
    <w:rsid w:val="00982993"/>
    <w:rsid w:val="00982B95"/>
    <w:rsid w:val="00982F34"/>
    <w:rsid w:val="009842CD"/>
    <w:rsid w:val="009844DE"/>
    <w:rsid w:val="00984528"/>
    <w:rsid w:val="00984FC7"/>
    <w:rsid w:val="00985B7E"/>
    <w:rsid w:val="00986057"/>
    <w:rsid w:val="00986A8C"/>
    <w:rsid w:val="00986BB0"/>
    <w:rsid w:val="00990743"/>
    <w:rsid w:val="00990A8F"/>
    <w:rsid w:val="00990F1E"/>
    <w:rsid w:val="00991688"/>
    <w:rsid w:val="009925CF"/>
    <w:rsid w:val="009928B3"/>
    <w:rsid w:val="00994314"/>
    <w:rsid w:val="00994706"/>
    <w:rsid w:val="00994975"/>
    <w:rsid w:val="00994C6B"/>
    <w:rsid w:val="00994EAE"/>
    <w:rsid w:val="00995724"/>
    <w:rsid w:val="00995773"/>
    <w:rsid w:val="00995A1C"/>
    <w:rsid w:val="00996C0B"/>
    <w:rsid w:val="009A04A7"/>
    <w:rsid w:val="009A144F"/>
    <w:rsid w:val="009A1A83"/>
    <w:rsid w:val="009A1B7F"/>
    <w:rsid w:val="009A242A"/>
    <w:rsid w:val="009A26A2"/>
    <w:rsid w:val="009A2DEA"/>
    <w:rsid w:val="009A33FC"/>
    <w:rsid w:val="009A4817"/>
    <w:rsid w:val="009A4C08"/>
    <w:rsid w:val="009A4FBD"/>
    <w:rsid w:val="009A7095"/>
    <w:rsid w:val="009A751B"/>
    <w:rsid w:val="009A7D38"/>
    <w:rsid w:val="009B1276"/>
    <w:rsid w:val="009B194C"/>
    <w:rsid w:val="009B2008"/>
    <w:rsid w:val="009B40C0"/>
    <w:rsid w:val="009B463D"/>
    <w:rsid w:val="009B48C8"/>
    <w:rsid w:val="009B5F80"/>
    <w:rsid w:val="009B6EF4"/>
    <w:rsid w:val="009B7BE7"/>
    <w:rsid w:val="009C096E"/>
    <w:rsid w:val="009C22BA"/>
    <w:rsid w:val="009C39CB"/>
    <w:rsid w:val="009C450B"/>
    <w:rsid w:val="009C51B0"/>
    <w:rsid w:val="009C5636"/>
    <w:rsid w:val="009C5AAB"/>
    <w:rsid w:val="009C7030"/>
    <w:rsid w:val="009C7061"/>
    <w:rsid w:val="009C7135"/>
    <w:rsid w:val="009C7D9F"/>
    <w:rsid w:val="009D035B"/>
    <w:rsid w:val="009D0BC9"/>
    <w:rsid w:val="009D0CED"/>
    <w:rsid w:val="009D1596"/>
    <w:rsid w:val="009D250F"/>
    <w:rsid w:val="009D2973"/>
    <w:rsid w:val="009D2D1A"/>
    <w:rsid w:val="009D2EC7"/>
    <w:rsid w:val="009D35B7"/>
    <w:rsid w:val="009D3A5D"/>
    <w:rsid w:val="009D3F59"/>
    <w:rsid w:val="009D4BF0"/>
    <w:rsid w:val="009D5C9A"/>
    <w:rsid w:val="009D664A"/>
    <w:rsid w:val="009D6F36"/>
    <w:rsid w:val="009D6FD6"/>
    <w:rsid w:val="009D75A5"/>
    <w:rsid w:val="009D79B4"/>
    <w:rsid w:val="009E0091"/>
    <w:rsid w:val="009E09BD"/>
    <w:rsid w:val="009E4264"/>
    <w:rsid w:val="009E4920"/>
    <w:rsid w:val="009E4EF6"/>
    <w:rsid w:val="009E5C77"/>
    <w:rsid w:val="009E6023"/>
    <w:rsid w:val="009E60DD"/>
    <w:rsid w:val="009E7472"/>
    <w:rsid w:val="009F03CF"/>
    <w:rsid w:val="009F17EF"/>
    <w:rsid w:val="009F2026"/>
    <w:rsid w:val="009F299D"/>
    <w:rsid w:val="009F2EA3"/>
    <w:rsid w:val="009F3037"/>
    <w:rsid w:val="009F41A0"/>
    <w:rsid w:val="009F53F8"/>
    <w:rsid w:val="009F58E8"/>
    <w:rsid w:val="009F6965"/>
    <w:rsid w:val="009F7265"/>
    <w:rsid w:val="009F7D0A"/>
    <w:rsid w:val="00A0024E"/>
    <w:rsid w:val="00A010D2"/>
    <w:rsid w:val="00A013EE"/>
    <w:rsid w:val="00A01617"/>
    <w:rsid w:val="00A028E4"/>
    <w:rsid w:val="00A02A7A"/>
    <w:rsid w:val="00A039AC"/>
    <w:rsid w:val="00A041A7"/>
    <w:rsid w:val="00A0464D"/>
    <w:rsid w:val="00A04862"/>
    <w:rsid w:val="00A048BB"/>
    <w:rsid w:val="00A04B7B"/>
    <w:rsid w:val="00A05A12"/>
    <w:rsid w:val="00A05A20"/>
    <w:rsid w:val="00A064B3"/>
    <w:rsid w:val="00A06CB5"/>
    <w:rsid w:val="00A06FE6"/>
    <w:rsid w:val="00A0708C"/>
    <w:rsid w:val="00A1006A"/>
    <w:rsid w:val="00A100E0"/>
    <w:rsid w:val="00A106AE"/>
    <w:rsid w:val="00A10A20"/>
    <w:rsid w:val="00A10D1A"/>
    <w:rsid w:val="00A11F6D"/>
    <w:rsid w:val="00A12B8B"/>
    <w:rsid w:val="00A131D4"/>
    <w:rsid w:val="00A13652"/>
    <w:rsid w:val="00A136CF"/>
    <w:rsid w:val="00A14595"/>
    <w:rsid w:val="00A15472"/>
    <w:rsid w:val="00A157AD"/>
    <w:rsid w:val="00A15B8C"/>
    <w:rsid w:val="00A16486"/>
    <w:rsid w:val="00A164B8"/>
    <w:rsid w:val="00A167D4"/>
    <w:rsid w:val="00A16916"/>
    <w:rsid w:val="00A16957"/>
    <w:rsid w:val="00A16F1A"/>
    <w:rsid w:val="00A17B26"/>
    <w:rsid w:val="00A2072D"/>
    <w:rsid w:val="00A2236C"/>
    <w:rsid w:val="00A22877"/>
    <w:rsid w:val="00A233C0"/>
    <w:rsid w:val="00A25B3E"/>
    <w:rsid w:val="00A26C10"/>
    <w:rsid w:val="00A27388"/>
    <w:rsid w:val="00A27862"/>
    <w:rsid w:val="00A30A73"/>
    <w:rsid w:val="00A31293"/>
    <w:rsid w:val="00A31ADC"/>
    <w:rsid w:val="00A325D3"/>
    <w:rsid w:val="00A32B6E"/>
    <w:rsid w:val="00A32E8C"/>
    <w:rsid w:val="00A333FE"/>
    <w:rsid w:val="00A334F6"/>
    <w:rsid w:val="00A33A27"/>
    <w:rsid w:val="00A347F5"/>
    <w:rsid w:val="00A35150"/>
    <w:rsid w:val="00A35BC8"/>
    <w:rsid w:val="00A403CB"/>
    <w:rsid w:val="00A409E3"/>
    <w:rsid w:val="00A40C51"/>
    <w:rsid w:val="00A40CE6"/>
    <w:rsid w:val="00A40E9C"/>
    <w:rsid w:val="00A4186F"/>
    <w:rsid w:val="00A4227C"/>
    <w:rsid w:val="00A42574"/>
    <w:rsid w:val="00A426BD"/>
    <w:rsid w:val="00A42CA3"/>
    <w:rsid w:val="00A443D0"/>
    <w:rsid w:val="00A44CB7"/>
    <w:rsid w:val="00A4524D"/>
    <w:rsid w:val="00A4618F"/>
    <w:rsid w:val="00A4694D"/>
    <w:rsid w:val="00A47196"/>
    <w:rsid w:val="00A47281"/>
    <w:rsid w:val="00A47375"/>
    <w:rsid w:val="00A47425"/>
    <w:rsid w:val="00A475A7"/>
    <w:rsid w:val="00A47E39"/>
    <w:rsid w:val="00A47FD8"/>
    <w:rsid w:val="00A506A6"/>
    <w:rsid w:val="00A53067"/>
    <w:rsid w:val="00A5309E"/>
    <w:rsid w:val="00A5327B"/>
    <w:rsid w:val="00A5406B"/>
    <w:rsid w:val="00A54D5B"/>
    <w:rsid w:val="00A56919"/>
    <w:rsid w:val="00A57257"/>
    <w:rsid w:val="00A60570"/>
    <w:rsid w:val="00A60BF0"/>
    <w:rsid w:val="00A61028"/>
    <w:rsid w:val="00A61063"/>
    <w:rsid w:val="00A61B71"/>
    <w:rsid w:val="00A61C08"/>
    <w:rsid w:val="00A61C69"/>
    <w:rsid w:val="00A621BB"/>
    <w:rsid w:val="00A632FA"/>
    <w:rsid w:val="00A63D82"/>
    <w:rsid w:val="00A64E8E"/>
    <w:rsid w:val="00A655C3"/>
    <w:rsid w:val="00A6572A"/>
    <w:rsid w:val="00A657E2"/>
    <w:rsid w:val="00A65D0A"/>
    <w:rsid w:val="00A661D0"/>
    <w:rsid w:val="00A664A1"/>
    <w:rsid w:val="00A66508"/>
    <w:rsid w:val="00A66975"/>
    <w:rsid w:val="00A66F7E"/>
    <w:rsid w:val="00A66FFF"/>
    <w:rsid w:val="00A6759A"/>
    <w:rsid w:val="00A6788D"/>
    <w:rsid w:val="00A7123C"/>
    <w:rsid w:val="00A71303"/>
    <w:rsid w:val="00A73A6B"/>
    <w:rsid w:val="00A749CA"/>
    <w:rsid w:val="00A74CCE"/>
    <w:rsid w:val="00A75266"/>
    <w:rsid w:val="00A75441"/>
    <w:rsid w:val="00A77B09"/>
    <w:rsid w:val="00A77BA2"/>
    <w:rsid w:val="00A80226"/>
    <w:rsid w:val="00A80371"/>
    <w:rsid w:val="00A810B6"/>
    <w:rsid w:val="00A81EEE"/>
    <w:rsid w:val="00A83450"/>
    <w:rsid w:val="00A842BB"/>
    <w:rsid w:val="00A847F5"/>
    <w:rsid w:val="00A84BDB"/>
    <w:rsid w:val="00A84CBB"/>
    <w:rsid w:val="00A850E4"/>
    <w:rsid w:val="00A856B7"/>
    <w:rsid w:val="00A85C07"/>
    <w:rsid w:val="00A86912"/>
    <w:rsid w:val="00A86A17"/>
    <w:rsid w:val="00A86C68"/>
    <w:rsid w:val="00A90ECA"/>
    <w:rsid w:val="00A92BA1"/>
    <w:rsid w:val="00A92BAD"/>
    <w:rsid w:val="00A93397"/>
    <w:rsid w:val="00A94B38"/>
    <w:rsid w:val="00A94CC9"/>
    <w:rsid w:val="00A951F1"/>
    <w:rsid w:val="00AA0452"/>
    <w:rsid w:val="00AA1AE9"/>
    <w:rsid w:val="00AA2E19"/>
    <w:rsid w:val="00AA3041"/>
    <w:rsid w:val="00AA5C98"/>
    <w:rsid w:val="00AA62ED"/>
    <w:rsid w:val="00AA66F9"/>
    <w:rsid w:val="00AA6845"/>
    <w:rsid w:val="00AA795F"/>
    <w:rsid w:val="00AA7B2F"/>
    <w:rsid w:val="00AB0E75"/>
    <w:rsid w:val="00AB145B"/>
    <w:rsid w:val="00AB15CB"/>
    <w:rsid w:val="00AB2267"/>
    <w:rsid w:val="00AB44FE"/>
    <w:rsid w:val="00AB450E"/>
    <w:rsid w:val="00AB4523"/>
    <w:rsid w:val="00AB47EB"/>
    <w:rsid w:val="00AB4B7B"/>
    <w:rsid w:val="00AB6319"/>
    <w:rsid w:val="00AB68F8"/>
    <w:rsid w:val="00AC02DA"/>
    <w:rsid w:val="00AC09FB"/>
    <w:rsid w:val="00AC2005"/>
    <w:rsid w:val="00AC2245"/>
    <w:rsid w:val="00AC23B0"/>
    <w:rsid w:val="00AC2C37"/>
    <w:rsid w:val="00AC315F"/>
    <w:rsid w:val="00AC3552"/>
    <w:rsid w:val="00AC38C5"/>
    <w:rsid w:val="00AC39DD"/>
    <w:rsid w:val="00AC4453"/>
    <w:rsid w:val="00AC44DD"/>
    <w:rsid w:val="00AC5506"/>
    <w:rsid w:val="00AC6E9D"/>
    <w:rsid w:val="00AC7857"/>
    <w:rsid w:val="00AD0EA6"/>
    <w:rsid w:val="00AD1547"/>
    <w:rsid w:val="00AD1DA0"/>
    <w:rsid w:val="00AD2D07"/>
    <w:rsid w:val="00AD2E7A"/>
    <w:rsid w:val="00AD302A"/>
    <w:rsid w:val="00AD41B8"/>
    <w:rsid w:val="00AD4769"/>
    <w:rsid w:val="00AD47F8"/>
    <w:rsid w:val="00AD4F4E"/>
    <w:rsid w:val="00AD52E0"/>
    <w:rsid w:val="00AD5C22"/>
    <w:rsid w:val="00AE18AD"/>
    <w:rsid w:val="00AE2A09"/>
    <w:rsid w:val="00AE2DB1"/>
    <w:rsid w:val="00AE331B"/>
    <w:rsid w:val="00AE3A8B"/>
    <w:rsid w:val="00AE3BA1"/>
    <w:rsid w:val="00AE4310"/>
    <w:rsid w:val="00AE4811"/>
    <w:rsid w:val="00AE492B"/>
    <w:rsid w:val="00AE6A99"/>
    <w:rsid w:val="00AE6B10"/>
    <w:rsid w:val="00AE6E7B"/>
    <w:rsid w:val="00AE708A"/>
    <w:rsid w:val="00AE7A59"/>
    <w:rsid w:val="00AF0CC6"/>
    <w:rsid w:val="00AF0D29"/>
    <w:rsid w:val="00AF1740"/>
    <w:rsid w:val="00AF17A2"/>
    <w:rsid w:val="00AF181F"/>
    <w:rsid w:val="00AF25F7"/>
    <w:rsid w:val="00AF37B0"/>
    <w:rsid w:val="00AF554E"/>
    <w:rsid w:val="00B00671"/>
    <w:rsid w:val="00B006C9"/>
    <w:rsid w:val="00B00931"/>
    <w:rsid w:val="00B03A8E"/>
    <w:rsid w:val="00B04457"/>
    <w:rsid w:val="00B04889"/>
    <w:rsid w:val="00B04A22"/>
    <w:rsid w:val="00B04A57"/>
    <w:rsid w:val="00B05BD9"/>
    <w:rsid w:val="00B060B3"/>
    <w:rsid w:val="00B0613A"/>
    <w:rsid w:val="00B070AC"/>
    <w:rsid w:val="00B07451"/>
    <w:rsid w:val="00B0753F"/>
    <w:rsid w:val="00B075B2"/>
    <w:rsid w:val="00B075C2"/>
    <w:rsid w:val="00B07629"/>
    <w:rsid w:val="00B07920"/>
    <w:rsid w:val="00B10156"/>
    <w:rsid w:val="00B10289"/>
    <w:rsid w:val="00B1030A"/>
    <w:rsid w:val="00B10D4F"/>
    <w:rsid w:val="00B11466"/>
    <w:rsid w:val="00B118DB"/>
    <w:rsid w:val="00B120AF"/>
    <w:rsid w:val="00B1230A"/>
    <w:rsid w:val="00B12CBE"/>
    <w:rsid w:val="00B13465"/>
    <w:rsid w:val="00B13566"/>
    <w:rsid w:val="00B136FB"/>
    <w:rsid w:val="00B14197"/>
    <w:rsid w:val="00B141F0"/>
    <w:rsid w:val="00B1434D"/>
    <w:rsid w:val="00B15EE1"/>
    <w:rsid w:val="00B173FF"/>
    <w:rsid w:val="00B178AB"/>
    <w:rsid w:val="00B17E52"/>
    <w:rsid w:val="00B207E2"/>
    <w:rsid w:val="00B2139B"/>
    <w:rsid w:val="00B213BF"/>
    <w:rsid w:val="00B21ABA"/>
    <w:rsid w:val="00B222F8"/>
    <w:rsid w:val="00B245A7"/>
    <w:rsid w:val="00B25552"/>
    <w:rsid w:val="00B25EF0"/>
    <w:rsid w:val="00B266FC"/>
    <w:rsid w:val="00B30DEA"/>
    <w:rsid w:val="00B3230A"/>
    <w:rsid w:val="00B325FC"/>
    <w:rsid w:val="00B329D0"/>
    <w:rsid w:val="00B32F8A"/>
    <w:rsid w:val="00B33006"/>
    <w:rsid w:val="00B33D53"/>
    <w:rsid w:val="00B35D0C"/>
    <w:rsid w:val="00B3635A"/>
    <w:rsid w:val="00B3642E"/>
    <w:rsid w:val="00B36B71"/>
    <w:rsid w:val="00B36BC5"/>
    <w:rsid w:val="00B36E46"/>
    <w:rsid w:val="00B37398"/>
    <w:rsid w:val="00B3763B"/>
    <w:rsid w:val="00B37735"/>
    <w:rsid w:val="00B37A8A"/>
    <w:rsid w:val="00B37D86"/>
    <w:rsid w:val="00B42DDE"/>
    <w:rsid w:val="00B43CE1"/>
    <w:rsid w:val="00B4518D"/>
    <w:rsid w:val="00B46CB2"/>
    <w:rsid w:val="00B5110B"/>
    <w:rsid w:val="00B51301"/>
    <w:rsid w:val="00B51434"/>
    <w:rsid w:val="00B5160D"/>
    <w:rsid w:val="00B519DB"/>
    <w:rsid w:val="00B51D3A"/>
    <w:rsid w:val="00B51F59"/>
    <w:rsid w:val="00B5262B"/>
    <w:rsid w:val="00B527D2"/>
    <w:rsid w:val="00B52CFE"/>
    <w:rsid w:val="00B53098"/>
    <w:rsid w:val="00B537B7"/>
    <w:rsid w:val="00B54132"/>
    <w:rsid w:val="00B54154"/>
    <w:rsid w:val="00B55523"/>
    <w:rsid w:val="00B55D2A"/>
    <w:rsid w:val="00B55D99"/>
    <w:rsid w:val="00B56BAD"/>
    <w:rsid w:val="00B57290"/>
    <w:rsid w:val="00B57353"/>
    <w:rsid w:val="00B57678"/>
    <w:rsid w:val="00B60170"/>
    <w:rsid w:val="00B613C3"/>
    <w:rsid w:val="00B61616"/>
    <w:rsid w:val="00B61F27"/>
    <w:rsid w:val="00B647E1"/>
    <w:rsid w:val="00B64D7C"/>
    <w:rsid w:val="00B6571B"/>
    <w:rsid w:val="00B65DD2"/>
    <w:rsid w:val="00B66F43"/>
    <w:rsid w:val="00B67BBA"/>
    <w:rsid w:val="00B711EF"/>
    <w:rsid w:val="00B71273"/>
    <w:rsid w:val="00B723CD"/>
    <w:rsid w:val="00B74D26"/>
    <w:rsid w:val="00B75FC2"/>
    <w:rsid w:val="00B76ED8"/>
    <w:rsid w:val="00B7710C"/>
    <w:rsid w:val="00B806F7"/>
    <w:rsid w:val="00B80995"/>
    <w:rsid w:val="00B82CEA"/>
    <w:rsid w:val="00B84AB8"/>
    <w:rsid w:val="00B84C7D"/>
    <w:rsid w:val="00B850C6"/>
    <w:rsid w:val="00B851EF"/>
    <w:rsid w:val="00B857B5"/>
    <w:rsid w:val="00B85F22"/>
    <w:rsid w:val="00B85FBC"/>
    <w:rsid w:val="00B86BE8"/>
    <w:rsid w:val="00B86CD5"/>
    <w:rsid w:val="00B86D38"/>
    <w:rsid w:val="00B86E10"/>
    <w:rsid w:val="00B90365"/>
    <w:rsid w:val="00B908DC"/>
    <w:rsid w:val="00B91126"/>
    <w:rsid w:val="00B9114B"/>
    <w:rsid w:val="00B91632"/>
    <w:rsid w:val="00B9173C"/>
    <w:rsid w:val="00B9247A"/>
    <w:rsid w:val="00B93355"/>
    <w:rsid w:val="00B938CC"/>
    <w:rsid w:val="00B94071"/>
    <w:rsid w:val="00B95113"/>
    <w:rsid w:val="00B95A78"/>
    <w:rsid w:val="00B95B98"/>
    <w:rsid w:val="00B95EF0"/>
    <w:rsid w:val="00B963F6"/>
    <w:rsid w:val="00B965F3"/>
    <w:rsid w:val="00B96B2F"/>
    <w:rsid w:val="00B96EBC"/>
    <w:rsid w:val="00BA08FE"/>
    <w:rsid w:val="00BA2212"/>
    <w:rsid w:val="00BA2378"/>
    <w:rsid w:val="00BA2543"/>
    <w:rsid w:val="00BA2AA7"/>
    <w:rsid w:val="00BA328D"/>
    <w:rsid w:val="00BA365E"/>
    <w:rsid w:val="00BA367D"/>
    <w:rsid w:val="00BA3C91"/>
    <w:rsid w:val="00BA5306"/>
    <w:rsid w:val="00BA60ED"/>
    <w:rsid w:val="00BA7443"/>
    <w:rsid w:val="00BA756E"/>
    <w:rsid w:val="00BA7933"/>
    <w:rsid w:val="00BA7AB1"/>
    <w:rsid w:val="00BB02C7"/>
    <w:rsid w:val="00BB0489"/>
    <w:rsid w:val="00BB1644"/>
    <w:rsid w:val="00BB260B"/>
    <w:rsid w:val="00BB4282"/>
    <w:rsid w:val="00BB4C1F"/>
    <w:rsid w:val="00BB4FA3"/>
    <w:rsid w:val="00BB5199"/>
    <w:rsid w:val="00BB5753"/>
    <w:rsid w:val="00BB6C8F"/>
    <w:rsid w:val="00BB6CE2"/>
    <w:rsid w:val="00BB7299"/>
    <w:rsid w:val="00BB7627"/>
    <w:rsid w:val="00BB786D"/>
    <w:rsid w:val="00BC0563"/>
    <w:rsid w:val="00BC0D7C"/>
    <w:rsid w:val="00BC2210"/>
    <w:rsid w:val="00BC3078"/>
    <w:rsid w:val="00BC345C"/>
    <w:rsid w:val="00BC3701"/>
    <w:rsid w:val="00BC4367"/>
    <w:rsid w:val="00BC44B7"/>
    <w:rsid w:val="00BC4F0C"/>
    <w:rsid w:val="00BC54CF"/>
    <w:rsid w:val="00BC6411"/>
    <w:rsid w:val="00BC716D"/>
    <w:rsid w:val="00BC7779"/>
    <w:rsid w:val="00BC7F1D"/>
    <w:rsid w:val="00BD07AE"/>
    <w:rsid w:val="00BD1DD7"/>
    <w:rsid w:val="00BD1DD9"/>
    <w:rsid w:val="00BD2CF6"/>
    <w:rsid w:val="00BD2F32"/>
    <w:rsid w:val="00BD34D4"/>
    <w:rsid w:val="00BD3D04"/>
    <w:rsid w:val="00BD51D0"/>
    <w:rsid w:val="00BD5AC2"/>
    <w:rsid w:val="00BD62D9"/>
    <w:rsid w:val="00BD6774"/>
    <w:rsid w:val="00BD7331"/>
    <w:rsid w:val="00BD79AE"/>
    <w:rsid w:val="00BE0E75"/>
    <w:rsid w:val="00BE10B3"/>
    <w:rsid w:val="00BE1768"/>
    <w:rsid w:val="00BE3566"/>
    <w:rsid w:val="00BE35F9"/>
    <w:rsid w:val="00BE36DF"/>
    <w:rsid w:val="00BE3B00"/>
    <w:rsid w:val="00BE3CAA"/>
    <w:rsid w:val="00BE3D1C"/>
    <w:rsid w:val="00BE3FCA"/>
    <w:rsid w:val="00BE420C"/>
    <w:rsid w:val="00BE494D"/>
    <w:rsid w:val="00BE4EFE"/>
    <w:rsid w:val="00BE6A2C"/>
    <w:rsid w:val="00BE70A8"/>
    <w:rsid w:val="00BE7266"/>
    <w:rsid w:val="00BF1014"/>
    <w:rsid w:val="00BF153B"/>
    <w:rsid w:val="00BF1C95"/>
    <w:rsid w:val="00BF1F57"/>
    <w:rsid w:val="00BF1FC7"/>
    <w:rsid w:val="00BF2172"/>
    <w:rsid w:val="00BF2183"/>
    <w:rsid w:val="00BF22AB"/>
    <w:rsid w:val="00BF2319"/>
    <w:rsid w:val="00BF2B4C"/>
    <w:rsid w:val="00BF2E52"/>
    <w:rsid w:val="00BF335D"/>
    <w:rsid w:val="00BF46FF"/>
    <w:rsid w:val="00BF48BB"/>
    <w:rsid w:val="00BF53C5"/>
    <w:rsid w:val="00BF5459"/>
    <w:rsid w:val="00BF559C"/>
    <w:rsid w:val="00BF58F9"/>
    <w:rsid w:val="00BF5B07"/>
    <w:rsid w:val="00BF5B1E"/>
    <w:rsid w:val="00BF60BA"/>
    <w:rsid w:val="00BF6148"/>
    <w:rsid w:val="00BF62C0"/>
    <w:rsid w:val="00BF67F6"/>
    <w:rsid w:val="00BF79D2"/>
    <w:rsid w:val="00C005E6"/>
    <w:rsid w:val="00C00C63"/>
    <w:rsid w:val="00C01234"/>
    <w:rsid w:val="00C01247"/>
    <w:rsid w:val="00C01787"/>
    <w:rsid w:val="00C01BB3"/>
    <w:rsid w:val="00C028B4"/>
    <w:rsid w:val="00C04DEC"/>
    <w:rsid w:val="00C05650"/>
    <w:rsid w:val="00C05D11"/>
    <w:rsid w:val="00C06A2E"/>
    <w:rsid w:val="00C06A3D"/>
    <w:rsid w:val="00C06CAE"/>
    <w:rsid w:val="00C10207"/>
    <w:rsid w:val="00C121E8"/>
    <w:rsid w:val="00C131A3"/>
    <w:rsid w:val="00C13533"/>
    <w:rsid w:val="00C13696"/>
    <w:rsid w:val="00C1425C"/>
    <w:rsid w:val="00C1505C"/>
    <w:rsid w:val="00C160CC"/>
    <w:rsid w:val="00C16BAC"/>
    <w:rsid w:val="00C217B4"/>
    <w:rsid w:val="00C222A7"/>
    <w:rsid w:val="00C22307"/>
    <w:rsid w:val="00C24BDF"/>
    <w:rsid w:val="00C25C86"/>
    <w:rsid w:val="00C26DA5"/>
    <w:rsid w:val="00C27F3B"/>
    <w:rsid w:val="00C302DA"/>
    <w:rsid w:val="00C317BD"/>
    <w:rsid w:val="00C31D98"/>
    <w:rsid w:val="00C31E57"/>
    <w:rsid w:val="00C35099"/>
    <w:rsid w:val="00C35CA7"/>
    <w:rsid w:val="00C3658F"/>
    <w:rsid w:val="00C40C9B"/>
    <w:rsid w:val="00C41280"/>
    <w:rsid w:val="00C42057"/>
    <w:rsid w:val="00C42604"/>
    <w:rsid w:val="00C42A8A"/>
    <w:rsid w:val="00C42CA7"/>
    <w:rsid w:val="00C43157"/>
    <w:rsid w:val="00C4332C"/>
    <w:rsid w:val="00C43397"/>
    <w:rsid w:val="00C4383C"/>
    <w:rsid w:val="00C44022"/>
    <w:rsid w:val="00C44A98"/>
    <w:rsid w:val="00C457AF"/>
    <w:rsid w:val="00C45E0F"/>
    <w:rsid w:val="00C462BB"/>
    <w:rsid w:val="00C470EA"/>
    <w:rsid w:val="00C47331"/>
    <w:rsid w:val="00C47341"/>
    <w:rsid w:val="00C47CC6"/>
    <w:rsid w:val="00C50B58"/>
    <w:rsid w:val="00C5321C"/>
    <w:rsid w:val="00C551EA"/>
    <w:rsid w:val="00C55DE2"/>
    <w:rsid w:val="00C561F1"/>
    <w:rsid w:val="00C56469"/>
    <w:rsid w:val="00C57D8B"/>
    <w:rsid w:val="00C6126C"/>
    <w:rsid w:val="00C61808"/>
    <w:rsid w:val="00C619D0"/>
    <w:rsid w:val="00C61BB7"/>
    <w:rsid w:val="00C626DB"/>
    <w:rsid w:val="00C62DEE"/>
    <w:rsid w:val="00C64AE4"/>
    <w:rsid w:val="00C65107"/>
    <w:rsid w:val="00C66048"/>
    <w:rsid w:val="00C66C51"/>
    <w:rsid w:val="00C66F6C"/>
    <w:rsid w:val="00C67457"/>
    <w:rsid w:val="00C676C5"/>
    <w:rsid w:val="00C706EE"/>
    <w:rsid w:val="00C70967"/>
    <w:rsid w:val="00C71B0C"/>
    <w:rsid w:val="00C7204E"/>
    <w:rsid w:val="00C72ED7"/>
    <w:rsid w:val="00C73DB6"/>
    <w:rsid w:val="00C73F43"/>
    <w:rsid w:val="00C75439"/>
    <w:rsid w:val="00C7547D"/>
    <w:rsid w:val="00C75BFA"/>
    <w:rsid w:val="00C76D66"/>
    <w:rsid w:val="00C802FD"/>
    <w:rsid w:val="00C82074"/>
    <w:rsid w:val="00C82675"/>
    <w:rsid w:val="00C84708"/>
    <w:rsid w:val="00C85908"/>
    <w:rsid w:val="00C85BC3"/>
    <w:rsid w:val="00C8634E"/>
    <w:rsid w:val="00C86A99"/>
    <w:rsid w:val="00C86D96"/>
    <w:rsid w:val="00C90076"/>
    <w:rsid w:val="00C90529"/>
    <w:rsid w:val="00C9067E"/>
    <w:rsid w:val="00C908B3"/>
    <w:rsid w:val="00C90EF9"/>
    <w:rsid w:val="00C911FC"/>
    <w:rsid w:val="00C91641"/>
    <w:rsid w:val="00C9193D"/>
    <w:rsid w:val="00C93D72"/>
    <w:rsid w:val="00C93F6F"/>
    <w:rsid w:val="00C94AE1"/>
    <w:rsid w:val="00C94D99"/>
    <w:rsid w:val="00C96C4C"/>
    <w:rsid w:val="00C97E89"/>
    <w:rsid w:val="00CA00D8"/>
    <w:rsid w:val="00CA087E"/>
    <w:rsid w:val="00CA0D0A"/>
    <w:rsid w:val="00CA1281"/>
    <w:rsid w:val="00CA236A"/>
    <w:rsid w:val="00CA26F7"/>
    <w:rsid w:val="00CA2A58"/>
    <w:rsid w:val="00CA3482"/>
    <w:rsid w:val="00CA6390"/>
    <w:rsid w:val="00CA67F8"/>
    <w:rsid w:val="00CA69A2"/>
    <w:rsid w:val="00CA71C2"/>
    <w:rsid w:val="00CA750E"/>
    <w:rsid w:val="00CB14E2"/>
    <w:rsid w:val="00CB19DF"/>
    <w:rsid w:val="00CB1FDD"/>
    <w:rsid w:val="00CB302B"/>
    <w:rsid w:val="00CB33BA"/>
    <w:rsid w:val="00CB356D"/>
    <w:rsid w:val="00CB45BA"/>
    <w:rsid w:val="00CB4A8E"/>
    <w:rsid w:val="00CB4C9A"/>
    <w:rsid w:val="00CB4F58"/>
    <w:rsid w:val="00CB6604"/>
    <w:rsid w:val="00CB66BB"/>
    <w:rsid w:val="00CB67FA"/>
    <w:rsid w:val="00CB7932"/>
    <w:rsid w:val="00CC1597"/>
    <w:rsid w:val="00CC337D"/>
    <w:rsid w:val="00CC364C"/>
    <w:rsid w:val="00CC5310"/>
    <w:rsid w:val="00CC5475"/>
    <w:rsid w:val="00CC6B07"/>
    <w:rsid w:val="00CC7806"/>
    <w:rsid w:val="00CC7A30"/>
    <w:rsid w:val="00CC7D81"/>
    <w:rsid w:val="00CD00AF"/>
    <w:rsid w:val="00CD0137"/>
    <w:rsid w:val="00CD01A6"/>
    <w:rsid w:val="00CD1554"/>
    <w:rsid w:val="00CD1B6A"/>
    <w:rsid w:val="00CD3411"/>
    <w:rsid w:val="00CD5468"/>
    <w:rsid w:val="00CD64C2"/>
    <w:rsid w:val="00CD68B8"/>
    <w:rsid w:val="00CE020E"/>
    <w:rsid w:val="00CE0922"/>
    <w:rsid w:val="00CE0F0C"/>
    <w:rsid w:val="00CE33F8"/>
    <w:rsid w:val="00CE3618"/>
    <w:rsid w:val="00CE4C07"/>
    <w:rsid w:val="00CE54EE"/>
    <w:rsid w:val="00CE5923"/>
    <w:rsid w:val="00CE68AB"/>
    <w:rsid w:val="00CE6A00"/>
    <w:rsid w:val="00CE6C46"/>
    <w:rsid w:val="00CE6D22"/>
    <w:rsid w:val="00CE7092"/>
    <w:rsid w:val="00CE7425"/>
    <w:rsid w:val="00CE76C2"/>
    <w:rsid w:val="00CF07D4"/>
    <w:rsid w:val="00CF084D"/>
    <w:rsid w:val="00CF0BB7"/>
    <w:rsid w:val="00CF101C"/>
    <w:rsid w:val="00CF14A1"/>
    <w:rsid w:val="00CF1FEE"/>
    <w:rsid w:val="00CF25A6"/>
    <w:rsid w:val="00CF27B6"/>
    <w:rsid w:val="00CF2D3F"/>
    <w:rsid w:val="00CF3300"/>
    <w:rsid w:val="00CF383A"/>
    <w:rsid w:val="00CF44E1"/>
    <w:rsid w:val="00CF6447"/>
    <w:rsid w:val="00CF670D"/>
    <w:rsid w:val="00CF7305"/>
    <w:rsid w:val="00CF788B"/>
    <w:rsid w:val="00D000B3"/>
    <w:rsid w:val="00D00AF4"/>
    <w:rsid w:val="00D01912"/>
    <w:rsid w:val="00D01B03"/>
    <w:rsid w:val="00D024DF"/>
    <w:rsid w:val="00D02C5E"/>
    <w:rsid w:val="00D02D3D"/>
    <w:rsid w:val="00D031BB"/>
    <w:rsid w:val="00D03A32"/>
    <w:rsid w:val="00D04D7B"/>
    <w:rsid w:val="00D04EC9"/>
    <w:rsid w:val="00D058FA"/>
    <w:rsid w:val="00D0656E"/>
    <w:rsid w:val="00D06C3B"/>
    <w:rsid w:val="00D070A3"/>
    <w:rsid w:val="00D0786E"/>
    <w:rsid w:val="00D108EC"/>
    <w:rsid w:val="00D10D8D"/>
    <w:rsid w:val="00D1125B"/>
    <w:rsid w:val="00D13C6D"/>
    <w:rsid w:val="00D13EB3"/>
    <w:rsid w:val="00D151CE"/>
    <w:rsid w:val="00D1577F"/>
    <w:rsid w:val="00D159CD"/>
    <w:rsid w:val="00D15D90"/>
    <w:rsid w:val="00D163E5"/>
    <w:rsid w:val="00D17B12"/>
    <w:rsid w:val="00D20645"/>
    <w:rsid w:val="00D207EF"/>
    <w:rsid w:val="00D20EBF"/>
    <w:rsid w:val="00D211E2"/>
    <w:rsid w:val="00D2247D"/>
    <w:rsid w:val="00D2257F"/>
    <w:rsid w:val="00D22EC9"/>
    <w:rsid w:val="00D23146"/>
    <w:rsid w:val="00D2315A"/>
    <w:rsid w:val="00D25213"/>
    <w:rsid w:val="00D252E0"/>
    <w:rsid w:val="00D2560A"/>
    <w:rsid w:val="00D2583B"/>
    <w:rsid w:val="00D2614D"/>
    <w:rsid w:val="00D26387"/>
    <w:rsid w:val="00D27132"/>
    <w:rsid w:val="00D279AB"/>
    <w:rsid w:val="00D30478"/>
    <w:rsid w:val="00D30EB4"/>
    <w:rsid w:val="00D30F25"/>
    <w:rsid w:val="00D310C1"/>
    <w:rsid w:val="00D31B1F"/>
    <w:rsid w:val="00D32962"/>
    <w:rsid w:val="00D32AA5"/>
    <w:rsid w:val="00D3393B"/>
    <w:rsid w:val="00D34B50"/>
    <w:rsid w:val="00D34CE4"/>
    <w:rsid w:val="00D35975"/>
    <w:rsid w:val="00D35A13"/>
    <w:rsid w:val="00D361AD"/>
    <w:rsid w:val="00D361C6"/>
    <w:rsid w:val="00D37346"/>
    <w:rsid w:val="00D37612"/>
    <w:rsid w:val="00D379C0"/>
    <w:rsid w:val="00D37CCD"/>
    <w:rsid w:val="00D37CDD"/>
    <w:rsid w:val="00D40406"/>
    <w:rsid w:val="00D41223"/>
    <w:rsid w:val="00D414EF"/>
    <w:rsid w:val="00D417B7"/>
    <w:rsid w:val="00D41E47"/>
    <w:rsid w:val="00D43551"/>
    <w:rsid w:val="00D442F5"/>
    <w:rsid w:val="00D44373"/>
    <w:rsid w:val="00D4492C"/>
    <w:rsid w:val="00D475FE"/>
    <w:rsid w:val="00D47CC4"/>
    <w:rsid w:val="00D5012F"/>
    <w:rsid w:val="00D50BD5"/>
    <w:rsid w:val="00D50C37"/>
    <w:rsid w:val="00D511FA"/>
    <w:rsid w:val="00D51955"/>
    <w:rsid w:val="00D526D7"/>
    <w:rsid w:val="00D5311B"/>
    <w:rsid w:val="00D536E5"/>
    <w:rsid w:val="00D543DF"/>
    <w:rsid w:val="00D546DE"/>
    <w:rsid w:val="00D550DB"/>
    <w:rsid w:val="00D552A9"/>
    <w:rsid w:val="00D5567A"/>
    <w:rsid w:val="00D565F8"/>
    <w:rsid w:val="00D56C8A"/>
    <w:rsid w:val="00D60764"/>
    <w:rsid w:val="00D6080E"/>
    <w:rsid w:val="00D6373F"/>
    <w:rsid w:val="00D63BD3"/>
    <w:rsid w:val="00D644F6"/>
    <w:rsid w:val="00D64CE7"/>
    <w:rsid w:val="00D64FA5"/>
    <w:rsid w:val="00D65106"/>
    <w:rsid w:val="00D658B0"/>
    <w:rsid w:val="00D66425"/>
    <w:rsid w:val="00D66991"/>
    <w:rsid w:val="00D66E1D"/>
    <w:rsid w:val="00D67576"/>
    <w:rsid w:val="00D67D42"/>
    <w:rsid w:val="00D70900"/>
    <w:rsid w:val="00D71563"/>
    <w:rsid w:val="00D71704"/>
    <w:rsid w:val="00D72324"/>
    <w:rsid w:val="00D725F0"/>
    <w:rsid w:val="00D73AC7"/>
    <w:rsid w:val="00D748DA"/>
    <w:rsid w:val="00D74A24"/>
    <w:rsid w:val="00D74B7A"/>
    <w:rsid w:val="00D75EE0"/>
    <w:rsid w:val="00D762A4"/>
    <w:rsid w:val="00D76931"/>
    <w:rsid w:val="00D76DC6"/>
    <w:rsid w:val="00D77B17"/>
    <w:rsid w:val="00D80334"/>
    <w:rsid w:val="00D8088B"/>
    <w:rsid w:val="00D81CAA"/>
    <w:rsid w:val="00D81E9D"/>
    <w:rsid w:val="00D824B9"/>
    <w:rsid w:val="00D83D2B"/>
    <w:rsid w:val="00D84108"/>
    <w:rsid w:val="00D8424D"/>
    <w:rsid w:val="00D8469A"/>
    <w:rsid w:val="00D84BFF"/>
    <w:rsid w:val="00D84EE9"/>
    <w:rsid w:val="00D84F3A"/>
    <w:rsid w:val="00D85A9C"/>
    <w:rsid w:val="00D85E1C"/>
    <w:rsid w:val="00D864BA"/>
    <w:rsid w:val="00D871C0"/>
    <w:rsid w:val="00D872CB"/>
    <w:rsid w:val="00D874DB"/>
    <w:rsid w:val="00D87EFB"/>
    <w:rsid w:val="00D90B72"/>
    <w:rsid w:val="00D91CF1"/>
    <w:rsid w:val="00D9207B"/>
    <w:rsid w:val="00D92355"/>
    <w:rsid w:val="00D92A0F"/>
    <w:rsid w:val="00D93E0C"/>
    <w:rsid w:val="00D93FDB"/>
    <w:rsid w:val="00D952FE"/>
    <w:rsid w:val="00D95661"/>
    <w:rsid w:val="00D96498"/>
    <w:rsid w:val="00D97991"/>
    <w:rsid w:val="00DA0417"/>
    <w:rsid w:val="00DA086E"/>
    <w:rsid w:val="00DA17A8"/>
    <w:rsid w:val="00DA211C"/>
    <w:rsid w:val="00DA2B6C"/>
    <w:rsid w:val="00DA344C"/>
    <w:rsid w:val="00DA34B9"/>
    <w:rsid w:val="00DA36C6"/>
    <w:rsid w:val="00DA3749"/>
    <w:rsid w:val="00DA3CFE"/>
    <w:rsid w:val="00DA5835"/>
    <w:rsid w:val="00DA6131"/>
    <w:rsid w:val="00DA6CEE"/>
    <w:rsid w:val="00DA70CC"/>
    <w:rsid w:val="00DB05F2"/>
    <w:rsid w:val="00DB0E9B"/>
    <w:rsid w:val="00DB20C2"/>
    <w:rsid w:val="00DB3028"/>
    <w:rsid w:val="00DB5E63"/>
    <w:rsid w:val="00DB66E7"/>
    <w:rsid w:val="00DB7BCF"/>
    <w:rsid w:val="00DB7E39"/>
    <w:rsid w:val="00DC0105"/>
    <w:rsid w:val="00DC02FF"/>
    <w:rsid w:val="00DC0FFE"/>
    <w:rsid w:val="00DC1C3F"/>
    <w:rsid w:val="00DC21FD"/>
    <w:rsid w:val="00DC2712"/>
    <w:rsid w:val="00DC31AA"/>
    <w:rsid w:val="00DC3C73"/>
    <w:rsid w:val="00DC4488"/>
    <w:rsid w:val="00DC58DC"/>
    <w:rsid w:val="00DC5AAB"/>
    <w:rsid w:val="00DC61B7"/>
    <w:rsid w:val="00DC6E1A"/>
    <w:rsid w:val="00DC6FD1"/>
    <w:rsid w:val="00DC7AE0"/>
    <w:rsid w:val="00DC7AF1"/>
    <w:rsid w:val="00DC7E13"/>
    <w:rsid w:val="00DD2B8E"/>
    <w:rsid w:val="00DD2F61"/>
    <w:rsid w:val="00DD3623"/>
    <w:rsid w:val="00DD3CB0"/>
    <w:rsid w:val="00DD3E71"/>
    <w:rsid w:val="00DD53B7"/>
    <w:rsid w:val="00DD5B45"/>
    <w:rsid w:val="00DD5F49"/>
    <w:rsid w:val="00DD79D5"/>
    <w:rsid w:val="00DD7CAF"/>
    <w:rsid w:val="00DE335C"/>
    <w:rsid w:val="00DE3E80"/>
    <w:rsid w:val="00DE43CF"/>
    <w:rsid w:val="00DE6457"/>
    <w:rsid w:val="00DE7517"/>
    <w:rsid w:val="00DE7BF5"/>
    <w:rsid w:val="00DF052B"/>
    <w:rsid w:val="00DF0A17"/>
    <w:rsid w:val="00DF1A90"/>
    <w:rsid w:val="00DF2A41"/>
    <w:rsid w:val="00DF30C1"/>
    <w:rsid w:val="00DF3500"/>
    <w:rsid w:val="00DF39E3"/>
    <w:rsid w:val="00DF3A5C"/>
    <w:rsid w:val="00DF3BE7"/>
    <w:rsid w:val="00DF415E"/>
    <w:rsid w:val="00DF4603"/>
    <w:rsid w:val="00DF4CF2"/>
    <w:rsid w:val="00E012F9"/>
    <w:rsid w:val="00E01316"/>
    <w:rsid w:val="00E018B4"/>
    <w:rsid w:val="00E046EE"/>
    <w:rsid w:val="00E05640"/>
    <w:rsid w:val="00E056E5"/>
    <w:rsid w:val="00E05738"/>
    <w:rsid w:val="00E0671E"/>
    <w:rsid w:val="00E06878"/>
    <w:rsid w:val="00E06918"/>
    <w:rsid w:val="00E07E42"/>
    <w:rsid w:val="00E11813"/>
    <w:rsid w:val="00E12104"/>
    <w:rsid w:val="00E12821"/>
    <w:rsid w:val="00E12922"/>
    <w:rsid w:val="00E14116"/>
    <w:rsid w:val="00E155E9"/>
    <w:rsid w:val="00E15848"/>
    <w:rsid w:val="00E15B96"/>
    <w:rsid w:val="00E15D1B"/>
    <w:rsid w:val="00E161F1"/>
    <w:rsid w:val="00E163D1"/>
    <w:rsid w:val="00E16DA0"/>
    <w:rsid w:val="00E17EDC"/>
    <w:rsid w:val="00E203C4"/>
    <w:rsid w:val="00E203C7"/>
    <w:rsid w:val="00E20447"/>
    <w:rsid w:val="00E20E4B"/>
    <w:rsid w:val="00E210FC"/>
    <w:rsid w:val="00E22036"/>
    <w:rsid w:val="00E2220F"/>
    <w:rsid w:val="00E22FE3"/>
    <w:rsid w:val="00E2544D"/>
    <w:rsid w:val="00E255BD"/>
    <w:rsid w:val="00E25903"/>
    <w:rsid w:val="00E25AD3"/>
    <w:rsid w:val="00E25BCC"/>
    <w:rsid w:val="00E266B1"/>
    <w:rsid w:val="00E27F3B"/>
    <w:rsid w:val="00E30963"/>
    <w:rsid w:val="00E3096A"/>
    <w:rsid w:val="00E32B40"/>
    <w:rsid w:val="00E33D12"/>
    <w:rsid w:val="00E35B33"/>
    <w:rsid w:val="00E3656D"/>
    <w:rsid w:val="00E36931"/>
    <w:rsid w:val="00E36EFB"/>
    <w:rsid w:val="00E37468"/>
    <w:rsid w:val="00E37560"/>
    <w:rsid w:val="00E402D1"/>
    <w:rsid w:val="00E4053E"/>
    <w:rsid w:val="00E40C58"/>
    <w:rsid w:val="00E4141D"/>
    <w:rsid w:val="00E41506"/>
    <w:rsid w:val="00E416F6"/>
    <w:rsid w:val="00E41CA8"/>
    <w:rsid w:val="00E430CD"/>
    <w:rsid w:val="00E4417E"/>
    <w:rsid w:val="00E44797"/>
    <w:rsid w:val="00E44E70"/>
    <w:rsid w:val="00E46631"/>
    <w:rsid w:val="00E4684E"/>
    <w:rsid w:val="00E475F6"/>
    <w:rsid w:val="00E5003F"/>
    <w:rsid w:val="00E513FB"/>
    <w:rsid w:val="00E5256C"/>
    <w:rsid w:val="00E5263C"/>
    <w:rsid w:val="00E53B90"/>
    <w:rsid w:val="00E53BF8"/>
    <w:rsid w:val="00E53FCF"/>
    <w:rsid w:val="00E550F6"/>
    <w:rsid w:val="00E558A4"/>
    <w:rsid w:val="00E55D32"/>
    <w:rsid w:val="00E565D9"/>
    <w:rsid w:val="00E569EF"/>
    <w:rsid w:val="00E60680"/>
    <w:rsid w:val="00E611AD"/>
    <w:rsid w:val="00E62122"/>
    <w:rsid w:val="00E62CFF"/>
    <w:rsid w:val="00E63441"/>
    <w:rsid w:val="00E64CE8"/>
    <w:rsid w:val="00E66BDC"/>
    <w:rsid w:val="00E672DC"/>
    <w:rsid w:val="00E6791C"/>
    <w:rsid w:val="00E67CB0"/>
    <w:rsid w:val="00E70184"/>
    <w:rsid w:val="00E701E5"/>
    <w:rsid w:val="00E702B4"/>
    <w:rsid w:val="00E7080E"/>
    <w:rsid w:val="00E7106C"/>
    <w:rsid w:val="00E7131B"/>
    <w:rsid w:val="00E71C3C"/>
    <w:rsid w:val="00E71C69"/>
    <w:rsid w:val="00E7222F"/>
    <w:rsid w:val="00E72C38"/>
    <w:rsid w:val="00E72D07"/>
    <w:rsid w:val="00E7360A"/>
    <w:rsid w:val="00E743E4"/>
    <w:rsid w:val="00E74520"/>
    <w:rsid w:val="00E764E3"/>
    <w:rsid w:val="00E76D50"/>
    <w:rsid w:val="00E77AEF"/>
    <w:rsid w:val="00E77EDE"/>
    <w:rsid w:val="00E805A0"/>
    <w:rsid w:val="00E80E00"/>
    <w:rsid w:val="00E8112E"/>
    <w:rsid w:val="00E8145F"/>
    <w:rsid w:val="00E8233E"/>
    <w:rsid w:val="00E83847"/>
    <w:rsid w:val="00E84B06"/>
    <w:rsid w:val="00E853C6"/>
    <w:rsid w:val="00E85440"/>
    <w:rsid w:val="00E85BD1"/>
    <w:rsid w:val="00E85F64"/>
    <w:rsid w:val="00E86D11"/>
    <w:rsid w:val="00E90F42"/>
    <w:rsid w:val="00E913C8"/>
    <w:rsid w:val="00E9196D"/>
    <w:rsid w:val="00E92344"/>
    <w:rsid w:val="00E92DB2"/>
    <w:rsid w:val="00E93CC3"/>
    <w:rsid w:val="00E94F82"/>
    <w:rsid w:val="00E95DDB"/>
    <w:rsid w:val="00E95F9F"/>
    <w:rsid w:val="00E968E1"/>
    <w:rsid w:val="00E96C7E"/>
    <w:rsid w:val="00E971BA"/>
    <w:rsid w:val="00E9783C"/>
    <w:rsid w:val="00E97AFF"/>
    <w:rsid w:val="00E97E2D"/>
    <w:rsid w:val="00EA06F6"/>
    <w:rsid w:val="00EA1367"/>
    <w:rsid w:val="00EA164F"/>
    <w:rsid w:val="00EA2EB4"/>
    <w:rsid w:val="00EA3968"/>
    <w:rsid w:val="00EA4C20"/>
    <w:rsid w:val="00EA55D8"/>
    <w:rsid w:val="00EA5E9B"/>
    <w:rsid w:val="00EA693A"/>
    <w:rsid w:val="00EA71C4"/>
    <w:rsid w:val="00EA724B"/>
    <w:rsid w:val="00EA737A"/>
    <w:rsid w:val="00EA74C7"/>
    <w:rsid w:val="00EA775D"/>
    <w:rsid w:val="00EB1576"/>
    <w:rsid w:val="00EB27EB"/>
    <w:rsid w:val="00EB356A"/>
    <w:rsid w:val="00EB4042"/>
    <w:rsid w:val="00EB430D"/>
    <w:rsid w:val="00EB4CE7"/>
    <w:rsid w:val="00EB56AA"/>
    <w:rsid w:val="00EB6243"/>
    <w:rsid w:val="00EB6265"/>
    <w:rsid w:val="00EB729F"/>
    <w:rsid w:val="00EB76A6"/>
    <w:rsid w:val="00EC00D3"/>
    <w:rsid w:val="00EC07E5"/>
    <w:rsid w:val="00EC098D"/>
    <w:rsid w:val="00EC0C92"/>
    <w:rsid w:val="00EC1F39"/>
    <w:rsid w:val="00EC219C"/>
    <w:rsid w:val="00EC2B4E"/>
    <w:rsid w:val="00EC408E"/>
    <w:rsid w:val="00EC4504"/>
    <w:rsid w:val="00EC49BA"/>
    <w:rsid w:val="00EC4AFA"/>
    <w:rsid w:val="00EC4F7F"/>
    <w:rsid w:val="00EC4FC8"/>
    <w:rsid w:val="00EC5181"/>
    <w:rsid w:val="00EC5D4C"/>
    <w:rsid w:val="00EC7CB7"/>
    <w:rsid w:val="00ED0268"/>
    <w:rsid w:val="00ED0301"/>
    <w:rsid w:val="00ED049F"/>
    <w:rsid w:val="00ED0ECD"/>
    <w:rsid w:val="00ED2302"/>
    <w:rsid w:val="00ED2D23"/>
    <w:rsid w:val="00ED31A9"/>
    <w:rsid w:val="00ED4E35"/>
    <w:rsid w:val="00ED4F65"/>
    <w:rsid w:val="00ED6420"/>
    <w:rsid w:val="00ED6ED0"/>
    <w:rsid w:val="00ED6EE8"/>
    <w:rsid w:val="00ED6F48"/>
    <w:rsid w:val="00ED71D4"/>
    <w:rsid w:val="00ED7C8B"/>
    <w:rsid w:val="00ED7DF4"/>
    <w:rsid w:val="00ED7DF7"/>
    <w:rsid w:val="00ED7F88"/>
    <w:rsid w:val="00EE0174"/>
    <w:rsid w:val="00EE1833"/>
    <w:rsid w:val="00EE27A0"/>
    <w:rsid w:val="00EE3005"/>
    <w:rsid w:val="00EE395A"/>
    <w:rsid w:val="00EE467D"/>
    <w:rsid w:val="00EE4C35"/>
    <w:rsid w:val="00EE520C"/>
    <w:rsid w:val="00EE53ED"/>
    <w:rsid w:val="00EE55F0"/>
    <w:rsid w:val="00EE7212"/>
    <w:rsid w:val="00EE725C"/>
    <w:rsid w:val="00EF09E2"/>
    <w:rsid w:val="00EF116E"/>
    <w:rsid w:val="00EF13CD"/>
    <w:rsid w:val="00EF1D6D"/>
    <w:rsid w:val="00EF1E28"/>
    <w:rsid w:val="00EF35CA"/>
    <w:rsid w:val="00EF3695"/>
    <w:rsid w:val="00EF3A10"/>
    <w:rsid w:val="00EF553B"/>
    <w:rsid w:val="00EF5A73"/>
    <w:rsid w:val="00EF5EF0"/>
    <w:rsid w:val="00EF5F08"/>
    <w:rsid w:val="00EF6096"/>
    <w:rsid w:val="00EF62A3"/>
    <w:rsid w:val="00EF648C"/>
    <w:rsid w:val="00EF6995"/>
    <w:rsid w:val="00F001A8"/>
    <w:rsid w:val="00F00B42"/>
    <w:rsid w:val="00F01BC1"/>
    <w:rsid w:val="00F02D7B"/>
    <w:rsid w:val="00F03115"/>
    <w:rsid w:val="00F0507F"/>
    <w:rsid w:val="00F05AAC"/>
    <w:rsid w:val="00F0640C"/>
    <w:rsid w:val="00F06E01"/>
    <w:rsid w:val="00F07388"/>
    <w:rsid w:val="00F106F2"/>
    <w:rsid w:val="00F108CE"/>
    <w:rsid w:val="00F10D37"/>
    <w:rsid w:val="00F114A6"/>
    <w:rsid w:val="00F11822"/>
    <w:rsid w:val="00F12FC1"/>
    <w:rsid w:val="00F13495"/>
    <w:rsid w:val="00F13FEF"/>
    <w:rsid w:val="00F14D95"/>
    <w:rsid w:val="00F155AB"/>
    <w:rsid w:val="00F158E2"/>
    <w:rsid w:val="00F159FA"/>
    <w:rsid w:val="00F16264"/>
    <w:rsid w:val="00F1644E"/>
    <w:rsid w:val="00F17DC4"/>
    <w:rsid w:val="00F17FDC"/>
    <w:rsid w:val="00F201F3"/>
    <w:rsid w:val="00F20C43"/>
    <w:rsid w:val="00F20CA5"/>
    <w:rsid w:val="00F20D70"/>
    <w:rsid w:val="00F218F8"/>
    <w:rsid w:val="00F2197D"/>
    <w:rsid w:val="00F21A29"/>
    <w:rsid w:val="00F21A44"/>
    <w:rsid w:val="00F21EA7"/>
    <w:rsid w:val="00F23B5C"/>
    <w:rsid w:val="00F23E43"/>
    <w:rsid w:val="00F24631"/>
    <w:rsid w:val="00F24ACE"/>
    <w:rsid w:val="00F251F3"/>
    <w:rsid w:val="00F27149"/>
    <w:rsid w:val="00F2757F"/>
    <w:rsid w:val="00F27582"/>
    <w:rsid w:val="00F27C09"/>
    <w:rsid w:val="00F27DE8"/>
    <w:rsid w:val="00F32071"/>
    <w:rsid w:val="00F320F5"/>
    <w:rsid w:val="00F3496D"/>
    <w:rsid w:val="00F351C8"/>
    <w:rsid w:val="00F400A1"/>
    <w:rsid w:val="00F41C3B"/>
    <w:rsid w:val="00F4245F"/>
    <w:rsid w:val="00F42EFE"/>
    <w:rsid w:val="00F4401C"/>
    <w:rsid w:val="00F4439B"/>
    <w:rsid w:val="00F460E0"/>
    <w:rsid w:val="00F46BCA"/>
    <w:rsid w:val="00F470BE"/>
    <w:rsid w:val="00F477DB"/>
    <w:rsid w:val="00F5093E"/>
    <w:rsid w:val="00F509D8"/>
    <w:rsid w:val="00F51726"/>
    <w:rsid w:val="00F51933"/>
    <w:rsid w:val="00F52540"/>
    <w:rsid w:val="00F528C8"/>
    <w:rsid w:val="00F53D57"/>
    <w:rsid w:val="00F542E3"/>
    <w:rsid w:val="00F54949"/>
    <w:rsid w:val="00F556DF"/>
    <w:rsid w:val="00F5589C"/>
    <w:rsid w:val="00F57FAD"/>
    <w:rsid w:val="00F608FE"/>
    <w:rsid w:val="00F60C62"/>
    <w:rsid w:val="00F61598"/>
    <w:rsid w:val="00F6328E"/>
    <w:rsid w:val="00F64462"/>
    <w:rsid w:val="00F650E7"/>
    <w:rsid w:val="00F652BE"/>
    <w:rsid w:val="00F65515"/>
    <w:rsid w:val="00F65649"/>
    <w:rsid w:val="00F65B75"/>
    <w:rsid w:val="00F65BE6"/>
    <w:rsid w:val="00F6613F"/>
    <w:rsid w:val="00F66716"/>
    <w:rsid w:val="00F66D35"/>
    <w:rsid w:val="00F67A75"/>
    <w:rsid w:val="00F72091"/>
    <w:rsid w:val="00F722ED"/>
    <w:rsid w:val="00F730CC"/>
    <w:rsid w:val="00F75524"/>
    <w:rsid w:val="00F75B7F"/>
    <w:rsid w:val="00F7636B"/>
    <w:rsid w:val="00F765E7"/>
    <w:rsid w:val="00F775D2"/>
    <w:rsid w:val="00F77FD7"/>
    <w:rsid w:val="00F802A8"/>
    <w:rsid w:val="00F80D98"/>
    <w:rsid w:val="00F826B9"/>
    <w:rsid w:val="00F8422C"/>
    <w:rsid w:val="00F84681"/>
    <w:rsid w:val="00F84B44"/>
    <w:rsid w:val="00F8593D"/>
    <w:rsid w:val="00F85CC2"/>
    <w:rsid w:val="00F86A88"/>
    <w:rsid w:val="00F87BF1"/>
    <w:rsid w:val="00F9103D"/>
    <w:rsid w:val="00F930D2"/>
    <w:rsid w:val="00F93D5A"/>
    <w:rsid w:val="00F945F6"/>
    <w:rsid w:val="00F946E9"/>
    <w:rsid w:val="00F94DA9"/>
    <w:rsid w:val="00F951A0"/>
    <w:rsid w:val="00F95397"/>
    <w:rsid w:val="00F954C0"/>
    <w:rsid w:val="00F957F8"/>
    <w:rsid w:val="00F963A4"/>
    <w:rsid w:val="00F96943"/>
    <w:rsid w:val="00F97848"/>
    <w:rsid w:val="00F97A29"/>
    <w:rsid w:val="00F97A73"/>
    <w:rsid w:val="00F97D09"/>
    <w:rsid w:val="00FA072B"/>
    <w:rsid w:val="00FA076A"/>
    <w:rsid w:val="00FA0F5E"/>
    <w:rsid w:val="00FA1252"/>
    <w:rsid w:val="00FA17C6"/>
    <w:rsid w:val="00FA2195"/>
    <w:rsid w:val="00FA2283"/>
    <w:rsid w:val="00FA25F4"/>
    <w:rsid w:val="00FA2AC4"/>
    <w:rsid w:val="00FA52A5"/>
    <w:rsid w:val="00FA6126"/>
    <w:rsid w:val="00FA7378"/>
    <w:rsid w:val="00FB0A7D"/>
    <w:rsid w:val="00FB1028"/>
    <w:rsid w:val="00FB1945"/>
    <w:rsid w:val="00FB2032"/>
    <w:rsid w:val="00FB2406"/>
    <w:rsid w:val="00FB33B7"/>
    <w:rsid w:val="00FB434A"/>
    <w:rsid w:val="00FB4972"/>
    <w:rsid w:val="00FB73D3"/>
    <w:rsid w:val="00FC0B65"/>
    <w:rsid w:val="00FC0DD7"/>
    <w:rsid w:val="00FC3AF4"/>
    <w:rsid w:val="00FC3BE1"/>
    <w:rsid w:val="00FC3C2B"/>
    <w:rsid w:val="00FC4307"/>
    <w:rsid w:val="00FC4B04"/>
    <w:rsid w:val="00FC62F7"/>
    <w:rsid w:val="00FC649A"/>
    <w:rsid w:val="00FC65B3"/>
    <w:rsid w:val="00FC70CF"/>
    <w:rsid w:val="00FC7292"/>
    <w:rsid w:val="00FC7EAB"/>
    <w:rsid w:val="00FD0221"/>
    <w:rsid w:val="00FD05A1"/>
    <w:rsid w:val="00FD0AAF"/>
    <w:rsid w:val="00FD1AF0"/>
    <w:rsid w:val="00FD1C08"/>
    <w:rsid w:val="00FD2554"/>
    <w:rsid w:val="00FD2C8C"/>
    <w:rsid w:val="00FD359A"/>
    <w:rsid w:val="00FD3787"/>
    <w:rsid w:val="00FD37D7"/>
    <w:rsid w:val="00FD380C"/>
    <w:rsid w:val="00FD38E5"/>
    <w:rsid w:val="00FD5F01"/>
    <w:rsid w:val="00FD6252"/>
    <w:rsid w:val="00FD6425"/>
    <w:rsid w:val="00FD6B88"/>
    <w:rsid w:val="00FD72DE"/>
    <w:rsid w:val="00FD76D5"/>
    <w:rsid w:val="00FE1212"/>
    <w:rsid w:val="00FE25E2"/>
    <w:rsid w:val="00FE26D5"/>
    <w:rsid w:val="00FE2D37"/>
    <w:rsid w:val="00FE2FEC"/>
    <w:rsid w:val="00FE3576"/>
    <w:rsid w:val="00FE361C"/>
    <w:rsid w:val="00FE3696"/>
    <w:rsid w:val="00FE3698"/>
    <w:rsid w:val="00FE3E4D"/>
    <w:rsid w:val="00FE41DD"/>
    <w:rsid w:val="00FE4CE7"/>
    <w:rsid w:val="00FE4D83"/>
    <w:rsid w:val="00FE665B"/>
    <w:rsid w:val="00FE66B0"/>
    <w:rsid w:val="00FE69E1"/>
    <w:rsid w:val="00FE7D0B"/>
    <w:rsid w:val="00FF0805"/>
    <w:rsid w:val="00FF27DD"/>
    <w:rsid w:val="00FF2959"/>
    <w:rsid w:val="00FF4E59"/>
    <w:rsid w:val="00FF5E69"/>
    <w:rsid w:val="00FF67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EF1E8"/>
  <w15:chartTrackingRefBased/>
  <w15:docId w15:val="{3491284E-809E-4F68-AA30-36CAF718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Title" w:qFormat="1"/>
    <w:lsdException w:name="Body Text" w:uiPriority="99"/>
    <w:lsdException w:name="Subtitle" w:qFormat="1"/>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15B"/>
    <w:rPr>
      <w:sz w:val="24"/>
      <w:szCs w:val="24"/>
      <w:lang w:eastAsia="en-US"/>
    </w:rPr>
  </w:style>
  <w:style w:type="paragraph" w:styleId="Heading1">
    <w:name w:val="heading 1"/>
    <w:aliases w:val="Heading 1 Accounts"/>
    <w:basedOn w:val="Normal"/>
    <w:next w:val="Normal"/>
    <w:link w:val="Heading1Char"/>
    <w:uiPriority w:val="9"/>
    <w:qFormat/>
    <w:rsid w:val="00CF3300"/>
    <w:pPr>
      <w:keepNext/>
      <w:outlineLvl w:val="0"/>
    </w:pPr>
    <w:rPr>
      <w:rFonts w:ascii="Arial" w:hAnsi="Arial" w:cs="Arial"/>
      <w:sz w:val="56"/>
    </w:rPr>
  </w:style>
  <w:style w:type="paragraph" w:styleId="Heading2">
    <w:name w:val="heading 2"/>
    <w:aliases w:val="Heading 2 Accounts"/>
    <w:basedOn w:val="Heading3"/>
    <w:next w:val="Normal"/>
    <w:link w:val="Heading2Char"/>
    <w:uiPriority w:val="9"/>
    <w:qFormat/>
    <w:rsid w:val="00B86CD5"/>
    <w:pPr>
      <w:outlineLvl w:val="1"/>
    </w:pPr>
  </w:style>
  <w:style w:type="paragraph" w:styleId="Heading3">
    <w:name w:val="heading 3"/>
    <w:aliases w:val="Heading 3 Accounts"/>
    <w:basedOn w:val="Normal"/>
    <w:next w:val="Normal"/>
    <w:link w:val="Heading3Char"/>
    <w:uiPriority w:val="9"/>
    <w:qFormat/>
    <w:rsid w:val="00CF3300"/>
    <w:pPr>
      <w:keepNext/>
      <w:spacing w:before="240" w:after="60"/>
      <w:outlineLvl w:val="2"/>
    </w:pPr>
    <w:rPr>
      <w:rFonts w:ascii="Arial" w:hAnsi="Arial" w:cs="Arial"/>
      <w:b/>
      <w:bCs/>
      <w:sz w:val="26"/>
      <w:szCs w:val="26"/>
    </w:rPr>
  </w:style>
  <w:style w:type="paragraph" w:styleId="Heading4">
    <w:name w:val="heading 4"/>
    <w:basedOn w:val="paragraph"/>
    <w:link w:val="Heading4Char"/>
    <w:uiPriority w:val="9"/>
    <w:qFormat/>
    <w:rsid w:val="00B86CD5"/>
    <w:pPr>
      <w:numPr>
        <w:numId w:val="46"/>
      </w:numPr>
      <w:spacing w:before="0" w:beforeAutospacing="0" w:after="160" w:afterAutospacing="0"/>
      <w:ind w:left="426" w:hanging="426"/>
      <w:textAlignment w:val="baseline"/>
      <w:outlineLvl w:val="3"/>
    </w:pPr>
    <w:rPr>
      <w:rFonts w:ascii="Arial" w:eastAsia="Yu Mincho" w:hAnsi="Arial" w:cs="Arial"/>
      <w:i/>
      <w:iCs/>
    </w:rPr>
  </w:style>
  <w:style w:type="paragraph" w:styleId="Heading5">
    <w:name w:val="heading 5"/>
    <w:aliases w:val="Heading 5 Table Title"/>
    <w:basedOn w:val="Normal"/>
    <w:next w:val="Normal"/>
    <w:link w:val="Heading5Char"/>
    <w:uiPriority w:val="9"/>
    <w:qFormat/>
    <w:rsid w:val="00CF3300"/>
    <w:pPr>
      <w:keepNext/>
      <w:outlineLvl w:val="4"/>
    </w:pPr>
    <w:rPr>
      <w:rFonts w:ascii="Arial" w:hAnsi="Arial"/>
      <w:b/>
      <w:bCs/>
    </w:rPr>
  </w:style>
  <w:style w:type="paragraph" w:styleId="Heading6">
    <w:name w:val="heading 6"/>
    <w:basedOn w:val="Heading5"/>
    <w:next w:val="Normal"/>
    <w:link w:val="Heading6Char"/>
    <w:qFormat/>
    <w:rsid w:val="00924E51"/>
    <w:pPr>
      <w:outlineLvl w:val="5"/>
    </w:pPr>
  </w:style>
  <w:style w:type="paragraph" w:styleId="Heading7">
    <w:name w:val="heading 7"/>
    <w:basedOn w:val="Normal"/>
    <w:next w:val="Normal"/>
    <w:link w:val="Heading7Char"/>
    <w:uiPriority w:val="9"/>
    <w:semiHidden/>
    <w:unhideWhenUsed/>
    <w:qFormat/>
    <w:rsid w:val="000F3752"/>
    <w:pPr>
      <w:tabs>
        <w:tab w:val="num" w:pos="5040"/>
      </w:tabs>
      <w:spacing w:before="240" w:after="60"/>
      <w:ind w:left="5040" w:hanging="720"/>
      <w:outlineLvl w:val="6"/>
    </w:pPr>
    <w:rPr>
      <w:rFonts w:asciiTheme="minorHAnsi" w:eastAsiaTheme="minorEastAsia" w:hAnsiTheme="minorHAnsi" w:cstheme="minorBidi"/>
      <w:lang w:val="en-US"/>
    </w:rPr>
  </w:style>
  <w:style w:type="paragraph" w:styleId="Heading8">
    <w:name w:val="heading 8"/>
    <w:basedOn w:val="Normal"/>
    <w:next w:val="Normal"/>
    <w:link w:val="Heading8Char"/>
    <w:uiPriority w:val="9"/>
    <w:semiHidden/>
    <w:unhideWhenUsed/>
    <w:qFormat/>
    <w:rsid w:val="000F3752"/>
    <w:pPr>
      <w:tabs>
        <w:tab w:val="num" w:pos="5760"/>
      </w:tabs>
      <w:spacing w:before="240" w:after="60"/>
      <w:ind w:left="5760" w:hanging="720"/>
      <w:outlineLvl w:val="7"/>
    </w:pPr>
    <w:rPr>
      <w:rFonts w:asciiTheme="minorHAnsi" w:eastAsiaTheme="minorEastAsia" w:hAnsiTheme="minorHAnsi" w:cstheme="minorBidi"/>
      <w:i/>
      <w:iCs/>
      <w:lang w:val="en-US"/>
    </w:rPr>
  </w:style>
  <w:style w:type="paragraph" w:styleId="Heading9">
    <w:name w:val="heading 9"/>
    <w:basedOn w:val="Normal"/>
    <w:next w:val="Normal"/>
    <w:link w:val="Heading9Char"/>
    <w:uiPriority w:val="9"/>
    <w:semiHidden/>
    <w:unhideWhenUsed/>
    <w:qFormat/>
    <w:rsid w:val="000F3752"/>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F3300"/>
    <w:rPr>
      <w:rFonts w:ascii="Arial" w:hAnsi="Arial" w:cs="Arial"/>
      <w:sz w:val="72"/>
    </w:rPr>
  </w:style>
  <w:style w:type="paragraph" w:styleId="BodyText2">
    <w:name w:val="Body Text 2"/>
    <w:basedOn w:val="Normal"/>
    <w:link w:val="BodyText2Char"/>
    <w:rsid w:val="00CF3300"/>
    <w:rPr>
      <w:sz w:val="28"/>
    </w:rPr>
  </w:style>
  <w:style w:type="paragraph" w:styleId="Header">
    <w:name w:val="header"/>
    <w:basedOn w:val="Normal"/>
    <w:link w:val="HeaderChar"/>
    <w:uiPriority w:val="99"/>
    <w:rsid w:val="00CF3300"/>
    <w:pPr>
      <w:tabs>
        <w:tab w:val="center" w:pos="4153"/>
        <w:tab w:val="right" w:pos="8306"/>
      </w:tabs>
    </w:pPr>
    <w:rPr>
      <w:rFonts w:ascii="Arial" w:hAnsi="Arial"/>
    </w:rPr>
  </w:style>
  <w:style w:type="paragraph" w:styleId="Footer">
    <w:name w:val="footer"/>
    <w:basedOn w:val="Normal"/>
    <w:link w:val="FooterChar"/>
    <w:uiPriority w:val="99"/>
    <w:rsid w:val="00CF3300"/>
    <w:pPr>
      <w:tabs>
        <w:tab w:val="center" w:pos="4153"/>
        <w:tab w:val="right" w:pos="8306"/>
      </w:tabs>
    </w:pPr>
    <w:rPr>
      <w:rFonts w:ascii="Arial" w:hAnsi="Arial"/>
    </w:rPr>
  </w:style>
  <w:style w:type="character" w:styleId="PageNumber">
    <w:name w:val="page number"/>
    <w:basedOn w:val="DefaultParagraphFont"/>
    <w:rsid w:val="00CF3300"/>
  </w:style>
  <w:style w:type="paragraph" w:customStyle="1" w:styleId="SubHeader">
    <w:name w:val="Sub Header"/>
    <w:basedOn w:val="Heading3"/>
    <w:rsid w:val="00CF3300"/>
  </w:style>
  <w:style w:type="character" w:styleId="Hyperlink">
    <w:name w:val="Hyperlink"/>
    <w:rsid w:val="00CF3300"/>
    <w:rPr>
      <w:color w:val="0000FF"/>
      <w:u w:val="single"/>
    </w:rPr>
  </w:style>
  <w:style w:type="paragraph" w:styleId="NormalWeb">
    <w:name w:val="Normal (Web)"/>
    <w:basedOn w:val="Normal"/>
    <w:uiPriority w:val="99"/>
    <w:rsid w:val="00CF3300"/>
    <w:pPr>
      <w:spacing w:before="100" w:beforeAutospacing="1" w:after="100" w:afterAutospacing="1"/>
    </w:pPr>
    <w:rPr>
      <w:lang w:eastAsia="en-GB"/>
    </w:rPr>
  </w:style>
  <w:style w:type="paragraph" w:styleId="NoSpacing">
    <w:name w:val="No Spacing"/>
    <w:link w:val="NoSpacingChar"/>
    <w:uiPriority w:val="1"/>
    <w:qFormat/>
    <w:rsid w:val="00CF3300"/>
    <w:rPr>
      <w:rFonts w:ascii="Calibri" w:hAnsi="Calibri"/>
      <w:sz w:val="22"/>
      <w:szCs w:val="22"/>
      <w:lang w:eastAsia="en-US"/>
    </w:rPr>
  </w:style>
  <w:style w:type="character" w:customStyle="1" w:styleId="SubHeaderChar">
    <w:name w:val="Sub Header Char"/>
    <w:rsid w:val="00CF3300"/>
    <w:rPr>
      <w:rFonts w:ascii="Arial" w:hAnsi="Arial" w:cs="Arial"/>
      <w:b/>
      <w:bCs/>
      <w:sz w:val="26"/>
      <w:szCs w:val="26"/>
      <w:lang w:val="en-GB" w:eastAsia="en-US" w:bidi="ar-SA"/>
    </w:rPr>
  </w:style>
  <w:style w:type="character" w:customStyle="1" w:styleId="Heading3Char">
    <w:name w:val="Heading 3 Char"/>
    <w:aliases w:val="Heading 3 Accounts Char"/>
    <w:link w:val="Heading3"/>
    <w:uiPriority w:val="9"/>
    <w:rsid w:val="00CF3300"/>
    <w:rPr>
      <w:rFonts w:ascii="Arial" w:hAnsi="Arial" w:cs="Arial"/>
      <w:b/>
      <w:bCs/>
      <w:sz w:val="26"/>
      <w:szCs w:val="26"/>
      <w:lang w:val="en-GB" w:eastAsia="en-US" w:bidi="ar-SA"/>
    </w:rPr>
  </w:style>
  <w:style w:type="paragraph" w:styleId="ListParagraph">
    <w:name w:val="List Paragraph"/>
    <w:aliases w:val="cv list paragraph,List Paragraph1,Table Text,List Paragraph_Table text,Table text,Table text + Justified,L....,EiB Main bullet,Dot pt,No Spacing1,List Paragraph Char Char Char,Indicator Text,Numbered Para 1,Bullet 1,F5 List Paragraph,Bull"/>
    <w:basedOn w:val="Normal"/>
    <w:link w:val="ListParagraphChar"/>
    <w:uiPriority w:val="34"/>
    <w:qFormat/>
    <w:rsid w:val="00575573"/>
    <w:pPr>
      <w:spacing w:after="200" w:line="276" w:lineRule="auto"/>
      <w:ind w:left="720"/>
      <w:contextualSpacing/>
    </w:pPr>
    <w:rPr>
      <w:rFonts w:ascii="Calibri" w:hAnsi="Calibri"/>
      <w:sz w:val="22"/>
      <w:szCs w:val="22"/>
      <w:lang w:eastAsia="en-GB"/>
    </w:rPr>
  </w:style>
  <w:style w:type="paragraph" w:styleId="Title">
    <w:name w:val="Title"/>
    <w:basedOn w:val="Normal"/>
    <w:link w:val="TitleChar"/>
    <w:qFormat/>
    <w:rsid w:val="00575573"/>
    <w:pPr>
      <w:tabs>
        <w:tab w:val="left" w:pos="1134"/>
      </w:tabs>
      <w:jc w:val="center"/>
    </w:pPr>
    <w:rPr>
      <w:b/>
      <w:sz w:val="28"/>
      <w:szCs w:val="20"/>
      <w:lang w:val="en-US"/>
    </w:rPr>
  </w:style>
  <w:style w:type="character" w:customStyle="1" w:styleId="TitleChar">
    <w:name w:val="Title Char"/>
    <w:link w:val="Title"/>
    <w:rsid w:val="00575573"/>
    <w:rPr>
      <w:b/>
      <w:sz w:val="28"/>
      <w:lang w:val="en-US" w:eastAsia="en-US" w:bidi="ar-SA"/>
    </w:rPr>
  </w:style>
  <w:style w:type="paragraph" w:customStyle="1" w:styleId="1AGMAHeading1">
    <w:name w:val="#1 AGMA Heading 1"/>
    <w:next w:val="2AGMAHeading2"/>
    <w:qFormat/>
    <w:rsid w:val="004D1848"/>
    <w:pPr>
      <w:numPr>
        <w:numId w:val="5"/>
      </w:numPr>
      <w:spacing w:before="480" w:after="480"/>
      <w:jc w:val="both"/>
    </w:pPr>
    <w:rPr>
      <w:rFonts w:ascii="Arial" w:hAnsi="Arial" w:cs="Arial"/>
      <w:b/>
      <w:sz w:val="24"/>
      <w:szCs w:val="24"/>
    </w:rPr>
  </w:style>
  <w:style w:type="paragraph" w:customStyle="1" w:styleId="2AGMAHeading2">
    <w:name w:val="#2 AGMA Heading 2"/>
    <w:basedOn w:val="1AGMAHeading1"/>
    <w:qFormat/>
    <w:rsid w:val="004D1848"/>
    <w:pPr>
      <w:numPr>
        <w:ilvl w:val="1"/>
      </w:numPr>
      <w:spacing w:before="240" w:after="240"/>
    </w:pPr>
    <w:rPr>
      <w:b w:val="0"/>
    </w:rPr>
  </w:style>
  <w:style w:type="paragraph" w:customStyle="1" w:styleId="3AGMAHeading3">
    <w:name w:val="#3 AGMA Heading 3"/>
    <w:basedOn w:val="2AGMAHeading2"/>
    <w:qFormat/>
    <w:rsid w:val="004D1848"/>
    <w:pPr>
      <w:numPr>
        <w:ilvl w:val="2"/>
      </w:numPr>
    </w:pPr>
  </w:style>
  <w:style w:type="paragraph" w:customStyle="1" w:styleId="4AGMABullet1">
    <w:name w:val="#4 AGMA Bullet 1"/>
    <w:basedOn w:val="3AGMAHeading3"/>
    <w:qFormat/>
    <w:rsid w:val="004D1848"/>
    <w:pPr>
      <w:numPr>
        <w:ilvl w:val="3"/>
      </w:numPr>
      <w:spacing w:before="120" w:after="120"/>
    </w:pPr>
  </w:style>
  <w:style w:type="paragraph" w:customStyle="1" w:styleId="5AGMABullet2">
    <w:name w:val="#5 AGMA Bullet 2"/>
    <w:basedOn w:val="4AGMABullet1"/>
    <w:qFormat/>
    <w:rsid w:val="004D1848"/>
    <w:pPr>
      <w:numPr>
        <w:ilvl w:val="4"/>
      </w:numPr>
    </w:pPr>
  </w:style>
  <w:style w:type="paragraph" w:customStyle="1" w:styleId="6AGMARecommendations">
    <w:name w:val="#6 AGMA Recommendations"/>
    <w:basedOn w:val="5AGMABullet2"/>
    <w:qFormat/>
    <w:rsid w:val="004D1848"/>
    <w:pPr>
      <w:numPr>
        <w:ilvl w:val="5"/>
      </w:numPr>
      <w:ind w:left="2041" w:hanging="510"/>
    </w:pPr>
  </w:style>
  <w:style w:type="numbering" w:customStyle="1" w:styleId="AGMAList">
    <w:name w:val="# AGMA List"/>
    <w:rsid w:val="004D1848"/>
    <w:pPr>
      <w:numPr>
        <w:numId w:val="5"/>
      </w:numPr>
    </w:pPr>
  </w:style>
  <w:style w:type="table" w:styleId="TableGrid">
    <w:name w:val="Table Grid"/>
    <w:basedOn w:val="TableNormal"/>
    <w:uiPriority w:val="39"/>
    <w:rsid w:val="00324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6">
    <w:name w:val="Imported Style 16"/>
    <w:rsid w:val="002A1BED"/>
    <w:pPr>
      <w:numPr>
        <w:numId w:val="6"/>
      </w:numPr>
    </w:pPr>
  </w:style>
  <w:style w:type="paragraph" w:styleId="Revision">
    <w:name w:val="Revision"/>
    <w:hidden/>
    <w:uiPriority w:val="99"/>
    <w:semiHidden/>
    <w:rsid w:val="00655251"/>
    <w:rPr>
      <w:sz w:val="24"/>
      <w:szCs w:val="24"/>
      <w:lang w:eastAsia="en-US"/>
    </w:rPr>
  </w:style>
  <w:style w:type="character" w:styleId="CommentReference">
    <w:name w:val="annotation reference"/>
    <w:basedOn w:val="DefaultParagraphFont"/>
    <w:uiPriority w:val="99"/>
    <w:rsid w:val="00EE0174"/>
    <w:rPr>
      <w:sz w:val="16"/>
      <w:szCs w:val="16"/>
    </w:rPr>
  </w:style>
  <w:style w:type="paragraph" w:styleId="CommentText">
    <w:name w:val="annotation text"/>
    <w:basedOn w:val="Normal"/>
    <w:link w:val="CommentTextChar"/>
    <w:uiPriority w:val="99"/>
    <w:rsid w:val="00EE0174"/>
    <w:rPr>
      <w:sz w:val="20"/>
      <w:szCs w:val="20"/>
    </w:rPr>
  </w:style>
  <w:style w:type="character" w:customStyle="1" w:styleId="CommentTextChar">
    <w:name w:val="Comment Text Char"/>
    <w:basedOn w:val="DefaultParagraphFont"/>
    <w:link w:val="CommentText"/>
    <w:uiPriority w:val="99"/>
    <w:rsid w:val="00EE0174"/>
    <w:rPr>
      <w:lang w:eastAsia="en-US"/>
    </w:rPr>
  </w:style>
  <w:style w:type="paragraph" w:styleId="CommentSubject">
    <w:name w:val="annotation subject"/>
    <w:basedOn w:val="CommentText"/>
    <w:next w:val="CommentText"/>
    <w:link w:val="CommentSubjectChar"/>
    <w:uiPriority w:val="99"/>
    <w:rsid w:val="00EE0174"/>
    <w:rPr>
      <w:b/>
      <w:bCs/>
    </w:rPr>
  </w:style>
  <w:style w:type="character" w:customStyle="1" w:styleId="CommentSubjectChar">
    <w:name w:val="Comment Subject Char"/>
    <w:basedOn w:val="CommentTextChar"/>
    <w:link w:val="CommentSubject"/>
    <w:uiPriority w:val="99"/>
    <w:rsid w:val="00EE0174"/>
    <w:rPr>
      <w:b/>
      <w:bCs/>
      <w:lang w:eastAsia="en-US"/>
    </w:rPr>
  </w:style>
  <w:style w:type="paragraph" w:styleId="BalloonText">
    <w:name w:val="Balloon Text"/>
    <w:basedOn w:val="Normal"/>
    <w:link w:val="BalloonTextChar"/>
    <w:uiPriority w:val="99"/>
    <w:rsid w:val="00EE0174"/>
    <w:rPr>
      <w:rFonts w:ascii="Segoe UI" w:hAnsi="Segoe UI" w:cs="Segoe UI"/>
      <w:sz w:val="18"/>
      <w:szCs w:val="18"/>
    </w:rPr>
  </w:style>
  <w:style w:type="character" w:customStyle="1" w:styleId="BalloonTextChar">
    <w:name w:val="Balloon Text Char"/>
    <w:basedOn w:val="DefaultParagraphFont"/>
    <w:link w:val="BalloonText"/>
    <w:uiPriority w:val="99"/>
    <w:rsid w:val="00EE0174"/>
    <w:rPr>
      <w:rFonts w:ascii="Segoe UI" w:hAnsi="Segoe UI" w:cs="Segoe UI"/>
      <w:sz w:val="18"/>
      <w:szCs w:val="18"/>
      <w:lang w:eastAsia="en-US"/>
    </w:rPr>
  </w:style>
  <w:style w:type="paragraph" w:styleId="IntenseQuote">
    <w:name w:val="Intense Quote"/>
    <w:basedOn w:val="Normal"/>
    <w:next w:val="Normal"/>
    <w:link w:val="IntenseQuoteChar"/>
    <w:uiPriority w:val="30"/>
    <w:qFormat/>
    <w:rsid w:val="008649F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649F9"/>
    <w:rPr>
      <w:i/>
      <w:iCs/>
      <w:color w:val="5B9BD5" w:themeColor="accent1"/>
      <w:sz w:val="24"/>
      <w:szCs w:val="24"/>
      <w:lang w:eastAsia="en-US"/>
    </w:rPr>
  </w:style>
  <w:style w:type="character" w:customStyle="1" w:styleId="FooterChar">
    <w:name w:val="Footer Char"/>
    <w:basedOn w:val="DefaultParagraphFont"/>
    <w:link w:val="Footer"/>
    <w:uiPriority w:val="99"/>
    <w:rsid w:val="00CB4F58"/>
    <w:rPr>
      <w:rFonts w:ascii="Arial" w:hAnsi="Arial"/>
      <w:sz w:val="24"/>
      <w:szCs w:val="24"/>
      <w:lang w:eastAsia="en-US"/>
    </w:rPr>
  </w:style>
  <w:style w:type="character" w:customStyle="1" w:styleId="Heading4Char">
    <w:name w:val="Heading 4 Char"/>
    <w:basedOn w:val="DefaultParagraphFont"/>
    <w:link w:val="Heading4"/>
    <w:uiPriority w:val="9"/>
    <w:rsid w:val="00B86CD5"/>
    <w:rPr>
      <w:rFonts w:ascii="Arial" w:eastAsia="Yu Mincho" w:hAnsi="Arial" w:cs="Arial"/>
      <w:i/>
      <w:iCs/>
      <w:sz w:val="24"/>
      <w:szCs w:val="24"/>
    </w:rPr>
  </w:style>
  <w:style w:type="character" w:customStyle="1" w:styleId="Heading1Char">
    <w:name w:val="Heading 1 Char"/>
    <w:aliases w:val="Heading 1 Accounts Char"/>
    <w:basedOn w:val="DefaultParagraphFont"/>
    <w:link w:val="Heading1"/>
    <w:uiPriority w:val="9"/>
    <w:rsid w:val="00322485"/>
    <w:rPr>
      <w:rFonts w:ascii="Arial" w:hAnsi="Arial" w:cs="Arial"/>
      <w:sz w:val="56"/>
      <w:szCs w:val="24"/>
      <w:lang w:eastAsia="en-US"/>
    </w:rPr>
  </w:style>
  <w:style w:type="character" w:customStyle="1" w:styleId="Heading2Char">
    <w:name w:val="Heading 2 Char"/>
    <w:aliases w:val="Heading 2 Accounts Char"/>
    <w:basedOn w:val="DefaultParagraphFont"/>
    <w:link w:val="Heading2"/>
    <w:uiPriority w:val="9"/>
    <w:rsid w:val="00B86CD5"/>
    <w:rPr>
      <w:rFonts w:ascii="Arial" w:hAnsi="Arial" w:cs="Arial"/>
      <w:b/>
      <w:bCs/>
      <w:sz w:val="26"/>
      <w:szCs w:val="26"/>
      <w:lang w:eastAsia="en-US"/>
    </w:rPr>
  </w:style>
  <w:style w:type="character" w:customStyle="1" w:styleId="Heading5Char">
    <w:name w:val="Heading 5 Char"/>
    <w:aliases w:val="Heading 5 Table Title Char"/>
    <w:basedOn w:val="DefaultParagraphFont"/>
    <w:link w:val="Heading5"/>
    <w:uiPriority w:val="9"/>
    <w:rsid w:val="00322485"/>
    <w:rPr>
      <w:rFonts w:ascii="Arial" w:hAnsi="Arial"/>
      <w:b/>
      <w:bCs/>
      <w:sz w:val="24"/>
      <w:szCs w:val="24"/>
      <w:lang w:eastAsia="en-US"/>
    </w:rPr>
  </w:style>
  <w:style w:type="character" w:customStyle="1" w:styleId="Heading6Char">
    <w:name w:val="Heading 6 Char"/>
    <w:basedOn w:val="DefaultParagraphFont"/>
    <w:link w:val="Heading6"/>
    <w:rsid w:val="00924E51"/>
    <w:rPr>
      <w:rFonts w:ascii="Arial" w:hAnsi="Arial"/>
      <w:b/>
      <w:bCs/>
      <w:sz w:val="24"/>
      <w:szCs w:val="24"/>
      <w:lang w:eastAsia="en-US"/>
    </w:rPr>
  </w:style>
  <w:style w:type="character" w:customStyle="1" w:styleId="BodyTextChar">
    <w:name w:val="Body Text Char"/>
    <w:basedOn w:val="DefaultParagraphFont"/>
    <w:link w:val="BodyText"/>
    <w:uiPriority w:val="99"/>
    <w:rsid w:val="00322485"/>
    <w:rPr>
      <w:rFonts w:ascii="Arial" w:hAnsi="Arial" w:cs="Arial"/>
      <w:sz w:val="72"/>
      <w:szCs w:val="24"/>
      <w:lang w:eastAsia="en-US"/>
    </w:rPr>
  </w:style>
  <w:style w:type="paragraph" w:customStyle="1" w:styleId="TableParagraph">
    <w:name w:val="Table Paragraph"/>
    <w:basedOn w:val="Normal"/>
    <w:uiPriority w:val="99"/>
    <w:rsid w:val="00322485"/>
    <w:pPr>
      <w:widowControl w:val="0"/>
    </w:pPr>
    <w:rPr>
      <w:rFonts w:ascii="Palatino Linotype" w:eastAsia="Palatino Linotype" w:hAnsi="Palatino Linotype"/>
      <w:sz w:val="22"/>
      <w:szCs w:val="22"/>
      <w:lang w:val="en-US"/>
    </w:rPr>
  </w:style>
  <w:style w:type="character" w:customStyle="1" w:styleId="HeaderChar">
    <w:name w:val="Header Char"/>
    <w:basedOn w:val="DefaultParagraphFont"/>
    <w:link w:val="Header"/>
    <w:uiPriority w:val="99"/>
    <w:rsid w:val="00322485"/>
    <w:rPr>
      <w:rFonts w:ascii="Arial" w:hAnsi="Arial"/>
      <w:sz w:val="24"/>
      <w:szCs w:val="24"/>
      <w:lang w:eastAsia="en-US"/>
    </w:rPr>
  </w:style>
  <w:style w:type="character" w:styleId="FollowedHyperlink">
    <w:name w:val="FollowedHyperlink"/>
    <w:uiPriority w:val="99"/>
    <w:rsid w:val="00322485"/>
    <w:rPr>
      <w:rFonts w:cs="Times New Roman"/>
      <w:color w:val="B2B2B2"/>
      <w:u w:val="single"/>
    </w:rPr>
  </w:style>
  <w:style w:type="character" w:customStyle="1" w:styleId="NoSpacingChar">
    <w:name w:val="No Spacing Char"/>
    <w:link w:val="NoSpacing"/>
    <w:uiPriority w:val="1"/>
    <w:locked/>
    <w:rsid w:val="00322485"/>
    <w:rPr>
      <w:rFonts w:ascii="Calibri" w:hAnsi="Calibri"/>
      <w:sz w:val="22"/>
      <w:szCs w:val="22"/>
      <w:lang w:eastAsia="en-US"/>
    </w:rPr>
  </w:style>
  <w:style w:type="paragraph" w:customStyle="1" w:styleId="FooterRight">
    <w:name w:val="Footer Right"/>
    <w:basedOn w:val="Footer"/>
    <w:uiPriority w:val="99"/>
    <w:rsid w:val="00322485"/>
    <w:pPr>
      <w:pBdr>
        <w:top w:val="dashed" w:sz="4" w:space="18" w:color="7F7F7F"/>
      </w:pBdr>
      <w:tabs>
        <w:tab w:val="clear" w:pos="4153"/>
        <w:tab w:val="clear" w:pos="8306"/>
        <w:tab w:val="center" w:pos="4320"/>
        <w:tab w:val="right" w:pos="8640"/>
      </w:tabs>
      <w:spacing w:after="200"/>
      <w:contextualSpacing/>
      <w:jc w:val="right"/>
    </w:pPr>
    <w:rPr>
      <w:rFonts w:ascii="Palatino Linotype" w:eastAsia="Palatino Linotype" w:hAnsi="Palatino Linotype"/>
      <w:color w:val="7F7F7F"/>
      <w:sz w:val="20"/>
      <w:szCs w:val="18"/>
      <w:lang w:eastAsia="ja-JP"/>
    </w:rPr>
  </w:style>
  <w:style w:type="character" w:styleId="LineNumber">
    <w:name w:val="line number"/>
    <w:uiPriority w:val="99"/>
    <w:rsid w:val="00322485"/>
    <w:rPr>
      <w:rFonts w:cs="Times New Roman"/>
    </w:rPr>
  </w:style>
  <w:style w:type="paragraph" w:customStyle="1" w:styleId="DefaultText">
    <w:name w:val="Default Text"/>
    <w:basedOn w:val="Normal"/>
    <w:rsid w:val="004219F1"/>
    <w:pPr>
      <w:overflowPunct w:val="0"/>
      <w:autoSpaceDE w:val="0"/>
      <w:autoSpaceDN w:val="0"/>
      <w:adjustRightInd w:val="0"/>
      <w:textAlignment w:val="baseline"/>
    </w:pPr>
    <w:rPr>
      <w:color w:val="000000"/>
      <w:szCs w:val="20"/>
    </w:rPr>
  </w:style>
  <w:style w:type="paragraph" w:styleId="BodyText3">
    <w:name w:val="Body Text 3"/>
    <w:basedOn w:val="Normal"/>
    <w:link w:val="BodyText3Char"/>
    <w:rsid w:val="004A0A00"/>
    <w:pPr>
      <w:spacing w:after="120"/>
    </w:pPr>
    <w:rPr>
      <w:sz w:val="16"/>
      <w:szCs w:val="16"/>
    </w:rPr>
  </w:style>
  <w:style w:type="character" w:customStyle="1" w:styleId="BodyText3Char">
    <w:name w:val="Body Text 3 Char"/>
    <w:basedOn w:val="DefaultParagraphFont"/>
    <w:link w:val="BodyText3"/>
    <w:rsid w:val="004A0A00"/>
    <w:rPr>
      <w:sz w:val="16"/>
      <w:szCs w:val="16"/>
      <w:lang w:eastAsia="en-US"/>
    </w:rPr>
  </w:style>
  <w:style w:type="table" w:customStyle="1" w:styleId="TableGrid1">
    <w:name w:val="Table Grid1"/>
    <w:basedOn w:val="TableNormal"/>
    <w:next w:val="TableGrid"/>
    <w:uiPriority w:val="39"/>
    <w:rsid w:val="00EA2EB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82F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TfGMStandardDocumentText">
    <w:name w:val="#8 TfGM Standard Document Text"/>
    <w:link w:val="8TfGMStandardDocumentTextChar"/>
    <w:qFormat/>
    <w:rsid w:val="00BC0563"/>
    <w:pPr>
      <w:spacing w:after="240"/>
      <w:jc w:val="both"/>
    </w:pPr>
    <w:rPr>
      <w:rFonts w:ascii="Calibri" w:eastAsia="MS Mincho" w:hAnsi="Calibri" w:cs="Arial"/>
      <w:sz w:val="26"/>
      <w:szCs w:val="24"/>
    </w:rPr>
  </w:style>
  <w:style w:type="character" w:customStyle="1" w:styleId="8TfGMStandardDocumentTextChar">
    <w:name w:val="#8 TfGM Standard Document Text Char"/>
    <w:basedOn w:val="DefaultParagraphFont"/>
    <w:link w:val="8TfGMStandardDocumentText"/>
    <w:rsid w:val="00BC0563"/>
    <w:rPr>
      <w:rFonts w:ascii="Calibri" w:eastAsia="MS Mincho" w:hAnsi="Calibri" w:cs="Arial"/>
      <w:sz w:val="26"/>
      <w:szCs w:val="24"/>
    </w:rPr>
  </w:style>
  <w:style w:type="paragraph" w:styleId="FootnoteText">
    <w:name w:val="footnote text"/>
    <w:aliases w:val="EKOS Footnote Text,Fußnote"/>
    <w:basedOn w:val="Normal"/>
    <w:link w:val="FootnoteTextChar"/>
    <w:uiPriority w:val="99"/>
    <w:rsid w:val="008A3D2A"/>
    <w:rPr>
      <w:rFonts w:ascii="Arial" w:hAnsi="Arial"/>
      <w:sz w:val="20"/>
      <w:szCs w:val="20"/>
    </w:rPr>
  </w:style>
  <w:style w:type="character" w:customStyle="1" w:styleId="FootnoteTextChar">
    <w:name w:val="Footnote Text Char"/>
    <w:aliases w:val="EKOS Footnote Text Char,Fußnote Char"/>
    <w:basedOn w:val="DefaultParagraphFont"/>
    <w:link w:val="FootnoteText"/>
    <w:uiPriority w:val="99"/>
    <w:rsid w:val="008A3D2A"/>
    <w:rPr>
      <w:rFonts w:ascii="Arial" w:hAnsi="Arial"/>
      <w:lang w:eastAsia="en-US"/>
    </w:rPr>
  </w:style>
  <w:style w:type="character" w:styleId="FootnoteReference">
    <w:name w:val="footnote reference"/>
    <w:aliases w:val="Footnote Reference (caveat),Footnote Reference Number"/>
    <w:uiPriority w:val="99"/>
    <w:unhideWhenUsed/>
    <w:rsid w:val="008A3D2A"/>
    <w:rPr>
      <w:vertAlign w:val="superscript"/>
    </w:rPr>
  </w:style>
  <w:style w:type="paragraph" w:customStyle="1" w:styleId="inlinenormal">
    <w:name w:val="inlinenormal"/>
    <w:basedOn w:val="Normal"/>
    <w:rsid w:val="006E0C9A"/>
    <w:pPr>
      <w:autoSpaceDN w:val="0"/>
      <w:spacing w:before="120" w:after="60" w:line="264" w:lineRule="auto"/>
    </w:pPr>
    <w:rPr>
      <w:rFonts w:ascii="Arial" w:hAnsi="Arial" w:cs="Arial"/>
      <w:lang w:eastAsia="en-GB"/>
    </w:rPr>
  </w:style>
  <w:style w:type="character" w:styleId="Emphasis">
    <w:name w:val="Emphasis"/>
    <w:uiPriority w:val="20"/>
    <w:qFormat/>
    <w:rsid w:val="006E0C9A"/>
    <w:rPr>
      <w:i/>
      <w:iCs/>
    </w:rPr>
  </w:style>
  <w:style w:type="paragraph" w:customStyle="1" w:styleId="Default">
    <w:name w:val="Default"/>
    <w:rsid w:val="006E0C9A"/>
    <w:pPr>
      <w:autoSpaceDE w:val="0"/>
      <w:autoSpaceDN w:val="0"/>
      <w:adjustRightInd w:val="0"/>
    </w:pPr>
    <w:rPr>
      <w:rFonts w:ascii="Arial" w:hAnsi="Arial" w:cs="Arial"/>
      <w:color w:val="000000"/>
      <w:sz w:val="24"/>
      <w:szCs w:val="24"/>
    </w:rPr>
  </w:style>
  <w:style w:type="paragraph" w:customStyle="1" w:styleId="Normal0">
    <w:name w:val="Normal_0"/>
    <w:qFormat/>
    <w:rsid w:val="009D79B4"/>
    <w:pPr>
      <w:spacing w:line="254" w:lineRule="auto"/>
    </w:pPr>
    <w:rPr>
      <w:rFonts w:asciiTheme="minorHAnsi" w:eastAsiaTheme="minorHAnsi" w:hAnsiTheme="minorHAnsi" w:cstheme="minorBidi"/>
      <w:lang w:val="en-US" w:eastAsia="en-US"/>
    </w:rPr>
  </w:style>
  <w:style w:type="paragraph" w:customStyle="1" w:styleId="T1TableStyle">
    <w:name w:val="T1TableStyle"/>
    <w:rsid w:val="009A7095"/>
    <w:rPr>
      <w:rFonts w:asciiTheme="minorHAnsi" w:eastAsiaTheme="minorHAnsi" w:hAnsiTheme="minorHAnsi" w:cs="Arial"/>
      <w:lang w:val="en-US" w:eastAsia="en-US"/>
    </w:rPr>
  </w:style>
  <w:style w:type="paragraph" w:customStyle="1" w:styleId="TND">
    <w:name w:val="TN D"/>
    <w:basedOn w:val="Normal"/>
    <w:link w:val="TNDChar"/>
    <w:qFormat/>
    <w:rsid w:val="008F12E4"/>
    <w:pPr>
      <w:tabs>
        <w:tab w:val="decimal" w:pos="964"/>
      </w:tabs>
    </w:pPr>
    <w:rPr>
      <w:rFonts w:ascii="Arial" w:hAnsi="Arial" w:cs="Arial"/>
      <w:bCs/>
      <w:sz w:val="18"/>
      <w:szCs w:val="18"/>
      <w:lang w:eastAsia="en-GB"/>
    </w:rPr>
  </w:style>
  <w:style w:type="character" w:customStyle="1" w:styleId="TNDChar">
    <w:name w:val="TN D Char"/>
    <w:basedOn w:val="DefaultParagraphFont"/>
    <w:link w:val="TND"/>
    <w:rsid w:val="008F12E4"/>
    <w:rPr>
      <w:rFonts w:ascii="Arial" w:hAnsi="Arial" w:cs="Arial"/>
      <w:bCs/>
      <w:sz w:val="18"/>
      <w:szCs w:val="18"/>
    </w:rPr>
  </w:style>
  <w:style w:type="paragraph" w:customStyle="1" w:styleId="TTL">
    <w:name w:val="TT L"/>
    <w:basedOn w:val="Normal"/>
    <w:link w:val="TTLChar"/>
    <w:qFormat/>
    <w:rsid w:val="008F12E4"/>
    <w:rPr>
      <w:rFonts w:ascii="Arial" w:hAnsi="Arial" w:cs="Arial"/>
      <w:bCs/>
      <w:sz w:val="18"/>
      <w:szCs w:val="18"/>
      <w:lang w:eastAsia="en-GB"/>
    </w:rPr>
  </w:style>
  <w:style w:type="character" w:customStyle="1" w:styleId="TTLChar">
    <w:name w:val="TT L Char"/>
    <w:basedOn w:val="DefaultParagraphFont"/>
    <w:link w:val="TTL"/>
    <w:rsid w:val="008F12E4"/>
    <w:rPr>
      <w:rFonts w:ascii="Arial" w:hAnsi="Arial" w:cs="Arial"/>
      <w:bCs/>
      <w:sz w:val="18"/>
      <w:szCs w:val="18"/>
    </w:rPr>
  </w:style>
  <w:style w:type="paragraph" w:customStyle="1" w:styleId="THR">
    <w:name w:val="TH R"/>
    <w:basedOn w:val="Normal"/>
    <w:link w:val="THRChar"/>
    <w:qFormat/>
    <w:rsid w:val="00322755"/>
    <w:pPr>
      <w:tabs>
        <w:tab w:val="right" w:pos="964"/>
      </w:tabs>
      <w:jc w:val="right"/>
    </w:pPr>
    <w:rPr>
      <w:rFonts w:ascii="Arial" w:hAnsi="Arial" w:cs="Arial"/>
      <w:bCs/>
      <w:sz w:val="18"/>
      <w:szCs w:val="18"/>
      <w:lang w:eastAsia="en-GB"/>
    </w:rPr>
  </w:style>
  <w:style w:type="character" w:customStyle="1" w:styleId="THRChar">
    <w:name w:val="TH R Char"/>
    <w:basedOn w:val="DefaultParagraphFont"/>
    <w:link w:val="THR"/>
    <w:rsid w:val="00322755"/>
    <w:rPr>
      <w:rFonts w:ascii="Arial" w:hAnsi="Arial" w:cs="Arial"/>
      <w:bCs/>
      <w:sz w:val="18"/>
      <w:szCs w:val="18"/>
    </w:rPr>
  </w:style>
  <w:style w:type="paragraph" w:customStyle="1" w:styleId="AGS-Bullets">
    <w:name w:val="AGS - Bullets"/>
    <w:basedOn w:val="ListParagraph"/>
    <w:link w:val="AGS-BulletsChar"/>
    <w:qFormat/>
    <w:rsid w:val="00322755"/>
    <w:pPr>
      <w:numPr>
        <w:ilvl w:val="1"/>
        <w:numId w:val="28"/>
      </w:numPr>
      <w:spacing w:after="0" w:line="240" w:lineRule="auto"/>
      <w:ind w:left="567" w:hanging="567"/>
    </w:pPr>
    <w:rPr>
      <w:rFonts w:ascii="Arial" w:eastAsiaTheme="minorHAnsi" w:hAnsi="Arial" w:cs="Arial"/>
      <w:bCs/>
    </w:rPr>
  </w:style>
  <w:style w:type="character" w:customStyle="1" w:styleId="AGS-BulletsChar">
    <w:name w:val="AGS - Bullets Char"/>
    <w:basedOn w:val="DefaultParagraphFont"/>
    <w:link w:val="AGS-Bullets"/>
    <w:rsid w:val="00322755"/>
    <w:rPr>
      <w:rFonts w:ascii="Arial" w:eastAsiaTheme="minorHAnsi" w:hAnsi="Arial" w:cs="Arial"/>
      <w:bCs/>
      <w:sz w:val="22"/>
      <w:szCs w:val="22"/>
    </w:rPr>
  </w:style>
  <w:style w:type="character" w:customStyle="1" w:styleId="Heading7Char">
    <w:name w:val="Heading 7 Char"/>
    <w:basedOn w:val="DefaultParagraphFont"/>
    <w:link w:val="Heading7"/>
    <w:uiPriority w:val="9"/>
    <w:semiHidden/>
    <w:rsid w:val="000F3752"/>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0F3752"/>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0F3752"/>
    <w:rPr>
      <w:rFonts w:asciiTheme="majorHAnsi" w:eastAsiaTheme="majorEastAsia" w:hAnsiTheme="majorHAnsi" w:cstheme="majorBidi"/>
      <w:sz w:val="22"/>
      <w:szCs w:val="22"/>
      <w:lang w:val="en-US" w:eastAsia="en-US"/>
    </w:rPr>
  </w:style>
  <w:style w:type="paragraph" w:customStyle="1" w:styleId="Pa27">
    <w:name w:val="Pa27"/>
    <w:basedOn w:val="Default"/>
    <w:next w:val="Default"/>
    <w:uiPriority w:val="99"/>
    <w:rsid w:val="001E052C"/>
    <w:pPr>
      <w:spacing w:line="201" w:lineRule="atLeast"/>
    </w:pPr>
    <w:rPr>
      <w:rFonts w:ascii="FS Lola" w:hAnsi="FS Lola" w:cs="Times New Roman"/>
      <w:color w:val="auto"/>
    </w:rPr>
  </w:style>
  <w:style w:type="paragraph" w:customStyle="1" w:styleId="Pa12">
    <w:name w:val="Pa12"/>
    <w:basedOn w:val="Default"/>
    <w:next w:val="Default"/>
    <w:uiPriority w:val="99"/>
    <w:rsid w:val="00AC23B0"/>
    <w:pPr>
      <w:spacing w:line="231" w:lineRule="atLeast"/>
    </w:pPr>
    <w:rPr>
      <w:rFonts w:ascii="FS Lola" w:hAnsi="FS Lola" w:cs="Times New Roman"/>
      <w:color w:val="auto"/>
    </w:rPr>
  </w:style>
  <w:style w:type="paragraph" w:customStyle="1" w:styleId="Pa28">
    <w:name w:val="Pa28"/>
    <w:basedOn w:val="Default"/>
    <w:next w:val="Default"/>
    <w:uiPriority w:val="99"/>
    <w:rsid w:val="002D3571"/>
    <w:pPr>
      <w:spacing w:line="231" w:lineRule="atLeast"/>
    </w:pPr>
    <w:rPr>
      <w:rFonts w:ascii="FS Lola Medium" w:hAnsi="FS Lola Medium" w:cs="Times New Roman"/>
      <w:color w:val="auto"/>
    </w:rPr>
  </w:style>
  <w:style w:type="character" w:customStyle="1" w:styleId="A14">
    <w:name w:val="A14"/>
    <w:uiPriority w:val="99"/>
    <w:rsid w:val="002D3571"/>
    <w:rPr>
      <w:rFonts w:ascii="FS Lola" w:hAnsi="FS Lola" w:cs="FS Lola"/>
      <w:b/>
      <w:bCs/>
      <w:color w:val="000000"/>
      <w:sz w:val="16"/>
      <w:szCs w:val="16"/>
    </w:rPr>
  </w:style>
  <w:style w:type="paragraph" w:customStyle="1" w:styleId="Standard">
    <w:name w:val="Standard"/>
    <w:rsid w:val="00571049"/>
    <w:pPr>
      <w:suppressAutoHyphens/>
      <w:autoSpaceDN w:val="0"/>
      <w:textAlignment w:val="baseline"/>
    </w:pPr>
    <w:rPr>
      <w:rFonts w:ascii="Arial" w:hAnsi="Arial" w:cs="Arial"/>
      <w:color w:val="000000"/>
      <w:kern w:val="3"/>
      <w:sz w:val="24"/>
      <w:szCs w:val="24"/>
    </w:rPr>
  </w:style>
  <w:style w:type="table" w:styleId="TableGridLight">
    <w:name w:val="Grid Table Light"/>
    <w:basedOn w:val="TableNormal"/>
    <w:uiPriority w:val="40"/>
    <w:rsid w:val="00716A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16A3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gmail-s1">
    <w:name w:val="gmail-s1"/>
    <w:basedOn w:val="DefaultParagraphFont"/>
    <w:rsid w:val="00031A22"/>
  </w:style>
  <w:style w:type="paragraph" w:styleId="ListNumber">
    <w:name w:val="List Number"/>
    <w:basedOn w:val="Normal"/>
    <w:rsid w:val="00031A22"/>
    <w:pPr>
      <w:numPr>
        <w:numId w:val="40"/>
      </w:numPr>
      <w:contextualSpacing/>
    </w:pPr>
  </w:style>
  <w:style w:type="paragraph" w:customStyle="1" w:styleId="FIBody">
    <w:name w:val="FI Body"/>
    <w:basedOn w:val="Normal"/>
    <w:link w:val="FIBodyChar"/>
    <w:qFormat/>
    <w:rsid w:val="009F6965"/>
    <w:pPr>
      <w:tabs>
        <w:tab w:val="num" w:pos="1800"/>
      </w:tabs>
      <w:spacing w:line="276" w:lineRule="auto"/>
      <w:ind w:left="992"/>
      <w:jc w:val="both"/>
    </w:pPr>
    <w:rPr>
      <w:rFonts w:asciiTheme="minorHAnsi" w:eastAsiaTheme="minorHAnsi" w:hAnsiTheme="minorHAnsi" w:cs="Arial"/>
      <w:color w:val="005B82"/>
      <w:sz w:val="22"/>
      <w:szCs w:val="22"/>
    </w:rPr>
  </w:style>
  <w:style w:type="character" w:customStyle="1" w:styleId="FIBodyChar">
    <w:name w:val="FI Body Char"/>
    <w:basedOn w:val="DefaultParagraphFont"/>
    <w:link w:val="FIBody"/>
    <w:rsid w:val="009F6965"/>
    <w:rPr>
      <w:rFonts w:asciiTheme="minorHAnsi" w:eastAsiaTheme="minorHAnsi" w:hAnsiTheme="minorHAnsi" w:cs="Arial"/>
      <w:color w:val="005B82"/>
      <w:sz w:val="22"/>
      <w:szCs w:val="22"/>
      <w:lang w:eastAsia="en-US"/>
    </w:rPr>
  </w:style>
  <w:style w:type="paragraph" w:customStyle="1" w:styleId="Pa10">
    <w:name w:val="Pa10"/>
    <w:basedOn w:val="Default"/>
    <w:next w:val="Default"/>
    <w:uiPriority w:val="99"/>
    <w:rsid w:val="006506FA"/>
    <w:pPr>
      <w:spacing w:line="231" w:lineRule="atLeast"/>
    </w:pPr>
    <w:rPr>
      <w:rFonts w:ascii="FS Lola" w:eastAsiaTheme="minorHAnsi" w:hAnsi="FS Lola" w:cstheme="minorBidi"/>
      <w:color w:val="auto"/>
      <w:lang w:eastAsia="en-US"/>
    </w:rPr>
  </w:style>
  <w:style w:type="character" w:customStyle="1" w:styleId="ListParagraphChar">
    <w:name w:val="List Paragraph Char"/>
    <w:aliases w:val="cv list paragraph Char,List Paragraph1 Char,Table Text Char,List Paragraph_Table text Char,Table text Char,Table text + Justified Char,L.... Char,EiB Main bullet Char,Dot pt Char,No Spacing1 Char,List Paragraph Char Char Char Char"/>
    <w:link w:val="ListParagraph"/>
    <w:uiPriority w:val="34"/>
    <w:qFormat/>
    <w:locked/>
    <w:rsid w:val="005D0823"/>
    <w:rPr>
      <w:rFonts w:ascii="Calibri" w:hAnsi="Calibri"/>
      <w:sz w:val="22"/>
      <w:szCs w:val="22"/>
    </w:rPr>
  </w:style>
  <w:style w:type="character" w:customStyle="1" w:styleId="BodyText2Char">
    <w:name w:val="Body Text 2 Char"/>
    <w:basedOn w:val="DefaultParagraphFont"/>
    <w:link w:val="BodyText2"/>
    <w:rsid w:val="00AD2D07"/>
    <w:rPr>
      <w:sz w:val="28"/>
      <w:szCs w:val="24"/>
      <w:lang w:eastAsia="en-US"/>
    </w:rPr>
  </w:style>
  <w:style w:type="character" w:customStyle="1" w:styleId="Accessiblenormaltext">
    <w:name w:val="Accessible normal text"/>
    <w:basedOn w:val="DefaultParagraphFont"/>
    <w:qFormat/>
    <w:rsid w:val="00AD2D07"/>
    <w:rPr>
      <w:rFonts w:ascii="Arial" w:hAnsi="Arial"/>
    </w:rPr>
  </w:style>
  <w:style w:type="paragraph" w:customStyle="1" w:styleId="StyleNormalAccessible">
    <w:name w:val="Style Normal_Accessible"/>
    <w:basedOn w:val="Normal0"/>
    <w:rsid w:val="00AD2D07"/>
    <w:pPr>
      <w:spacing w:after="240" w:line="360" w:lineRule="auto"/>
    </w:pPr>
    <w:rPr>
      <w:rFonts w:ascii="Arial" w:eastAsia="Times New Roman" w:hAnsi="Arial" w:cs="Times New Roman"/>
      <w:sz w:val="24"/>
    </w:rPr>
  </w:style>
  <w:style w:type="paragraph" w:customStyle="1" w:styleId="Style3">
    <w:name w:val="Style 3"/>
    <w:basedOn w:val="Heading3"/>
    <w:link w:val="Style3Char"/>
    <w:qFormat/>
    <w:rsid w:val="00AD2D07"/>
    <w:pPr>
      <w:pBdr>
        <w:top w:val="single" w:sz="4" w:space="1" w:color="auto"/>
        <w:left w:val="single" w:sz="4" w:space="4" w:color="auto"/>
        <w:bottom w:val="single" w:sz="4" w:space="1" w:color="auto"/>
        <w:right w:val="single" w:sz="4" w:space="4" w:color="auto"/>
      </w:pBdr>
      <w:shd w:val="clear" w:color="auto" w:fill="C5E0B3" w:themeFill="accent6" w:themeFillTint="66"/>
      <w:spacing w:after="240"/>
    </w:pPr>
    <w:rPr>
      <w:color w:val="000000" w:themeColor="text1"/>
    </w:rPr>
  </w:style>
  <w:style w:type="character" w:customStyle="1" w:styleId="Style3Char">
    <w:name w:val="Style 3 Char"/>
    <w:basedOn w:val="Heading3Char"/>
    <w:link w:val="Style3"/>
    <w:rsid w:val="00AD2D07"/>
    <w:rPr>
      <w:rFonts w:ascii="Arial" w:hAnsi="Arial" w:cs="Arial"/>
      <w:b/>
      <w:bCs/>
      <w:color w:val="000000" w:themeColor="text1"/>
      <w:sz w:val="26"/>
      <w:szCs w:val="26"/>
      <w:shd w:val="clear" w:color="auto" w:fill="C5E0B3" w:themeFill="accent6" w:themeFillTint="66"/>
      <w:lang w:val="en-GB" w:eastAsia="en-US" w:bidi="ar-SA"/>
    </w:rPr>
  </w:style>
  <w:style w:type="paragraph" w:styleId="TOCHeading">
    <w:name w:val="TOC Heading"/>
    <w:basedOn w:val="Heading1"/>
    <w:next w:val="Normal"/>
    <w:uiPriority w:val="39"/>
    <w:unhideWhenUsed/>
    <w:qFormat/>
    <w:rsid w:val="00AD2D07"/>
    <w:pPr>
      <w:keepLines/>
      <w:spacing w:before="24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rsid w:val="00AD2D07"/>
    <w:pPr>
      <w:spacing w:after="100"/>
    </w:pPr>
  </w:style>
  <w:style w:type="paragraph" w:styleId="TOC2">
    <w:name w:val="toc 2"/>
    <w:basedOn w:val="Normal"/>
    <w:next w:val="Normal"/>
    <w:autoRedefine/>
    <w:uiPriority w:val="39"/>
    <w:rsid w:val="00AD2D07"/>
    <w:pPr>
      <w:spacing w:after="100"/>
      <w:ind w:left="240"/>
    </w:pPr>
  </w:style>
  <w:style w:type="paragraph" w:styleId="TOC3">
    <w:name w:val="toc 3"/>
    <w:basedOn w:val="Normal"/>
    <w:next w:val="Normal"/>
    <w:autoRedefine/>
    <w:uiPriority w:val="39"/>
    <w:rsid w:val="00F930D2"/>
    <w:pPr>
      <w:tabs>
        <w:tab w:val="right" w:leader="dot" w:pos="9016"/>
      </w:tabs>
      <w:spacing w:after="100"/>
      <w:ind w:left="480"/>
    </w:pPr>
  </w:style>
  <w:style w:type="paragraph" w:styleId="TOC4">
    <w:name w:val="toc 4"/>
    <w:basedOn w:val="Normal"/>
    <w:next w:val="Normal"/>
    <w:autoRedefine/>
    <w:uiPriority w:val="39"/>
    <w:unhideWhenUsed/>
    <w:rsid w:val="00AD2D07"/>
    <w:pPr>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AD2D07"/>
    <w:pPr>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AD2D07"/>
    <w:pPr>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AD2D07"/>
    <w:pPr>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AD2D07"/>
    <w:pPr>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AD2D07"/>
    <w:pPr>
      <w:spacing w:after="100" w:line="259" w:lineRule="auto"/>
      <w:ind w:left="1760"/>
    </w:pPr>
    <w:rPr>
      <w:rFonts w:asciiTheme="minorHAnsi" w:eastAsiaTheme="minorEastAsia" w:hAnsiTheme="minorHAnsi" w:cstheme="minorBidi"/>
      <w:sz w:val="22"/>
      <w:szCs w:val="22"/>
      <w:lang w:eastAsia="en-GB"/>
    </w:rPr>
  </w:style>
  <w:style w:type="character" w:styleId="UnresolvedMention">
    <w:name w:val="Unresolved Mention"/>
    <w:basedOn w:val="DefaultParagraphFont"/>
    <w:uiPriority w:val="99"/>
    <w:semiHidden/>
    <w:unhideWhenUsed/>
    <w:rsid w:val="00AD2D07"/>
    <w:rPr>
      <w:color w:val="605E5C"/>
      <w:shd w:val="clear" w:color="auto" w:fill="E1DFDD"/>
    </w:rPr>
  </w:style>
  <w:style w:type="paragraph" w:customStyle="1" w:styleId="paragraph">
    <w:name w:val="paragraph"/>
    <w:basedOn w:val="Normal"/>
    <w:rsid w:val="00AD2D07"/>
    <w:pPr>
      <w:spacing w:before="100" w:beforeAutospacing="1" w:after="100" w:afterAutospacing="1"/>
    </w:pPr>
    <w:rPr>
      <w:lang w:eastAsia="en-GB"/>
    </w:rPr>
  </w:style>
  <w:style w:type="character" w:customStyle="1" w:styleId="normaltextrun">
    <w:name w:val="normaltextrun"/>
    <w:basedOn w:val="DefaultParagraphFont"/>
    <w:rsid w:val="00AD2D07"/>
  </w:style>
  <w:style w:type="character" w:customStyle="1" w:styleId="eop">
    <w:name w:val="eop"/>
    <w:basedOn w:val="DefaultParagraphFont"/>
    <w:rsid w:val="00AD2D07"/>
  </w:style>
  <w:style w:type="character" w:customStyle="1" w:styleId="pagebreaktextspan">
    <w:name w:val="pagebreaktextspan"/>
    <w:basedOn w:val="DefaultParagraphFont"/>
    <w:rsid w:val="00AD2D07"/>
  </w:style>
  <w:style w:type="character" w:styleId="Strong">
    <w:name w:val="Strong"/>
    <w:basedOn w:val="DefaultParagraphFont"/>
    <w:uiPriority w:val="22"/>
    <w:qFormat/>
    <w:rsid w:val="00AD2D07"/>
    <w:rPr>
      <w:rFonts w:ascii="Colfax-Medium" w:hAnsi="Colfax-Medium" w:hint="default"/>
      <w:b/>
      <w:bCs/>
    </w:rPr>
  </w:style>
  <w:style w:type="paragraph" w:customStyle="1" w:styleId="1TfGMHeading1">
    <w:name w:val="#1 TfGM Heading 1"/>
    <w:next w:val="2TfGMHeading2"/>
    <w:qFormat/>
    <w:rsid w:val="00CE76C2"/>
    <w:pPr>
      <w:numPr>
        <w:numId w:val="50"/>
      </w:numPr>
      <w:spacing w:before="480" w:after="480"/>
      <w:jc w:val="both"/>
    </w:pPr>
    <w:rPr>
      <w:rFonts w:ascii="Calibri" w:hAnsi="Calibri" w:cs="Arial"/>
      <w:b/>
      <w:sz w:val="26"/>
      <w:szCs w:val="24"/>
    </w:rPr>
  </w:style>
  <w:style w:type="paragraph" w:customStyle="1" w:styleId="2TfGMHeading2">
    <w:name w:val="#2 TfGM Heading 2"/>
    <w:basedOn w:val="1TfGMHeading1"/>
    <w:qFormat/>
    <w:rsid w:val="00CE76C2"/>
    <w:pPr>
      <w:numPr>
        <w:ilvl w:val="1"/>
      </w:numPr>
      <w:spacing w:before="240" w:after="240"/>
    </w:pPr>
    <w:rPr>
      <w:b w:val="0"/>
    </w:rPr>
  </w:style>
  <w:style w:type="paragraph" w:customStyle="1" w:styleId="3TfGMHeading3">
    <w:name w:val="#3 TfGM Heading 3"/>
    <w:basedOn w:val="2TfGMHeading2"/>
    <w:qFormat/>
    <w:rsid w:val="00CE76C2"/>
    <w:pPr>
      <w:numPr>
        <w:ilvl w:val="2"/>
      </w:numPr>
    </w:pPr>
  </w:style>
  <w:style w:type="paragraph" w:customStyle="1" w:styleId="4TfGMBullet1">
    <w:name w:val="#4 TfGM Bullet 1"/>
    <w:basedOn w:val="3TfGMHeading3"/>
    <w:qFormat/>
    <w:rsid w:val="00CE76C2"/>
    <w:pPr>
      <w:numPr>
        <w:ilvl w:val="3"/>
      </w:numPr>
      <w:tabs>
        <w:tab w:val="num" w:pos="360"/>
      </w:tabs>
      <w:spacing w:before="120" w:after="120"/>
      <w:ind w:left="360" w:hanging="360"/>
    </w:pPr>
  </w:style>
  <w:style w:type="paragraph" w:customStyle="1" w:styleId="5TfGMBullet2">
    <w:name w:val="#5 TfGM Bullet 2"/>
    <w:basedOn w:val="4TfGMBullet1"/>
    <w:qFormat/>
    <w:rsid w:val="00CE76C2"/>
    <w:pPr>
      <w:numPr>
        <w:ilvl w:val="4"/>
      </w:numPr>
      <w:tabs>
        <w:tab w:val="num" w:pos="360"/>
      </w:tabs>
      <w:ind w:left="1645" w:hanging="284"/>
    </w:pPr>
  </w:style>
  <w:style w:type="paragraph" w:customStyle="1" w:styleId="6TfGMRecommendations">
    <w:name w:val="#6 TfGM Recommendations"/>
    <w:basedOn w:val="5TfGMBullet2"/>
    <w:qFormat/>
    <w:rsid w:val="00CE76C2"/>
    <w:pPr>
      <w:numPr>
        <w:ilvl w:val="5"/>
      </w:numPr>
      <w:tabs>
        <w:tab w:val="num" w:pos="360"/>
      </w:tabs>
      <w:ind w:left="1418" w:hanging="567"/>
    </w:pPr>
    <w:rPr>
      <w:lang w:eastAsia="en-US"/>
    </w:rPr>
  </w:style>
  <w:style w:type="numbering" w:customStyle="1" w:styleId="TfGMList">
    <w:name w:val="#TfGM List"/>
    <w:uiPriority w:val="99"/>
    <w:rsid w:val="00CE76C2"/>
    <w:pPr>
      <w:numPr>
        <w:numId w:val="49"/>
      </w:numPr>
    </w:pPr>
  </w:style>
  <w:style w:type="paragraph" w:customStyle="1" w:styleId="Heading2green">
    <w:name w:val="Heading 2 green"/>
    <w:basedOn w:val="Heading2"/>
    <w:qFormat/>
    <w:rsid w:val="005F371A"/>
    <w:pPr>
      <w:pBdr>
        <w:top w:val="single" w:sz="4" w:space="1" w:color="auto"/>
        <w:left w:val="single" w:sz="4" w:space="4" w:color="auto"/>
        <w:bottom w:val="single" w:sz="4" w:space="1" w:color="auto"/>
        <w:right w:val="single" w:sz="4" w:space="4" w:color="auto"/>
      </w:pBdr>
      <w:shd w:val="clear" w:color="auto" w:fill="C5E0B3" w:themeFill="accent6" w:themeFillTint="66"/>
      <w:jc w:val="center"/>
    </w:pPr>
  </w:style>
  <w:style w:type="paragraph" w:customStyle="1" w:styleId="Heading4unnumbered">
    <w:name w:val="Heading 4 unnumbered"/>
    <w:basedOn w:val="Heading4"/>
    <w:link w:val="Heading4unnumberedChar"/>
    <w:qFormat/>
    <w:rsid w:val="008711FF"/>
    <w:pPr>
      <w:numPr>
        <w:numId w:val="0"/>
      </w:numPr>
      <w:ind w:left="426" w:hanging="426"/>
    </w:pPr>
    <w:rPr>
      <w:rFonts w:eastAsia="Palatino Linotype"/>
    </w:rPr>
  </w:style>
  <w:style w:type="character" w:customStyle="1" w:styleId="Heading4unnumberedChar">
    <w:name w:val="Heading 4 unnumbered Char"/>
    <w:basedOn w:val="Heading4Char"/>
    <w:link w:val="Heading4unnumbered"/>
    <w:rsid w:val="008711FF"/>
    <w:rPr>
      <w:rFonts w:ascii="Arial" w:eastAsia="Palatino Linotype" w:hAnsi="Arial" w:cs="Arial"/>
      <w:i/>
      <w:iCs/>
      <w:sz w:val="24"/>
      <w:szCs w:val="24"/>
    </w:rPr>
  </w:style>
  <w:style w:type="paragraph" w:customStyle="1" w:styleId="Heading4bold">
    <w:name w:val="Heading 4 bold"/>
    <w:basedOn w:val="Heading6"/>
    <w:link w:val="Heading4boldChar"/>
    <w:qFormat/>
    <w:rsid w:val="005403AF"/>
    <w:pPr>
      <w:spacing w:after="160"/>
      <w:outlineLvl w:val="3"/>
    </w:pPr>
    <w:rPr>
      <w:rFonts w:cs="Arial"/>
    </w:rPr>
  </w:style>
  <w:style w:type="character" w:customStyle="1" w:styleId="Heading4boldChar">
    <w:name w:val="Heading 4 bold Char"/>
    <w:basedOn w:val="Heading6Char"/>
    <w:link w:val="Heading4bold"/>
    <w:rsid w:val="005403AF"/>
    <w:rPr>
      <w:rFonts w:ascii="Arial" w:hAnsi="Arial" w:cs="Arial"/>
      <w:b/>
      <w:bCs/>
      <w:sz w:val="24"/>
      <w:szCs w:val="24"/>
      <w:lang w:eastAsia="en-US"/>
    </w:rPr>
  </w:style>
  <w:style w:type="paragraph" w:customStyle="1" w:styleId="Heaading2green">
    <w:name w:val="Heaading 2 green"/>
    <w:basedOn w:val="Normal"/>
    <w:qFormat/>
    <w:rsid w:val="005F371A"/>
    <w:pPr>
      <w:pBdr>
        <w:top w:val="single" w:sz="4" w:space="1" w:color="auto"/>
        <w:left w:val="single" w:sz="4" w:space="4" w:color="auto"/>
        <w:bottom w:val="single" w:sz="4" w:space="1" w:color="auto"/>
        <w:right w:val="single" w:sz="4" w:space="4" w:color="auto"/>
      </w:pBdr>
      <w:shd w:val="clear" w:color="auto" w:fill="C5E0B3" w:themeFill="accent6" w:themeFillTint="66"/>
      <w:jc w:val="center"/>
      <w:outlineLvl w:val="1"/>
    </w:pPr>
    <w:rPr>
      <w:rFonts w:ascii="Arial" w:hAnsi="Arial" w:cs="Arial"/>
      <w:b/>
      <w:sz w:val="40"/>
      <w:szCs w:val="40"/>
    </w:rPr>
  </w:style>
  <w:style w:type="paragraph" w:customStyle="1" w:styleId="Heading3green">
    <w:name w:val="Heading 3 green"/>
    <w:basedOn w:val="Normal"/>
    <w:qFormat/>
    <w:rsid w:val="00261631"/>
    <w:pPr>
      <w:pBdr>
        <w:top w:val="single" w:sz="4" w:space="1" w:color="auto"/>
        <w:left w:val="single" w:sz="4" w:space="4" w:color="auto"/>
        <w:bottom w:val="single" w:sz="4" w:space="1" w:color="auto"/>
        <w:right w:val="single" w:sz="4" w:space="4" w:color="auto"/>
      </w:pBdr>
      <w:shd w:val="clear" w:color="auto" w:fill="C5E0B3" w:themeFill="accent6" w:themeFillTint="66"/>
      <w:jc w:val="center"/>
      <w:outlineLvl w:val="1"/>
    </w:pPr>
    <w:rPr>
      <w:rFonts w:ascii="Arial" w:hAnsi="Arial" w:cs="Arial"/>
      <w:b/>
      <w:sz w:val="28"/>
      <w:szCs w:val="28"/>
    </w:rPr>
  </w:style>
  <w:style w:type="paragraph" w:customStyle="1" w:styleId="StyleHeading3green12pt">
    <w:name w:val="Style Heading 3 green + 12 pt"/>
    <w:basedOn w:val="Heading3green"/>
    <w:rsid w:val="002A6C4C"/>
    <w:rPr>
      <w:bCs/>
      <w:sz w:val="24"/>
    </w:rPr>
  </w:style>
  <w:style w:type="paragraph" w:customStyle="1" w:styleId="Heading3greennumbered">
    <w:name w:val="Heading 3 green numbered"/>
    <w:basedOn w:val="StyleHeading3green12pt"/>
    <w:qFormat/>
    <w:rsid w:val="000A0695"/>
    <w:pPr>
      <w:jc w:val="left"/>
      <w:outlineLvl w:val="2"/>
    </w:pPr>
    <w:rPr>
      <w:rFonts w:eastAsia="Palatino Linotype"/>
      <w:lang w:val="en-US"/>
    </w:rPr>
  </w:style>
  <w:style w:type="paragraph" w:customStyle="1" w:styleId="Style1">
    <w:name w:val="Style1"/>
    <w:basedOn w:val="Heading3greennumbered"/>
    <w:qFormat/>
    <w:rsid w:val="00924E51"/>
  </w:style>
  <w:style w:type="paragraph" w:customStyle="1" w:styleId="Heading5underline">
    <w:name w:val="Heading 5 underline"/>
    <w:basedOn w:val="Heading5"/>
    <w:rsid w:val="00716403"/>
    <w:rPr>
      <w:rFonts w:eastAsiaTheme="minorHAnsi"/>
      <w:b w:val="0"/>
      <w:bCs w:val="0"/>
      <w:w w:val="101"/>
      <w:u w:val="single"/>
    </w:rPr>
  </w:style>
  <w:style w:type="paragraph" w:customStyle="1" w:styleId="Heading4underline">
    <w:name w:val="Heading 4 underline"/>
    <w:basedOn w:val="NoSpacing"/>
    <w:rsid w:val="00474D1F"/>
    <w:pPr>
      <w:outlineLvl w:val="3"/>
    </w:pPr>
    <w:rPr>
      <w:rFonts w:ascii="Arial" w:hAnsi="Arial"/>
      <w:sz w:val="24"/>
      <w:u w:val="single"/>
    </w:rPr>
  </w:style>
  <w:style w:type="paragraph" w:customStyle="1" w:styleId="Body">
    <w:name w:val="Body"/>
    <w:autoRedefine/>
    <w:rsid w:val="00655E4C"/>
    <w:pPr>
      <w:numPr>
        <w:numId w:val="51"/>
      </w:numPr>
      <w:tabs>
        <w:tab w:val="left" w:pos="709"/>
        <w:tab w:val="left" w:pos="1417"/>
        <w:tab w:val="left" w:pos="2126"/>
        <w:tab w:val="left" w:pos="2835"/>
        <w:tab w:val="left" w:pos="3543"/>
        <w:tab w:val="left" w:pos="4252"/>
        <w:tab w:val="left" w:pos="4961"/>
        <w:tab w:val="left" w:pos="5669"/>
        <w:tab w:val="left" w:pos="6378"/>
        <w:tab w:val="left" w:pos="7087"/>
        <w:tab w:val="left" w:pos="7795"/>
      </w:tabs>
    </w:pPr>
    <w:rPr>
      <w:rFonts w:asciiTheme="minorHAnsi" w:eastAsia="ヒラギノ角ゴ Pro W3" w:hAnsiTheme="minorHAnsi" w:cstheme="minorHAnsi"/>
      <w:sz w:val="24"/>
      <w:szCs w:val="24"/>
    </w:rPr>
  </w:style>
  <w:style w:type="paragraph" w:customStyle="1" w:styleId="TfGMDocumentHeading">
    <w:name w:val="##TfGM Document Heading"/>
    <w:next w:val="8TfGMStandardDocumentText"/>
    <w:qFormat/>
    <w:rsid w:val="00016C24"/>
    <w:pPr>
      <w:spacing w:after="480"/>
      <w:jc w:val="both"/>
    </w:pPr>
    <w:rPr>
      <w:rFonts w:ascii="Calibri" w:eastAsiaTheme="majorEastAsia" w:hAnsi="Calibri" w:cstheme="majorBidi"/>
      <w:b/>
      <w:noProof/>
      <w:sz w:val="26"/>
      <w:szCs w:val="44"/>
      <w:lang w:eastAsia="en-US"/>
    </w:rPr>
  </w:style>
  <w:style w:type="paragraph" w:customStyle="1" w:styleId="pf0">
    <w:name w:val="pf0"/>
    <w:basedOn w:val="Normal"/>
    <w:rsid w:val="00BE35F9"/>
    <w:pPr>
      <w:spacing w:before="100" w:beforeAutospacing="1" w:after="100" w:afterAutospacing="1"/>
    </w:pPr>
    <w:rPr>
      <w:lang w:eastAsia="en-GB"/>
    </w:rPr>
  </w:style>
  <w:style w:type="character" w:customStyle="1" w:styleId="cf21">
    <w:name w:val="cf21"/>
    <w:basedOn w:val="DefaultParagraphFont"/>
    <w:rsid w:val="00BE35F9"/>
    <w:rPr>
      <w:rFonts w:ascii="Segoe UI" w:hAnsi="Segoe UI" w:cs="Segoe UI" w:hint="default"/>
      <w:color w:val="4472C4"/>
      <w:sz w:val="18"/>
      <w:szCs w:val="18"/>
    </w:rPr>
  </w:style>
  <w:style w:type="paragraph" w:customStyle="1" w:styleId="Heading2numbered">
    <w:name w:val="Heading 2 numbered"/>
    <w:basedOn w:val="Heading2"/>
    <w:qFormat/>
    <w:rsid w:val="00BE35F9"/>
    <w:pPr>
      <w:numPr>
        <w:numId w:val="70"/>
      </w:numPr>
      <w:spacing w:before="119" w:after="119" w:line="360" w:lineRule="auto"/>
    </w:pPr>
    <w:rPr>
      <w:rFonts w:cs="Times New Roman"/>
      <w:color w:val="262626" w:themeColor="text1" w:themeTint="D9"/>
      <w:sz w:val="32"/>
      <w:szCs w:val="24"/>
      <w:lang w:eastAsia="en-GB"/>
    </w:rPr>
  </w:style>
  <w:style w:type="paragraph" w:customStyle="1" w:styleId="Heading3Numbered">
    <w:name w:val="Heading 3 Numbered"/>
    <w:basedOn w:val="Heading3"/>
    <w:qFormat/>
    <w:rsid w:val="00BE35F9"/>
    <w:pPr>
      <w:numPr>
        <w:ilvl w:val="1"/>
        <w:numId w:val="70"/>
      </w:numPr>
      <w:spacing w:before="160" w:after="120" w:line="360" w:lineRule="auto"/>
    </w:pPr>
    <w:rPr>
      <w:rFonts w:eastAsiaTheme="majorEastAsia" w:cstheme="majorBidi"/>
      <w:bCs w:val="0"/>
      <w:color w:val="262626" w:themeColor="text1" w:themeTint="D9"/>
      <w:sz w:val="28"/>
      <w:szCs w:val="24"/>
      <w:lang w:eastAsia="en-GB"/>
    </w:rPr>
  </w:style>
  <w:style w:type="paragraph" w:customStyle="1" w:styleId="Heading4Numbered">
    <w:name w:val="Heading 4 Numbered"/>
    <w:basedOn w:val="Heading4"/>
    <w:qFormat/>
    <w:rsid w:val="00BE35F9"/>
    <w:pPr>
      <w:keepNext/>
      <w:keepLines/>
      <w:numPr>
        <w:ilvl w:val="2"/>
        <w:numId w:val="70"/>
      </w:numPr>
      <w:spacing w:before="40" w:after="0" w:line="360" w:lineRule="auto"/>
      <w:textAlignment w:val="auto"/>
    </w:pPr>
    <w:rPr>
      <w:rFonts w:eastAsiaTheme="majorEastAsia" w:cstheme="majorBidi"/>
      <w:b/>
      <w:i w:val="0"/>
      <w:color w:val="262626" w:themeColor="text1" w:themeTint="D9"/>
    </w:rPr>
  </w:style>
  <w:style w:type="paragraph" w:customStyle="1" w:styleId="NormalNumbered">
    <w:name w:val="Normal Numbered"/>
    <w:basedOn w:val="Normal"/>
    <w:qFormat/>
    <w:rsid w:val="00BE35F9"/>
    <w:pPr>
      <w:spacing w:before="119" w:after="119" w:line="360" w:lineRule="auto"/>
      <w:ind w:left="1224" w:hanging="504"/>
    </w:pPr>
    <w:rPr>
      <w:rFonts w:ascii="Arial" w:hAnsi="Arial"/>
      <w:color w:val="262626" w:themeColor="text1" w:themeTint="D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7080">
      <w:bodyDiv w:val="1"/>
      <w:marLeft w:val="0"/>
      <w:marRight w:val="0"/>
      <w:marTop w:val="0"/>
      <w:marBottom w:val="0"/>
      <w:divBdr>
        <w:top w:val="none" w:sz="0" w:space="0" w:color="auto"/>
        <w:left w:val="none" w:sz="0" w:space="0" w:color="auto"/>
        <w:bottom w:val="none" w:sz="0" w:space="0" w:color="auto"/>
        <w:right w:val="none" w:sz="0" w:space="0" w:color="auto"/>
      </w:divBdr>
    </w:div>
    <w:div w:id="7097570">
      <w:bodyDiv w:val="1"/>
      <w:marLeft w:val="0"/>
      <w:marRight w:val="0"/>
      <w:marTop w:val="0"/>
      <w:marBottom w:val="0"/>
      <w:divBdr>
        <w:top w:val="none" w:sz="0" w:space="0" w:color="auto"/>
        <w:left w:val="none" w:sz="0" w:space="0" w:color="auto"/>
        <w:bottom w:val="none" w:sz="0" w:space="0" w:color="auto"/>
        <w:right w:val="none" w:sz="0" w:space="0" w:color="auto"/>
      </w:divBdr>
    </w:div>
    <w:div w:id="8875001">
      <w:bodyDiv w:val="1"/>
      <w:marLeft w:val="0"/>
      <w:marRight w:val="0"/>
      <w:marTop w:val="0"/>
      <w:marBottom w:val="0"/>
      <w:divBdr>
        <w:top w:val="none" w:sz="0" w:space="0" w:color="auto"/>
        <w:left w:val="none" w:sz="0" w:space="0" w:color="auto"/>
        <w:bottom w:val="none" w:sz="0" w:space="0" w:color="auto"/>
        <w:right w:val="none" w:sz="0" w:space="0" w:color="auto"/>
      </w:divBdr>
    </w:div>
    <w:div w:id="13268062">
      <w:bodyDiv w:val="1"/>
      <w:marLeft w:val="0"/>
      <w:marRight w:val="0"/>
      <w:marTop w:val="0"/>
      <w:marBottom w:val="0"/>
      <w:divBdr>
        <w:top w:val="none" w:sz="0" w:space="0" w:color="auto"/>
        <w:left w:val="none" w:sz="0" w:space="0" w:color="auto"/>
        <w:bottom w:val="none" w:sz="0" w:space="0" w:color="auto"/>
        <w:right w:val="none" w:sz="0" w:space="0" w:color="auto"/>
      </w:divBdr>
    </w:div>
    <w:div w:id="13848196">
      <w:bodyDiv w:val="1"/>
      <w:marLeft w:val="0"/>
      <w:marRight w:val="0"/>
      <w:marTop w:val="0"/>
      <w:marBottom w:val="0"/>
      <w:divBdr>
        <w:top w:val="none" w:sz="0" w:space="0" w:color="auto"/>
        <w:left w:val="none" w:sz="0" w:space="0" w:color="auto"/>
        <w:bottom w:val="none" w:sz="0" w:space="0" w:color="auto"/>
        <w:right w:val="none" w:sz="0" w:space="0" w:color="auto"/>
      </w:divBdr>
    </w:div>
    <w:div w:id="21829445">
      <w:bodyDiv w:val="1"/>
      <w:marLeft w:val="0"/>
      <w:marRight w:val="0"/>
      <w:marTop w:val="0"/>
      <w:marBottom w:val="0"/>
      <w:divBdr>
        <w:top w:val="none" w:sz="0" w:space="0" w:color="auto"/>
        <w:left w:val="none" w:sz="0" w:space="0" w:color="auto"/>
        <w:bottom w:val="none" w:sz="0" w:space="0" w:color="auto"/>
        <w:right w:val="none" w:sz="0" w:space="0" w:color="auto"/>
      </w:divBdr>
    </w:div>
    <w:div w:id="27947757">
      <w:bodyDiv w:val="1"/>
      <w:marLeft w:val="0"/>
      <w:marRight w:val="0"/>
      <w:marTop w:val="0"/>
      <w:marBottom w:val="0"/>
      <w:divBdr>
        <w:top w:val="none" w:sz="0" w:space="0" w:color="auto"/>
        <w:left w:val="none" w:sz="0" w:space="0" w:color="auto"/>
        <w:bottom w:val="none" w:sz="0" w:space="0" w:color="auto"/>
        <w:right w:val="none" w:sz="0" w:space="0" w:color="auto"/>
      </w:divBdr>
    </w:div>
    <w:div w:id="33893893">
      <w:bodyDiv w:val="1"/>
      <w:marLeft w:val="0"/>
      <w:marRight w:val="0"/>
      <w:marTop w:val="0"/>
      <w:marBottom w:val="0"/>
      <w:divBdr>
        <w:top w:val="none" w:sz="0" w:space="0" w:color="auto"/>
        <w:left w:val="none" w:sz="0" w:space="0" w:color="auto"/>
        <w:bottom w:val="none" w:sz="0" w:space="0" w:color="auto"/>
        <w:right w:val="none" w:sz="0" w:space="0" w:color="auto"/>
      </w:divBdr>
    </w:div>
    <w:div w:id="45840316">
      <w:bodyDiv w:val="1"/>
      <w:marLeft w:val="0"/>
      <w:marRight w:val="0"/>
      <w:marTop w:val="0"/>
      <w:marBottom w:val="0"/>
      <w:divBdr>
        <w:top w:val="none" w:sz="0" w:space="0" w:color="auto"/>
        <w:left w:val="none" w:sz="0" w:space="0" w:color="auto"/>
        <w:bottom w:val="none" w:sz="0" w:space="0" w:color="auto"/>
        <w:right w:val="none" w:sz="0" w:space="0" w:color="auto"/>
      </w:divBdr>
    </w:div>
    <w:div w:id="46077213">
      <w:bodyDiv w:val="1"/>
      <w:marLeft w:val="0"/>
      <w:marRight w:val="0"/>
      <w:marTop w:val="0"/>
      <w:marBottom w:val="0"/>
      <w:divBdr>
        <w:top w:val="none" w:sz="0" w:space="0" w:color="auto"/>
        <w:left w:val="none" w:sz="0" w:space="0" w:color="auto"/>
        <w:bottom w:val="none" w:sz="0" w:space="0" w:color="auto"/>
        <w:right w:val="none" w:sz="0" w:space="0" w:color="auto"/>
      </w:divBdr>
    </w:div>
    <w:div w:id="46606448">
      <w:bodyDiv w:val="1"/>
      <w:marLeft w:val="0"/>
      <w:marRight w:val="0"/>
      <w:marTop w:val="0"/>
      <w:marBottom w:val="0"/>
      <w:divBdr>
        <w:top w:val="none" w:sz="0" w:space="0" w:color="auto"/>
        <w:left w:val="none" w:sz="0" w:space="0" w:color="auto"/>
        <w:bottom w:val="none" w:sz="0" w:space="0" w:color="auto"/>
        <w:right w:val="none" w:sz="0" w:space="0" w:color="auto"/>
      </w:divBdr>
    </w:div>
    <w:div w:id="50077004">
      <w:bodyDiv w:val="1"/>
      <w:marLeft w:val="0"/>
      <w:marRight w:val="0"/>
      <w:marTop w:val="0"/>
      <w:marBottom w:val="0"/>
      <w:divBdr>
        <w:top w:val="none" w:sz="0" w:space="0" w:color="auto"/>
        <w:left w:val="none" w:sz="0" w:space="0" w:color="auto"/>
        <w:bottom w:val="none" w:sz="0" w:space="0" w:color="auto"/>
        <w:right w:val="none" w:sz="0" w:space="0" w:color="auto"/>
      </w:divBdr>
    </w:div>
    <w:div w:id="52242341">
      <w:bodyDiv w:val="1"/>
      <w:marLeft w:val="0"/>
      <w:marRight w:val="0"/>
      <w:marTop w:val="0"/>
      <w:marBottom w:val="0"/>
      <w:divBdr>
        <w:top w:val="none" w:sz="0" w:space="0" w:color="auto"/>
        <w:left w:val="none" w:sz="0" w:space="0" w:color="auto"/>
        <w:bottom w:val="none" w:sz="0" w:space="0" w:color="auto"/>
        <w:right w:val="none" w:sz="0" w:space="0" w:color="auto"/>
      </w:divBdr>
    </w:div>
    <w:div w:id="53164649">
      <w:bodyDiv w:val="1"/>
      <w:marLeft w:val="0"/>
      <w:marRight w:val="0"/>
      <w:marTop w:val="0"/>
      <w:marBottom w:val="0"/>
      <w:divBdr>
        <w:top w:val="none" w:sz="0" w:space="0" w:color="auto"/>
        <w:left w:val="none" w:sz="0" w:space="0" w:color="auto"/>
        <w:bottom w:val="none" w:sz="0" w:space="0" w:color="auto"/>
        <w:right w:val="none" w:sz="0" w:space="0" w:color="auto"/>
      </w:divBdr>
    </w:div>
    <w:div w:id="54398937">
      <w:bodyDiv w:val="1"/>
      <w:marLeft w:val="0"/>
      <w:marRight w:val="0"/>
      <w:marTop w:val="0"/>
      <w:marBottom w:val="0"/>
      <w:divBdr>
        <w:top w:val="none" w:sz="0" w:space="0" w:color="auto"/>
        <w:left w:val="none" w:sz="0" w:space="0" w:color="auto"/>
        <w:bottom w:val="none" w:sz="0" w:space="0" w:color="auto"/>
        <w:right w:val="none" w:sz="0" w:space="0" w:color="auto"/>
      </w:divBdr>
    </w:div>
    <w:div w:id="54672385">
      <w:bodyDiv w:val="1"/>
      <w:marLeft w:val="0"/>
      <w:marRight w:val="0"/>
      <w:marTop w:val="0"/>
      <w:marBottom w:val="0"/>
      <w:divBdr>
        <w:top w:val="none" w:sz="0" w:space="0" w:color="auto"/>
        <w:left w:val="none" w:sz="0" w:space="0" w:color="auto"/>
        <w:bottom w:val="none" w:sz="0" w:space="0" w:color="auto"/>
        <w:right w:val="none" w:sz="0" w:space="0" w:color="auto"/>
      </w:divBdr>
    </w:div>
    <w:div w:id="55708806">
      <w:bodyDiv w:val="1"/>
      <w:marLeft w:val="0"/>
      <w:marRight w:val="0"/>
      <w:marTop w:val="0"/>
      <w:marBottom w:val="0"/>
      <w:divBdr>
        <w:top w:val="none" w:sz="0" w:space="0" w:color="auto"/>
        <w:left w:val="none" w:sz="0" w:space="0" w:color="auto"/>
        <w:bottom w:val="none" w:sz="0" w:space="0" w:color="auto"/>
        <w:right w:val="none" w:sz="0" w:space="0" w:color="auto"/>
      </w:divBdr>
    </w:div>
    <w:div w:id="58328540">
      <w:bodyDiv w:val="1"/>
      <w:marLeft w:val="0"/>
      <w:marRight w:val="0"/>
      <w:marTop w:val="0"/>
      <w:marBottom w:val="0"/>
      <w:divBdr>
        <w:top w:val="none" w:sz="0" w:space="0" w:color="auto"/>
        <w:left w:val="none" w:sz="0" w:space="0" w:color="auto"/>
        <w:bottom w:val="none" w:sz="0" w:space="0" w:color="auto"/>
        <w:right w:val="none" w:sz="0" w:space="0" w:color="auto"/>
      </w:divBdr>
    </w:div>
    <w:div w:id="59450139">
      <w:bodyDiv w:val="1"/>
      <w:marLeft w:val="0"/>
      <w:marRight w:val="0"/>
      <w:marTop w:val="0"/>
      <w:marBottom w:val="0"/>
      <w:divBdr>
        <w:top w:val="none" w:sz="0" w:space="0" w:color="auto"/>
        <w:left w:val="none" w:sz="0" w:space="0" w:color="auto"/>
        <w:bottom w:val="none" w:sz="0" w:space="0" w:color="auto"/>
        <w:right w:val="none" w:sz="0" w:space="0" w:color="auto"/>
      </w:divBdr>
    </w:div>
    <w:div w:id="70087583">
      <w:bodyDiv w:val="1"/>
      <w:marLeft w:val="0"/>
      <w:marRight w:val="0"/>
      <w:marTop w:val="0"/>
      <w:marBottom w:val="0"/>
      <w:divBdr>
        <w:top w:val="none" w:sz="0" w:space="0" w:color="auto"/>
        <w:left w:val="none" w:sz="0" w:space="0" w:color="auto"/>
        <w:bottom w:val="none" w:sz="0" w:space="0" w:color="auto"/>
        <w:right w:val="none" w:sz="0" w:space="0" w:color="auto"/>
      </w:divBdr>
    </w:div>
    <w:div w:id="73088208">
      <w:bodyDiv w:val="1"/>
      <w:marLeft w:val="0"/>
      <w:marRight w:val="0"/>
      <w:marTop w:val="0"/>
      <w:marBottom w:val="0"/>
      <w:divBdr>
        <w:top w:val="none" w:sz="0" w:space="0" w:color="auto"/>
        <w:left w:val="none" w:sz="0" w:space="0" w:color="auto"/>
        <w:bottom w:val="none" w:sz="0" w:space="0" w:color="auto"/>
        <w:right w:val="none" w:sz="0" w:space="0" w:color="auto"/>
      </w:divBdr>
    </w:div>
    <w:div w:id="78260320">
      <w:bodyDiv w:val="1"/>
      <w:marLeft w:val="0"/>
      <w:marRight w:val="0"/>
      <w:marTop w:val="0"/>
      <w:marBottom w:val="0"/>
      <w:divBdr>
        <w:top w:val="none" w:sz="0" w:space="0" w:color="auto"/>
        <w:left w:val="none" w:sz="0" w:space="0" w:color="auto"/>
        <w:bottom w:val="none" w:sz="0" w:space="0" w:color="auto"/>
        <w:right w:val="none" w:sz="0" w:space="0" w:color="auto"/>
      </w:divBdr>
    </w:div>
    <w:div w:id="83965498">
      <w:bodyDiv w:val="1"/>
      <w:marLeft w:val="0"/>
      <w:marRight w:val="0"/>
      <w:marTop w:val="0"/>
      <w:marBottom w:val="0"/>
      <w:divBdr>
        <w:top w:val="none" w:sz="0" w:space="0" w:color="auto"/>
        <w:left w:val="none" w:sz="0" w:space="0" w:color="auto"/>
        <w:bottom w:val="none" w:sz="0" w:space="0" w:color="auto"/>
        <w:right w:val="none" w:sz="0" w:space="0" w:color="auto"/>
      </w:divBdr>
    </w:div>
    <w:div w:id="85541157">
      <w:bodyDiv w:val="1"/>
      <w:marLeft w:val="0"/>
      <w:marRight w:val="0"/>
      <w:marTop w:val="0"/>
      <w:marBottom w:val="0"/>
      <w:divBdr>
        <w:top w:val="none" w:sz="0" w:space="0" w:color="auto"/>
        <w:left w:val="none" w:sz="0" w:space="0" w:color="auto"/>
        <w:bottom w:val="none" w:sz="0" w:space="0" w:color="auto"/>
        <w:right w:val="none" w:sz="0" w:space="0" w:color="auto"/>
      </w:divBdr>
    </w:div>
    <w:div w:id="93090303">
      <w:bodyDiv w:val="1"/>
      <w:marLeft w:val="0"/>
      <w:marRight w:val="0"/>
      <w:marTop w:val="0"/>
      <w:marBottom w:val="0"/>
      <w:divBdr>
        <w:top w:val="none" w:sz="0" w:space="0" w:color="auto"/>
        <w:left w:val="none" w:sz="0" w:space="0" w:color="auto"/>
        <w:bottom w:val="none" w:sz="0" w:space="0" w:color="auto"/>
        <w:right w:val="none" w:sz="0" w:space="0" w:color="auto"/>
      </w:divBdr>
    </w:div>
    <w:div w:id="97801244">
      <w:bodyDiv w:val="1"/>
      <w:marLeft w:val="0"/>
      <w:marRight w:val="0"/>
      <w:marTop w:val="0"/>
      <w:marBottom w:val="0"/>
      <w:divBdr>
        <w:top w:val="none" w:sz="0" w:space="0" w:color="auto"/>
        <w:left w:val="none" w:sz="0" w:space="0" w:color="auto"/>
        <w:bottom w:val="none" w:sz="0" w:space="0" w:color="auto"/>
        <w:right w:val="none" w:sz="0" w:space="0" w:color="auto"/>
      </w:divBdr>
    </w:div>
    <w:div w:id="105656584">
      <w:bodyDiv w:val="1"/>
      <w:marLeft w:val="0"/>
      <w:marRight w:val="0"/>
      <w:marTop w:val="0"/>
      <w:marBottom w:val="0"/>
      <w:divBdr>
        <w:top w:val="none" w:sz="0" w:space="0" w:color="auto"/>
        <w:left w:val="none" w:sz="0" w:space="0" w:color="auto"/>
        <w:bottom w:val="none" w:sz="0" w:space="0" w:color="auto"/>
        <w:right w:val="none" w:sz="0" w:space="0" w:color="auto"/>
      </w:divBdr>
    </w:div>
    <w:div w:id="107819659">
      <w:bodyDiv w:val="1"/>
      <w:marLeft w:val="0"/>
      <w:marRight w:val="0"/>
      <w:marTop w:val="0"/>
      <w:marBottom w:val="0"/>
      <w:divBdr>
        <w:top w:val="none" w:sz="0" w:space="0" w:color="auto"/>
        <w:left w:val="none" w:sz="0" w:space="0" w:color="auto"/>
        <w:bottom w:val="none" w:sz="0" w:space="0" w:color="auto"/>
        <w:right w:val="none" w:sz="0" w:space="0" w:color="auto"/>
      </w:divBdr>
    </w:div>
    <w:div w:id="110171758">
      <w:bodyDiv w:val="1"/>
      <w:marLeft w:val="0"/>
      <w:marRight w:val="0"/>
      <w:marTop w:val="0"/>
      <w:marBottom w:val="0"/>
      <w:divBdr>
        <w:top w:val="none" w:sz="0" w:space="0" w:color="auto"/>
        <w:left w:val="none" w:sz="0" w:space="0" w:color="auto"/>
        <w:bottom w:val="none" w:sz="0" w:space="0" w:color="auto"/>
        <w:right w:val="none" w:sz="0" w:space="0" w:color="auto"/>
      </w:divBdr>
    </w:div>
    <w:div w:id="124008782">
      <w:bodyDiv w:val="1"/>
      <w:marLeft w:val="0"/>
      <w:marRight w:val="0"/>
      <w:marTop w:val="0"/>
      <w:marBottom w:val="0"/>
      <w:divBdr>
        <w:top w:val="none" w:sz="0" w:space="0" w:color="auto"/>
        <w:left w:val="none" w:sz="0" w:space="0" w:color="auto"/>
        <w:bottom w:val="none" w:sz="0" w:space="0" w:color="auto"/>
        <w:right w:val="none" w:sz="0" w:space="0" w:color="auto"/>
      </w:divBdr>
    </w:div>
    <w:div w:id="128401786">
      <w:bodyDiv w:val="1"/>
      <w:marLeft w:val="0"/>
      <w:marRight w:val="0"/>
      <w:marTop w:val="0"/>
      <w:marBottom w:val="0"/>
      <w:divBdr>
        <w:top w:val="none" w:sz="0" w:space="0" w:color="auto"/>
        <w:left w:val="none" w:sz="0" w:space="0" w:color="auto"/>
        <w:bottom w:val="none" w:sz="0" w:space="0" w:color="auto"/>
        <w:right w:val="none" w:sz="0" w:space="0" w:color="auto"/>
      </w:divBdr>
    </w:div>
    <w:div w:id="131871734">
      <w:bodyDiv w:val="1"/>
      <w:marLeft w:val="0"/>
      <w:marRight w:val="0"/>
      <w:marTop w:val="0"/>
      <w:marBottom w:val="0"/>
      <w:divBdr>
        <w:top w:val="none" w:sz="0" w:space="0" w:color="auto"/>
        <w:left w:val="none" w:sz="0" w:space="0" w:color="auto"/>
        <w:bottom w:val="none" w:sz="0" w:space="0" w:color="auto"/>
        <w:right w:val="none" w:sz="0" w:space="0" w:color="auto"/>
      </w:divBdr>
    </w:div>
    <w:div w:id="132217908">
      <w:bodyDiv w:val="1"/>
      <w:marLeft w:val="0"/>
      <w:marRight w:val="0"/>
      <w:marTop w:val="0"/>
      <w:marBottom w:val="0"/>
      <w:divBdr>
        <w:top w:val="none" w:sz="0" w:space="0" w:color="auto"/>
        <w:left w:val="none" w:sz="0" w:space="0" w:color="auto"/>
        <w:bottom w:val="none" w:sz="0" w:space="0" w:color="auto"/>
        <w:right w:val="none" w:sz="0" w:space="0" w:color="auto"/>
      </w:divBdr>
    </w:div>
    <w:div w:id="135151455">
      <w:bodyDiv w:val="1"/>
      <w:marLeft w:val="0"/>
      <w:marRight w:val="0"/>
      <w:marTop w:val="0"/>
      <w:marBottom w:val="0"/>
      <w:divBdr>
        <w:top w:val="none" w:sz="0" w:space="0" w:color="auto"/>
        <w:left w:val="none" w:sz="0" w:space="0" w:color="auto"/>
        <w:bottom w:val="none" w:sz="0" w:space="0" w:color="auto"/>
        <w:right w:val="none" w:sz="0" w:space="0" w:color="auto"/>
      </w:divBdr>
    </w:div>
    <w:div w:id="137846397">
      <w:bodyDiv w:val="1"/>
      <w:marLeft w:val="0"/>
      <w:marRight w:val="0"/>
      <w:marTop w:val="0"/>
      <w:marBottom w:val="0"/>
      <w:divBdr>
        <w:top w:val="none" w:sz="0" w:space="0" w:color="auto"/>
        <w:left w:val="none" w:sz="0" w:space="0" w:color="auto"/>
        <w:bottom w:val="none" w:sz="0" w:space="0" w:color="auto"/>
        <w:right w:val="none" w:sz="0" w:space="0" w:color="auto"/>
      </w:divBdr>
    </w:div>
    <w:div w:id="138378769">
      <w:bodyDiv w:val="1"/>
      <w:marLeft w:val="0"/>
      <w:marRight w:val="0"/>
      <w:marTop w:val="0"/>
      <w:marBottom w:val="0"/>
      <w:divBdr>
        <w:top w:val="none" w:sz="0" w:space="0" w:color="auto"/>
        <w:left w:val="none" w:sz="0" w:space="0" w:color="auto"/>
        <w:bottom w:val="none" w:sz="0" w:space="0" w:color="auto"/>
        <w:right w:val="none" w:sz="0" w:space="0" w:color="auto"/>
      </w:divBdr>
    </w:div>
    <w:div w:id="153491245">
      <w:bodyDiv w:val="1"/>
      <w:marLeft w:val="0"/>
      <w:marRight w:val="0"/>
      <w:marTop w:val="0"/>
      <w:marBottom w:val="0"/>
      <w:divBdr>
        <w:top w:val="none" w:sz="0" w:space="0" w:color="auto"/>
        <w:left w:val="none" w:sz="0" w:space="0" w:color="auto"/>
        <w:bottom w:val="none" w:sz="0" w:space="0" w:color="auto"/>
        <w:right w:val="none" w:sz="0" w:space="0" w:color="auto"/>
      </w:divBdr>
    </w:div>
    <w:div w:id="157815081">
      <w:bodyDiv w:val="1"/>
      <w:marLeft w:val="0"/>
      <w:marRight w:val="0"/>
      <w:marTop w:val="0"/>
      <w:marBottom w:val="0"/>
      <w:divBdr>
        <w:top w:val="none" w:sz="0" w:space="0" w:color="auto"/>
        <w:left w:val="none" w:sz="0" w:space="0" w:color="auto"/>
        <w:bottom w:val="none" w:sz="0" w:space="0" w:color="auto"/>
        <w:right w:val="none" w:sz="0" w:space="0" w:color="auto"/>
      </w:divBdr>
    </w:div>
    <w:div w:id="162475298">
      <w:bodyDiv w:val="1"/>
      <w:marLeft w:val="0"/>
      <w:marRight w:val="0"/>
      <w:marTop w:val="0"/>
      <w:marBottom w:val="0"/>
      <w:divBdr>
        <w:top w:val="none" w:sz="0" w:space="0" w:color="auto"/>
        <w:left w:val="none" w:sz="0" w:space="0" w:color="auto"/>
        <w:bottom w:val="none" w:sz="0" w:space="0" w:color="auto"/>
        <w:right w:val="none" w:sz="0" w:space="0" w:color="auto"/>
      </w:divBdr>
    </w:div>
    <w:div w:id="169106884">
      <w:bodyDiv w:val="1"/>
      <w:marLeft w:val="0"/>
      <w:marRight w:val="0"/>
      <w:marTop w:val="0"/>
      <w:marBottom w:val="0"/>
      <w:divBdr>
        <w:top w:val="none" w:sz="0" w:space="0" w:color="auto"/>
        <w:left w:val="none" w:sz="0" w:space="0" w:color="auto"/>
        <w:bottom w:val="none" w:sz="0" w:space="0" w:color="auto"/>
        <w:right w:val="none" w:sz="0" w:space="0" w:color="auto"/>
      </w:divBdr>
    </w:div>
    <w:div w:id="169679983">
      <w:bodyDiv w:val="1"/>
      <w:marLeft w:val="0"/>
      <w:marRight w:val="0"/>
      <w:marTop w:val="0"/>
      <w:marBottom w:val="0"/>
      <w:divBdr>
        <w:top w:val="none" w:sz="0" w:space="0" w:color="auto"/>
        <w:left w:val="none" w:sz="0" w:space="0" w:color="auto"/>
        <w:bottom w:val="none" w:sz="0" w:space="0" w:color="auto"/>
        <w:right w:val="none" w:sz="0" w:space="0" w:color="auto"/>
      </w:divBdr>
    </w:div>
    <w:div w:id="172190011">
      <w:bodyDiv w:val="1"/>
      <w:marLeft w:val="0"/>
      <w:marRight w:val="0"/>
      <w:marTop w:val="0"/>
      <w:marBottom w:val="0"/>
      <w:divBdr>
        <w:top w:val="none" w:sz="0" w:space="0" w:color="auto"/>
        <w:left w:val="none" w:sz="0" w:space="0" w:color="auto"/>
        <w:bottom w:val="none" w:sz="0" w:space="0" w:color="auto"/>
        <w:right w:val="none" w:sz="0" w:space="0" w:color="auto"/>
      </w:divBdr>
    </w:div>
    <w:div w:id="174392515">
      <w:bodyDiv w:val="1"/>
      <w:marLeft w:val="0"/>
      <w:marRight w:val="0"/>
      <w:marTop w:val="0"/>
      <w:marBottom w:val="0"/>
      <w:divBdr>
        <w:top w:val="none" w:sz="0" w:space="0" w:color="auto"/>
        <w:left w:val="none" w:sz="0" w:space="0" w:color="auto"/>
        <w:bottom w:val="none" w:sz="0" w:space="0" w:color="auto"/>
        <w:right w:val="none" w:sz="0" w:space="0" w:color="auto"/>
      </w:divBdr>
    </w:div>
    <w:div w:id="177088709">
      <w:bodyDiv w:val="1"/>
      <w:marLeft w:val="0"/>
      <w:marRight w:val="0"/>
      <w:marTop w:val="0"/>
      <w:marBottom w:val="0"/>
      <w:divBdr>
        <w:top w:val="none" w:sz="0" w:space="0" w:color="auto"/>
        <w:left w:val="none" w:sz="0" w:space="0" w:color="auto"/>
        <w:bottom w:val="none" w:sz="0" w:space="0" w:color="auto"/>
        <w:right w:val="none" w:sz="0" w:space="0" w:color="auto"/>
      </w:divBdr>
    </w:div>
    <w:div w:id="178860949">
      <w:bodyDiv w:val="1"/>
      <w:marLeft w:val="0"/>
      <w:marRight w:val="0"/>
      <w:marTop w:val="0"/>
      <w:marBottom w:val="0"/>
      <w:divBdr>
        <w:top w:val="none" w:sz="0" w:space="0" w:color="auto"/>
        <w:left w:val="none" w:sz="0" w:space="0" w:color="auto"/>
        <w:bottom w:val="none" w:sz="0" w:space="0" w:color="auto"/>
        <w:right w:val="none" w:sz="0" w:space="0" w:color="auto"/>
      </w:divBdr>
    </w:div>
    <w:div w:id="186797251">
      <w:bodyDiv w:val="1"/>
      <w:marLeft w:val="0"/>
      <w:marRight w:val="0"/>
      <w:marTop w:val="0"/>
      <w:marBottom w:val="0"/>
      <w:divBdr>
        <w:top w:val="none" w:sz="0" w:space="0" w:color="auto"/>
        <w:left w:val="none" w:sz="0" w:space="0" w:color="auto"/>
        <w:bottom w:val="none" w:sz="0" w:space="0" w:color="auto"/>
        <w:right w:val="none" w:sz="0" w:space="0" w:color="auto"/>
      </w:divBdr>
    </w:div>
    <w:div w:id="187569440">
      <w:bodyDiv w:val="1"/>
      <w:marLeft w:val="0"/>
      <w:marRight w:val="0"/>
      <w:marTop w:val="0"/>
      <w:marBottom w:val="0"/>
      <w:divBdr>
        <w:top w:val="none" w:sz="0" w:space="0" w:color="auto"/>
        <w:left w:val="none" w:sz="0" w:space="0" w:color="auto"/>
        <w:bottom w:val="none" w:sz="0" w:space="0" w:color="auto"/>
        <w:right w:val="none" w:sz="0" w:space="0" w:color="auto"/>
      </w:divBdr>
    </w:div>
    <w:div w:id="193463822">
      <w:bodyDiv w:val="1"/>
      <w:marLeft w:val="0"/>
      <w:marRight w:val="0"/>
      <w:marTop w:val="0"/>
      <w:marBottom w:val="0"/>
      <w:divBdr>
        <w:top w:val="none" w:sz="0" w:space="0" w:color="auto"/>
        <w:left w:val="none" w:sz="0" w:space="0" w:color="auto"/>
        <w:bottom w:val="none" w:sz="0" w:space="0" w:color="auto"/>
        <w:right w:val="none" w:sz="0" w:space="0" w:color="auto"/>
      </w:divBdr>
    </w:div>
    <w:div w:id="204224156">
      <w:bodyDiv w:val="1"/>
      <w:marLeft w:val="0"/>
      <w:marRight w:val="0"/>
      <w:marTop w:val="0"/>
      <w:marBottom w:val="0"/>
      <w:divBdr>
        <w:top w:val="none" w:sz="0" w:space="0" w:color="auto"/>
        <w:left w:val="none" w:sz="0" w:space="0" w:color="auto"/>
        <w:bottom w:val="none" w:sz="0" w:space="0" w:color="auto"/>
        <w:right w:val="none" w:sz="0" w:space="0" w:color="auto"/>
      </w:divBdr>
    </w:div>
    <w:div w:id="206333564">
      <w:bodyDiv w:val="1"/>
      <w:marLeft w:val="0"/>
      <w:marRight w:val="0"/>
      <w:marTop w:val="0"/>
      <w:marBottom w:val="0"/>
      <w:divBdr>
        <w:top w:val="none" w:sz="0" w:space="0" w:color="auto"/>
        <w:left w:val="none" w:sz="0" w:space="0" w:color="auto"/>
        <w:bottom w:val="none" w:sz="0" w:space="0" w:color="auto"/>
        <w:right w:val="none" w:sz="0" w:space="0" w:color="auto"/>
      </w:divBdr>
    </w:div>
    <w:div w:id="208035555">
      <w:bodyDiv w:val="1"/>
      <w:marLeft w:val="0"/>
      <w:marRight w:val="0"/>
      <w:marTop w:val="0"/>
      <w:marBottom w:val="0"/>
      <w:divBdr>
        <w:top w:val="none" w:sz="0" w:space="0" w:color="auto"/>
        <w:left w:val="none" w:sz="0" w:space="0" w:color="auto"/>
        <w:bottom w:val="none" w:sz="0" w:space="0" w:color="auto"/>
        <w:right w:val="none" w:sz="0" w:space="0" w:color="auto"/>
      </w:divBdr>
    </w:div>
    <w:div w:id="214662851">
      <w:bodyDiv w:val="1"/>
      <w:marLeft w:val="0"/>
      <w:marRight w:val="0"/>
      <w:marTop w:val="0"/>
      <w:marBottom w:val="0"/>
      <w:divBdr>
        <w:top w:val="none" w:sz="0" w:space="0" w:color="auto"/>
        <w:left w:val="none" w:sz="0" w:space="0" w:color="auto"/>
        <w:bottom w:val="none" w:sz="0" w:space="0" w:color="auto"/>
        <w:right w:val="none" w:sz="0" w:space="0" w:color="auto"/>
      </w:divBdr>
    </w:div>
    <w:div w:id="221644206">
      <w:bodyDiv w:val="1"/>
      <w:marLeft w:val="0"/>
      <w:marRight w:val="0"/>
      <w:marTop w:val="0"/>
      <w:marBottom w:val="0"/>
      <w:divBdr>
        <w:top w:val="none" w:sz="0" w:space="0" w:color="auto"/>
        <w:left w:val="none" w:sz="0" w:space="0" w:color="auto"/>
        <w:bottom w:val="none" w:sz="0" w:space="0" w:color="auto"/>
        <w:right w:val="none" w:sz="0" w:space="0" w:color="auto"/>
      </w:divBdr>
    </w:div>
    <w:div w:id="224071447">
      <w:bodyDiv w:val="1"/>
      <w:marLeft w:val="0"/>
      <w:marRight w:val="0"/>
      <w:marTop w:val="0"/>
      <w:marBottom w:val="0"/>
      <w:divBdr>
        <w:top w:val="none" w:sz="0" w:space="0" w:color="auto"/>
        <w:left w:val="none" w:sz="0" w:space="0" w:color="auto"/>
        <w:bottom w:val="none" w:sz="0" w:space="0" w:color="auto"/>
        <w:right w:val="none" w:sz="0" w:space="0" w:color="auto"/>
      </w:divBdr>
    </w:div>
    <w:div w:id="226696632">
      <w:bodyDiv w:val="1"/>
      <w:marLeft w:val="0"/>
      <w:marRight w:val="0"/>
      <w:marTop w:val="0"/>
      <w:marBottom w:val="0"/>
      <w:divBdr>
        <w:top w:val="none" w:sz="0" w:space="0" w:color="auto"/>
        <w:left w:val="none" w:sz="0" w:space="0" w:color="auto"/>
        <w:bottom w:val="none" w:sz="0" w:space="0" w:color="auto"/>
        <w:right w:val="none" w:sz="0" w:space="0" w:color="auto"/>
      </w:divBdr>
    </w:div>
    <w:div w:id="229196635">
      <w:bodyDiv w:val="1"/>
      <w:marLeft w:val="0"/>
      <w:marRight w:val="0"/>
      <w:marTop w:val="0"/>
      <w:marBottom w:val="0"/>
      <w:divBdr>
        <w:top w:val="none" w:sz="0" w:space="0" w:color="auto"/>
        <w:left w:val="none" w:sz="0" w:space="0" w:color="auto"/>
        <w:bottom w:val="none" w:sz="0" w:space="0" w:color="auto"/>
        <w:right w:val="none" w:sz="0" w:space="0" w:color="auto"/>
      </w:divBdr>
    </w:div>
    <w:div w:id="231738424">
      <w:bodyDiv w:val="1"/>
      <w:marLeft w:val="0"/>
      <w:marRight w:val="0"/>
      <w:marTop w:val="0"/>
      <w:marBottom w:val="0"/>
      <w:divBdr>
        <w:top w:val="none" w:sz="0" w:space="0" w:color="auto"/>
        <w:left w:val="none" w:sz="0" w:space="0" w:color="auto"/>
        <w:bottom w:val="none" w:sz="0" w:space="0" w:color="auto"/>
        <w:right w:val="none" w:sz="0" w:space="0" w:color="auto"/>
      </w:divBdr>
    </w:div>
    <w:div w:id="236330564">
      <w:bodyDiv w:val="1"/>
      <w:marLeft w:val="0"/>
      <w:marRight w:val="0"/>
      <w:marTop w:val="0"/>
      <w:marBottom w:val="0"/>
      <w:divBdr>
        <w:top w:val="none" w:sz="0" w:space="0" w:color="auto"/>
        <w:left w:val="none" w:sz="0" w:space="0" w:color="auto"/>
        <w:bottom w:val="none" w:sz="0" w:space="0" w:color="auto"/>
        <w:right w:val="none" w:sz="0" w:space="0" w:color="auto"/>
      </w:divBdr>
    </w:div>
    <w:div w:id="236595673">
      <w:bodyDiv w:val="1"/>
      <w:marLeft w:val="0"/>
      <w:marRight w:val="0"/>
      <w:marTop w:val="0"/>
      <w:marBottom w:val="0"/>
      <w:divBdr>
        <w:top w:val="none" w:sz="0" w:space="0" w:color="auto"/>
        <w:left w:val="none" w:sz="0" w:space="0" w:color="auto"/>
        <w:bottom w:val="none" w:sz="0" w:space="0" w:color="auto"/>
        <w:right w:val="none" w:sz="0" w:space="0" w:color="auto"/>
      </w:divBdr>
    </w:div>
    <w:div w:id="241256283">
      <w:bodyDiv w:val="1"/>
      <w:marLeft w:val="0"/>
      <w:marRight w:val="0"/>
      <w:marTop w:val="0"/>
      <w:marBottom w:val="0"/>
      <w:divBdr>
        <w:top w:val="none" w:sz="0" w:space="0" w:color="auto"/>
        <w:left w:val="none" w:sz="0" w:space="0" w:color="auto"/>
        <w:bottom w:val="none" w:sz="0" w:space="0" w:color="auto"/>
        <w:right w:val="none" w:sz="0" w:space="0" w:color="auto"/>
      </w:divBdr>
    </w:div>
    <w:div w:id="244799439">
      <w:bodyDiv w:val="1"/>
      <w:marLeft w:val="0"/>
      <w:marRight w:val="0"/>
      <w:marTop w:val="0"/>
      <w:marBottom w:val="0"/>
      <w:divBdr>
        <w:top w:val="none" w:sz="0" w:space="0" w:color="auto"/>
        <w:left w:val="none" w:sz="0" w:space="0" w:color="auto"/>
        <w:bottom w:val="none" w:sz="0" w:space="0" w:color="auto"/>
        <w:right w:val="none" w:sz="0" w:space="0" w:color="auto"/>
      </w:divBdr>
    </w:div>
    <w:div w:id="250049369">
      <w:bodyDiv w:val="1"/>
      <w:marLeft w:val="0"/>
      <w:marRight w:val="0"/>
      <w:marTop w:val="0"/>
      <w:marBottom w:val="0"/>
      <w:divBdr>
        <w:top w:val="none" w:sz="0" w:space="0" w:color="auto"/>
        <w:left w:val="none" w:sz="0" w:space="0" w:color="auto"/>
        <w:bottom w:val="none" w:sz="0" w:space="0" w:color="auto"/>
        <w:right w:val="none" w:sz="0" w:space="0" w:color="auto"/>
      </w:divBdr>
    </w:div>
    <w:div w:id="256594118">
      <w:bodyDiv w:val="1"/>
      <w:marLeft w:val="0"/>
      <w:marRight w:val="0"/>
      <w:marTop w:val="0"/>
      <w:marBottom w:val="0"/>
      <w:divBdr>
        <w:top w:val="none" w:sz="0" w:space="0" w:color="auto"/>
        <w:left w:val="none" w:sz="0" w:space="0" w:color="auto"/>
        <w:bottom w:val="none" w:sz="0" w:space="0" w:color="auto"/>
        <w:right w:val="none" w:sz="0" w:space="0" w:color="auto"/>
      </w:divBdr>
    </w:div>
    <w:div w:id="262037631">
      <w:bodyDiv w:val="1"/>
      <w:marLeft w:val="0"/>
      <w:marRight w:val="0"/>
      <w:marTop w:val="0"/>
      <w:marBottom w:val="0"/>
      <w:divBdr>
        <w:top w:val="none" w:sz="0" w:space="0" w:color="auto"/>
        <w:left w:val="none" w:sz="0" w:space="0" w:color="auto"/>
        <w:bottom w:val="none" w:sz="0" w:space="0" w:color="auto"/>
        <w:right w:val="none" w:sz="0" w:space="0" w:color="auto"/>
      </w:divBdr>
    </w:div>
    <w:div w:id="277639354">
      <w:bodyDiv w:val="1"/>
      <w:marLeft w:val="0"/>
      <w:marRight w:val="0"/>
      <w:marTop w:val="0"/>
      <w:marBottom w:val="0"/>
      <w:divBdr>
        <w:top w:val="none" w:sz="0" w:space="0" w:color="auto"/>
        <w:left w:val="none" w:sz="0" w:space="0" w:color="auto"/>
        <w:bottom w:val="none" w:sz="0" w:space="0" w:color="auto"/>
        <w:right w:val="none" w:sz="0" w:space="0" w:color="auto"/>
      </w:divBdr>
    </w:div>
    <w:div w:id="279341787">
      <w:bodyDiv w:val="1"/>
      <w:marLeft w:val="0"/>
      <w:marRight w:val="0"/>
      <w:marTop w:val="0"/>
      <w:marBottom w:val="0"/>
      <w:divBdr>
        <w:top w:val="none" w:sz="0" w:space="0" w:color="auto"/>
        <w:left w:val="none" w:sz="0" w:space="0" w:color="auto"/>
        <w:bottom w:val="none" w:sz="0" w:space="0" w:color="auto"/>
        <w:right w:val="none" w:sz="0" w:space="0" w:color="auto"/>
      </w:divBdr>
    </w:div>
    <w:div w:id="279531613">
      <w:bodyDiv w:val="1"/>
      <w:marLeft w:val="0"/>
      <w:marRight w:val="0"/>
      <w:marTop w:val="0"/>
      <w:marBottom w:val="0"/>
      <w:divBdr>
        <w:top w:val="none" w:sz="0" w:space="0" w:color="auto"/>
        <w:left w:val="none" w:sz="0" w:space="0" w:color="auto"/>
        <w:bottom w:val="none" w:sz="0" w:space="0" w:color="auto"/>
        <w:right w:val="none" w:sz="0" w:space="0" w:color="auto"/>
      </w:divBdr>
    </w:div>
    <w:div w:id="286543737">
      <w:bodyDiv w:val="1"/>
      <w:marLeft w:val="0"/>
      <w:marRight w:val="0"/>
      <w:marTop w:val="0"/>
      <w:marBottom w:val="0"/>
      <w:divBdr>
        <w:top w:val="none" w:sz="0" w:space="0" w:color="auto"/>
        <w:left w:val="none" w:sz="0" w:space="0" w:color="auto"/>
        <w:bottom w:val="none" w:sz="0" w:space="0" w:color="auto"/>
        <w:right w:val="none" w:sz="0" w:space="0" w:color="auto"/>
      </w:divBdr>
    </w:div>
    <w:div w:id="288125414">
      <w:bodyDiv w:val="1"/>
      <w:marLeft w:val="0"/>
      <w:marRight w:val="0"/>
      <w:marTop w:val="0"/>
      <w:marBottom w:val="0"/>
      <w:divBdr>
        <w:top w:val="none" w:sz="0" w:space="0" w:color="auto"/>
        <w:left w:val="none" w:sz="0" w:space="0" w:color="auto"/>
        <w:bottom w:val="none" w:sz="0" w:space="0" w:color="auto"/>
        <w:right w:val="none" w:sz="0" w:space="0" w:color="auto"/>
      </w:divBdr>
    </w:div>
    <w:div w:id="289046291">
      <w:bodyDiv w:val="1"/>
      <w:marLeft w:val="0"/>
      <w:marRight w:val="0"/>
      <w:marTop w:val="0"/>
      <w:marBottom w:val="0"/>
      <w:divBdr>
        <w:top w:val="none" w:sz="0" w:space="0" w:color="auto"/>
        <w:left w:val="none" w:sz="0" w:space="0" w:color="auto"/>
        <w:bottom w:val="none" w:sz="0" w:space="0" w:color="auto"/>
        <w:right w:val="none" w:sz="0" w:space="0" w:color="auto"/>
      </w:divBdr>
    </w:div>
    <w:div w:id="302348071">
      <w:bodyDiv w:val="1"/>
      <w:marLeft w:val="0"/>
      <w:marRight w:val="0"/>
      <w:marTop w:val="0"/>
      <w:marBottom w:val="0"/>
      <w:divBdr>
        <w:top w:val="none" w:sz="0" w:space="0" w:color="auto"/>
        <w:left w:val="none" w:sz="0" w:space="0" w:color="auto"/>
        <w:bottom w:val="none" w:sz="0" w:space="0" w:color="auto"/>
        <w:right w:val="none" w:sz="0" w:space="0" w:color="auto"/>
      </w:divBdr>
    </w:div>
    <w:div w:id="303656130">
      <w:bodyDiv w:val="1"/>
      <w:marLeft w:val="0"/>
      <w:marRight w:val="0"/>
      <w:marTop w:val="0"/>
      <w:marBottom w:val="0"/>
      <w:divBdr>
        <w:top w:val="none" w:sz="0" w:space="0" w:color="auto"/>
        <w:left w:val="none" w:sz="0" w:space="0" w:color="auto"/>
        <w:bottom w:val="none" w:sz="0" w:space="0" w:color="auto"/>
        <w:right w:val="none" w:sz="0" w:space="0" w:color="auto"/>
      </w:divBdr>
    </w:div>
    <w:div w:id="305360628">
      <w:bodyDiv w:val="1"/>
      <w:marLeft w:val="0"/>
      <w:marRight w:val="0"/>
      <w:marTop w:val="0"/>
      <w:marBottom w:val="0"/>
      <w:divBdr>
        <w:top w:val="none" w:sz="0" w:space="0" w:color="auto"/>
        <w:left w:val="none" w:sz="0" w:space="0" w:color="auto"/>
        <w:bottom w:val="none" w:sz="0" w:space="0" w:color="auto"/>
        <w:right w:val="none" w:sz="0" w:space="0" w:color="auto"/>
      </w:divBdr>
    </w:div>
    <w:div w:id="306789751">
      <w:bodyDiv w:val="1"/>
      <w:marLeft w:val="0"/>
      <w:marRight w:val="0"/>
      <w:marTop w:val="0"/>
      <w:marBottom w:val="0"/>
      <w:divBdr>
        <w:top w:val="none" w:sz="0" w:space="0" w:color="auto"/>
        <w:left w:val="none" w:sz="0" w:space="0" w:color="auto"/>
        <w:bottom w:val="none" w:sz="0" w:space="0" w:color="auto"/>
        <w:right w:val="none" w:sz="0" w:space="0" w:color="auto"/>
      </w:divBdr>
    </w:div>
    <w:div w:id="307636615">
      <w:bodyDiv w:val="1"/>
      <w:marLeft w:val="0"/>
      <w:marRight w:val="0"/>
      <w:marTop w:val="0"/>
      <w:marBottom w:val="0"/>
      <w:divBdr>
        <w:top w:val="none" w:sz="0" w:space="0" w:color="auto"/>
        <w:left w:val="none" w:sz="0" w:space="0" w:color="auto"/>
        <w:bottom w:val="none" w:sz="0" w:space="0" w:color="auto"/>
        <w:right w:val="none" w:sz="0" w:space="0" w:color="auto"/>
      </w:divBdr>
    </w:div>
    <w:div w:id="308360399">
      <w:bodyDiv w:val="1"/>
      <w:marLeft w:val="0"/>
      <w:marRight w:val="0"/>
      <w:marTop w:val="0"/>
      <w:marBottom w:val="0"/>
      <w:divBdr>
        <w:top w:val="none" w:sz="0" w:space="0" w:color="auto"/>
        <w:left w:val="none" w:sz="0" w:space="0" w:color="auto"/>
        <w:bottom w:val="none" w:sz="0" w:space="0" w:color="auto"/>
        <w:right w:val="none" w:sz="0" w:space="0" w:color="auto"/>
      </w:divBdr>
    </w:div>
    <w:div w:id="317195286">
      <w:bodyDiv w:val="1"/>
      <w:marLeft w:val="0"/>
      <w:marRight w:val="0"/>
      <w:marTop w:val="0"/>
      <w:marBottom w:val="0"/>
      <w:divBdr>
        <w:top w:val="none" w:sz="0" w:space="0" w:color="auto"/>
        <w:left w:val="none" w:sz="0" w:space="0" w:color="auto"/>
        <w:bottom w:val="none" w:sz="0" w:space="0" w:color="auto"/>
        <w:right w:val="none" w:sz="0" w:space="0" w:color="auto"/>
      </w:divBdr>
    </w:div>
    <w:div w:id="322706901">
      <w:bodyDiv w:val="1"/>
      <w:marLeft w:val="0"/>
      <w:marRight w:val="0"/>
      <w:marTop w:val="0"/>
      <w:marBottom w:val="0"/>
      <w:divBdr>
        <w:top w:val="none" w:sz="0" w:space="0" w:color="auto"/>
        <w:left w:val="none" w:sz="0" w:space="0" w:color="auto"/>
        <w:bottom w:val="none" w:sz="0" w:space="0" w:color="auto"/>
        <w:right w:val="none" w:sz="0" w:space="0" w:color="auto"/>
      </w:divBdr>
    </w:div>
    <w:div w:id="325787508">
      <w:bodyDiv w:val="1"/>
      <w:marLeft w:val="0"/>
      <w:marRight w:val="0"/>
      <w:marTop w:val="0"/>
      <w:marBottom w:val="0"/>
      <w:divBdr>
        <w:top w:val="none" w:sz="0" w:space="0" w:color="auto"/>
        <w:left w:val="none" w:sz="0" w:space="0" w:color="auto"/>
        <w:bottom w:val="none" w:sz="0" w:space="0" w:color="auto"/>
        <w:right w:val="none" w:sz="0" w:space="0" w:color="auto"/>
      </w:divBdr>
    </w:div>
    <w:div w:id="330834549">
      <w:bodyDiv w:val="1"/>
      <w:marLeft w:val="0"/>
      <w:marRight w:val="0"/>
      <w:marTop w:val="0"/>
      <w:marBottom w:val="0"/>
      <w:divBdr>
        <w:top w:val="none" w:sz="0" w:space="0" w:color="auto"/>
        <w:left w:val="none" w:sz="0" w:space="0" w:color="auto"/>
        <w:bottom w:val="none" w:sz="0" w:space="0" w:color="auto"/>
        <w:right w:val="none" w:sz="0" w:space="0" w:color="auto"/>
      </w:divBdr>
    </w:div>
    <w:div w:id="333840587">
      <w:bodyDiv w:val="1"/>
      <w:marLeft w:val="0"/>
      <w:marRight w:val="0"/>
      <w:marTop w:val="0"/>
      <w:marBottom w:val="0"/>
      <w:divBdr>
        <w:top w:val="none" w:sz="0" w:space="0" w:color="auto"/>
        <w:left w:val="none" w:sz="0" w:space="0" w:color="auto"/>
        <w:bottom w:val="none" w:sz="0" w:space="0" w:color="auto"/>
        <w:right w:val="none" w:sz="0" w:space="0" w:color="auto"/>
      </w:divBdr>
    </w:div>
    <w:div w:id="339770670">
      <w:bodyDiv w:val="1"/>
      <w:marLeft w:val="0"/>
      <w:marRight w:val="0"/>
      <w:marTop w:val="0"/>
      <w:marBottom w:val="0"/>
      <w:divBdr>
        <w:top w:val="none" w:sz="0" w:space="0" w:color="auto"/>
        <w:left w:val="none" w:sz="0" w:space="0" w:color="auto"/>
        <w:bottom w:val="none" w:sz="0" w:space="0" w:color="auto"/>
        <w:right w:val="none" w:sz="0" w:space="0" w:color="auto"/>
      </w:divBdr>
    </w:div>
    <w:div w:id="340426365">
      <w:bodyDiv w:val="1"/>
      <w:marLeft w:val="0"/>
      <w:marRight w:val="0"/>
      <w:marTop w:val="0"/>
      <w:marBottom w:val="0"/>
      <w:divBdr>
        <w:top w:val="none" w:sz="0" w:space="0" w:color="auto"/>
        <w:left w:val="none" w:sz="0" w:space="0" w:color="auto"/>
        <w:bottom w:val="none" w:sz="0" w:space="0" w:color="auto"/>
        <w:right w:val="none" w:sz="0" w:space="0" w:color="auto"/>
      </w:divBdr>
    </w:div>
    <w:div w:id="343093411">
      <w:bodyDiv w:val="1"/>
      <w:marLeft w:val="0"/>
      <w:marRight w:val="0"/>
      <w:marTop w:val="0"/>
      <w:marBottom w:val="0"/>
      <w:divBdr>
        <w:top w:val="none" w:sz="0" w:space="0" w:color="auto"/>
        <w:left w:val="none" w:sz="0" w:space="0" w:color="auto"/>
        <w:bottom w:val="none" w:sz="0" w:space="0" w:color="auto"/>
        <w:right w:val="none" w:sz="0" w:space="0" w:color="auto"/>
      </w:divBdr>
    </w:div>
    <w:div w:id="343753315">
      <w:bodyDiv w:val="1"/>
      <w:marLeft w:val="0"/>
      <w:marRight w:val="0"/>
      <w:marTop w:val="0"/>
      <w:marBottom w:val="0"/>
      <w:divBdr>
        <w:top w:val="none" w:sz="0" w:space="0" w:color="auto"/>
        <w:left w:val="none" w:sz="0" w:space="0" w:color="auto"/>
        <w:bottom w:val="none" w:sz="0" w:space="0" w:color="auto"/>
        <w:right w:val="none" w:sz="0" w:space="0" w:color="auto"/>
      </w:divBdr>
    </w:div>
    <w:div w:id="345136536">
      <w:bodyDiv w:val="1"/>
      <w:marLeft w:val="0"/>
      <w:marRight w:val="0"/>
      <w:marTop w:val="0"/>
      <w:marBottom w:val="0"/>
      <w:divBdr>
        <w:top w:val="none" w:sz="0" w:space="0" w:color="auto"/>
        <w:left w:val="none" w:sz="0" w:space="0" w:color="auto"/>
        <w:bottom w:val="none" w:sz="0" w:space="0" w:color="auto"/>
        <w:right w:val="none" w:sz="0" w:space="0" w:color="auto"/>
      </w:divBdr>
    </w:div>
    <w:div w:id="347341069">
      <w:bodyDiv w:val="1"/>
      <w:marLeft w:val="0"/>
      <w:marRight w:val="0"/>
      <w:marTop w:val="0"/>
      <w:marBottom w:val="0"/>
      <w:divBdr>
        <w:top w:val="none" w:sz="0" w:space="0" w:color="auto"/>
        <w:left w:val="none" w:sz="0" w:space="0" w:color="auto"/>
        <w:bottom w:val="none" w:sz="0" w:space="0" w:color="auto"/>
        <w:right w:val="none" w:sz="0" w:space="0" w:color="auto"/>
      </w:divBdr>
    </w:div>
    <w:div w:id="347372349">
      <w:bodyDiv w:val="1"/>
      <w:marLeft w:val="0"/>
      <w:marRight w:val="0"/>
      <w:marTop w:val="0"/>
      <w:marBottom w:val="0"/>
      <w:divBdr>
        <w:top w:val="none" w:sz="0" w:space="0" w:color="auto"/>
        <w:left w:val="none" w:sz="0" w:space="0" w:color="auto"/>
        <w:bottom w:val="none" w:sz="0" w:space="0" w:color="auto"/>
        <w:right w:val="none" w:sz="0" w:space="0" w:color="auto"/>
      </w:divBdr>
    </w:div>
    <w:div w:id="348145293">
      <w:bodyDiv w:val="1"/>
      <w:marLeft w:val="0"/>
      <w:marRight w:val="0"/>
      <w:marTop w:val="0"/>
      <w:marBottom w:val="0"/>
      <w:divBdr>
        <w:top w:val="none" w:sz="0" w:space="0" w:color="auto"/>
        <w:left w:val="none" w:sz="0" w:space="0" w:color="auto"/>
        <w:bottom w:val="none" w:sz="0" w:space="0" w:color="auto"/>
        <w:right w:val="none" w:sz="0" w:space="0" w:color="auto"/>
      </w:divBdr>
    </w:div>
    <w:div w:id="348994503">
      <w:bodyDiv w:val="1"/>
      <w:marLeft w:val="0"/>
      <w:marRight w:val="0"/>
      <w:marTop w:val="0"/>
      <w:marBottom w:val="0"/>
      <w:divBdr>
        <w:top w:val="none" w:sz="0" w:space="0" w:color="auto"/>
        <w:left w:val="none" w:sz="0" w:space="0" w:color="auto"/>
        <w:bottom w:val="none" w:sz="0" w:space="0" w:color="auto"/>
        <w:right w:val="none" w:sz="0" w:space="0" w:color="auto"/>
      </w:divBdr>
    </w:div>
    <w:div w:id="358746478">
      <w:bodyDiv w:val="1"/>
      <w:marLeft w:val="0"/>
      <w:marRight w:val="0"/>
      <w:marTop w:val="0"/>
      <w:marBottom w:val="0"/>
      <w:divBdr>
        <w:top w:val="none" w:sz="0" w:space="0" w:color="auto"/>
        <w:left w:val="none" w:sz="0" w:space="0" w:color="auto"/>
        <w:bottom w:val="none" w:sz="0" w:space="0" w:color="auto"/>
        <w:right w:val="none" w:sz="0" w:space="0" w:color="auto"/>
      </w:divBdr>
    </w:div>
    <w:div w:id="362950331">
      <w:bodyDiv w:val="1"/>
      <w:marLeft w:val="0"/>
      <w:marRight w:val="0"/>
      <w:marTop w:val="0"/>
      <w:marBottom w:val="0"/>
      <w:divBdr>
        <w:top w:val="none" w:sz="0" w:space="0" w:color="auto"/>
        <w:left w:val="none" w:sz="0" w:space="0" w:color="auto"/>
        <w:bottom w:val="none" w:sz="0" w:space="0" w:color="auto"/>
        <w:right w:val="none" w:sz="0" w:space="0" w:color="auto"/>
      </w:divBdr>
    </w:div>
    <w:div w:id="363135350">
      <w:bodyDiv w:val="1"/>
      <w:marLeft w:val="0"/>
      <w:marRight w:val="0"/>
      <w:marTop w:val="0"/>
      <w:marBottom w:val="0"/>
      <w:divBdr>
        <w:top w:val="none" w:sz="0" w:space="0" w:color="auto"/>
        <w:left w:val="none" w:sz="0" w:space="0" w:color="auto"/>
        <w:bottom w:val="none" w:sz="0" w:space="0" w:color="auto"/>
        <w:right w:val="none" w:sz="0" w:space="0" w:color="auto"/>
      </w:divBdr>
    </w:div>
    <w:div w:id="365376596">
      <w:bodyDiv w:val="1"/>
      <w:marLeft w:val="0"/>
      <w:marRight w:val="0"/>
      <w:marTop w:val="0"/>
      <w:marBottom w:val="0"/>
      <w:divBdr>
        <w:top w:val="none" w:sz="0" w:space="0" w:color="auto"/>
        <w:left w:val="none" w:sz="0" w:space="0" w:color="auto"/>
        <w:bottom w:val="none" w:sz="0" w:space="0" w:color="auto"/>
        <w:right w:val="none" w:sz="0" w:space="0" w:color="auto"/>
      </w:divBdr>
    </w:div>
    <w:div w:id="371686061">
      <w:bodyDiv w:val="1"/>
      <w:marLeft w:val="0"/>
      <w:marRight w:val="0"/>
      <w:marTop w:val="0"/>
      <w:marBottom w:val="0"/>
      <w:divBdr>
        <w:top w:val="none" w:sz="0" w:space="0" w:color="auto"/>
        <w:left w:val="none" w:sz="0" w:space="0" w:color="auto"/>
        <w:bottom w:val="none" w:sz="0" w:space="0" w:color="auto"/>
        <w:right w:val="none" w:sz="0" w:space="0" w:color="auto"/>
      </w:divBdr>
    </w:div>
    <w:div w:id="378018480">
      <w:bodyDiv w:val="1"/>
      <w:marLeft w:val="0"/>
      <w:marRight w:val="0"/>
      <w:marTop w:val="0"/>
      <w:marBottom w:val="0"/>
      <w:divBdr>
        <w:top w:val="none" w:sz="0" w:space="0" w:color="auto"/>
        <w:left w:val="none" w:sz="0" w:space="0" w:color="auto"/>
        <w:bottom w:val="none" w:sz="0" w:space="0" w:color="auto"/>
        <w:right w:val="none" w:sz="0" w:space="0" w:color="auto"/>
      </w:divBdr>
    </w:div>
    <w:div w:id="382172593">
      <w:bodyDiv w:val="1"/>
      <w:marLeft w:val="0"/>
      <w:marRight w:val="0"/>
      <w:marTop w:val="0"/>
      <w:marBottom w:val="0"/>
      <w:divBdr>
        <w:top w:val="none" w:sz="0" w:space="0" w:color="auto"/>
        <w:left w:val="none" w:sz="0" w:space="0" w:color="auto"/>
        <w:bottom w:val="none" w:sz="0" w:space="0" w:color="auto"/>
        <w:right w:val="none" w:sz="0" w:space="0" w:color="auto"/>
      </w:divBdr>
    </w:div>
    <w:div w:id="391004346">
      <w:bodyDiv w:val="1"/>
      <w:marLeft w:val="0"/>
      <w:marRight w:val="0"/>
      <w:marTop w:val="0"/>
      <w:marBottom w:val="0"/>
      <w:divBdr>
        <w:top w:val="none" w:sz="0" w:space="0" w:color="auto"/>
        <w:left w:val="none" w:sz="0" w:space="0" w:color="auto"/>
        <w:bottom w:val="none" w:sz="0" w:space="0" w:color="auto"/>
        <w:right w:val="none" w:sz="0" w:space="0" w:color="auto"/>
      </w:divBdr>
    </w:div>
    <w:div w:id="391121070">
      <w:bodyDiv w:val="1"/>
      <w:marLeft w:val="0"/>
      <w:marRight w:val="0"/>
      <w:marTop w:val="0"/>
      <w:marBottom w:val="0"/>
      <w:divBdr>
        <w:top w:val="none" w:sz="0" w:space="0" w:color="auto"/>
        <w:left w:val="none" w:sz="0" w:space="0" w:color="auto"/>
        <w:bottom w:val="none" w:sz="0" w:space="0" w:color="auto"/>
        <w:right w:val="none" w:sz="0" w:space="0" w:color="auto"/>
      </w:divBdr>
    </w:div>
    <w:div w:id="397899287">
      <w:bodyDiv w:val="1"/>
      <w:marLeft w:val="0"/>
      <w:marRight w:val="0"/>
      <w:marTop w:val="0"/>
      <w:marBottom w:val="0"/>
      <w:divBdr>
        <w:top w:val="none" w:sz="0" w:space="0" w:color="auto"/>
        <w:left w:val="none" w:sz="0" w:space="0" w:color="auto"/>
        <w:bottom w:val="none" w:sz="0" w:space="0" w:color="auto"/>
        <w:right w:val="none" w:sz="0" w:space="0" w:color="auto"/>
      </w:divBdr>
    </w:div>
    <w:div w:id="399405439">
      <w:bodyDiv w:val="1"/>
      <w:marLeft w:val="0"/>
      <w:marRight w:val="0"/>
      <w:marTop w:val="0"/>
      <w:marBottom w:val="0"/>
      <w:divBdr>
        <w:top w:val="none" w:sz="0" w:space="0" w:color="auto"/>
        <w:left w:val="none" w:sz="0" w:space="0" w:color="auto"/>
        <w:bottom w:val="none" w:sz="0" w:space="0" w:color="auto"/>
        <w:right w:val="none" w:sz="0" w:space="0" w:color="auto"/>
      </w:divBdr>
    </w:div>
    <w:div w:id="400566272">
      <w:bodyDiv w:val="1"/>
      <w:marLeft w:val="0"/>
      <w:marRight w:val="0"/>
      <w:marTop w:val="0"/>
      <w:marBottom w:val="0"/>
      <w:divBdr>
        <w:top w:val="none" w:sz="0" w:space="0" w:color="auto"/>
        <w:left w:val="none" w:sz="0" w:space="0" w:color="auto"/>
        <w:bottom w:val="none" w:sz="0" w:space="0" w:color="auto"/>
        <w:right w:val="none" w:sz="0" w:space="0" w:color="auto"/>
      </w:divBdr>
    </w:div>
    <w:div w:id="411120782">
      <w:bodyDiv w:val="1"/>
      <w:marLeft w:val="0"/>
      <w:marRight w:val="0"/>
      <w:marTop w:val="0"/>
      <w:marBottom w:val="0"/>
      <w:divBdr>
        <w:top w:val="none" w:sz="0" w:space="0" w:color="auto"/>
        <w:left w:val="none" w:sz="0" w:space="0" w:color="auto"/>
        <w:bottom w:val="none" w:sz="0" w:space="0" w:color="auto"/>
        <w:right w:val="none" w:sz="0" w:space="0" w:color="auto"/>
      </w:divBdr>
    </w:div>
    <w:div w:id="413547544">
      <w:bodyDiv w:val="1"/>
      <w:marLeft w:val="0"/>
      <w:marRight w:val="0"/>
      <w:marTop w:val="0"/>
      <w:marBottom w:val="0"/>
      <w:divBdr>
        <w:top w:val="none" w:sz="0" w:space="0" w:color="auto"/>
        <w:left w:val="none" w:sz="0" w:space="0" w:color="auto"/>
        <w:bottom w:val="none" w:sz="0" w:space="0" w:color="auto"/>
        <w:right w:val="none" w:sz="0" w:space="0" w:color="auto"/>
      </w:divBdr>
    </w:div>
    <w:div w:id="422343790">
      <w:bodyDiv w:val="1"/>
      <w:marLeft w:val="0"/>
      <w:marRight w:val="0"/>
      <w:marTop w:val="0"/>
      <w:marBottom w:val="0"/>
      <w:divBdr>
        <w:top w:val="none" w:sz="0" w:space="0" w:color="auto"/>
        <w:left w:val="none" w:sz="0" w:space="0" w:color="auto"/>
        <w:bottom w:val="none" w:sz="0" w:space="0" w:color="auto"/>
        <w:right w:val="none" w:sz="0" w:space="0" w:color="auto"/>
      </w:divBdr>
    </w:div>
    <w:div w:id="430008694">
      <w:bodyDiv w:val="1"/>
      <w:marLeft w:val="0"/>
      <w:marRight w:val="0"/>
      <w:marTop w:val="0"/>
      <w:marBottom w:val="0"/>
      <w:divBdr>
        <w:top w:val="none" w:sz="0" w:space="0" w:color="auto"/>
        <w:left w:val="none" w:sz="0" w:space="0" w:color="auto"/>
        <w:bottom w:val="none" w:sz="0" w:space="0" w:color="auto"/>
        <w:right w:val="none" w:sz="0" w:space="0" w:color="auto"/>
      </w:divBdr>
    </w:div>
    <w:div w:id="431975060">
      <w:bodyDiv w:val="1"/>
      <w:marLeft w:val="0"/>
      <w:marRight w:val="0"/>
      <w:marTop w:val="0"/>
      <w:marBottom w:val="0"/>
      <w:divBdr>
        <w:top w:val="none" w:sz="0" w:space="0" w:color="auto"/>
        <w:left w:val="none" w:sz="0" w:space="0" w:color="auto"/>
        <w:bottom w:val="none" w:sz="0" w:space="0" w:color="auto"/>
        <w:right w:val="none" w:sz="0" w:space="0" w:color="auto"/>
      </w:divBdr>
    </w:div>
    <w:div w:id="434403349">
      <w:bodyDiv w:val="1"/>
      <w:marLeft w:val="0"/>
      <w:marRight w:val="0"/>
      <w:marTop w:val="0"/>
      <w:marBottom w:val="0"/>
      <w:divBdr>
        <w:top w:val="none" w:sz="0" w:space="0" w:color="auto"/>
        <w:left w:val="none" w:sz="0" w:space="0" w:color="auto"/>
        <w:bottom w:val="none" w:sz="0" w:space="0" w:color="auto"/>
        <w:right w:val="none" w:sz="0" w:space="0" w:color="auto"/>
      </w:divBdr>
    </w:div>
    <w:div w:id="438723407">
      <w:bodyDiv w:val="1"/>
      <w:marLeft w:val="0"/>
      <w:marRight w:val="0"/>
      <w:marTop w:val="0"/>
      <w:marBottom w:val="0"/>
      <w:divBdr>
        <w:top w:val="none" w:sz="0" w:space="0" w:color="auto"/>
        <w:left w:val="none" w:sz="0" w:space="0" w:color="auto"/>
        <w:bottom w:val="none" w:sz="0" w:space="0" w:color="auto"/>
        <w:right w:val="none" w:sz="0" w:space="0" w:color="auto"/>
      </w:divBdr>
    </w:div>
    <w:div w:id="441606754">
      <w:bodyDiv w:val="1"/>
      <w:marLeft w:val="0"/>
      <w:marRight w:val="0"/>
      <w:marTop w:val="0"/>
      <w:marBottom w:val="0"/>
      <w:divBdr>
        <w:top w:val="none" w:sz="0" w:space="0" w:color="auto"/>
        <w:left w:val="none" w:sz="0" w:space="0" w:color="auto"/>
        <w:bottom w:val="none" w:sz="0" w:space="0" w:color="auto"/>
        <w:right w:val="none" w:sz="0" w:space="0" w:color="auto"/>
      </w:divBdr>
    </w:div>
    <w:div w:id="447621764">
      <w:bodyDiv w:val="1"/>
      <w:marLeft w:val="0"/>
      <w:marRight w:val="0"/>
      <w:marTop w:val="0"/>
      <w:marBottom w:val="0"/>
      <w:divBdr>
        <w:top w:val="none" w:sz="0" w:space="0" w:color="auto"/>
        <w:left w:val="none" w:sz="0" w:space="0" w:color="auto"/>
        <w:bottom w:val="none" w:sz="0" w:space="0" w:color="auto"/>
        <w:right w:val="none" w:sz="0" w:space="0" w:color="auto"/>
      </w:divBdr>
    </w:div>
    <w:div w:id="454182272">
      <w:bodyDiv w:val="1"/>
      <w:marLeft w:val="0"/>
      <w:marRight w:val="0"/>
      <w:marTop w:val="0"/>
      <w:marBottom w:val="0"/>
      <w:divBdr>
        <w:top w:val="none" w:sz="0" w:space="0" w:color="auto"/>
        <w:left w:val="none" w:sz="0" w:space="0" w:color="auto"/>
        <w:bottom w:val="none" w:sz="0" w:space="0" w:color="auto"/>
        <w:right w:val="none" w:sz="0" w:space="0" w:color="auto"/>
      </w:divBdr>
    </w:div>
    <w:div w:id="465241080">
      <w:bodyDiv w:val="1"/>
      <w:marLeft w:val="0"/>
      <w:marRight w:val="0"/>
      <w:marTop w:val="0"/>
      <w:marBottom w:val="0"/>
      <w:divBdr>
        <w:top w:val="none" w:sz="0" w:space="0" w:color="auto"/>
        <w:left w:val="none" w:sz="0" w:space="0" w:color="auto"/>
        <w:bottom w:val="none" w:sz="0" w:space="0" w:color="auto"/>
        <w:right w:val="none" w:sz="0" w:space="0" w:color="auto"/>
      </w:divBdr>
    </w:div>
    <w:div w:id="490174546">
      <w:bodyDiv w:val="1"/>
      <w:marLeft w:val="0"/>
      <w:marRight w:val="0"/>
      <w:marTop w:val="0"/>
      <w:marBottom w:val="0"/>
      <w:divBdr>
        <w:top w:val="none" w:sz="0" w:space="0" w:color="auto"/>
        <w:left w:val="none" w:sz="0" w:space="0" w:color="auto"/>
        <w:bottom w:val="none" w:sz="0" w:space="0" w:color="auto"/>
        <w:right w:val="none" w:sz="0" w:space="0" w:color="auto"/>
      </w:divBdr>
    </w:div>
    <w:div w:id="494732055">
      <w:bodyDiv w:val="1"/>
      <w:marLeft w:val="0"/>
      <w:marRight w:val="0"/>
      <w:marTop w:val="0"/>
      <w:marBottom w:val="0"/>
      <w:divBdr>
        <w:top w:val="none" w:sz="0" w:space="0" w:color="auto"/>
        <w:left w:val="none" w:sz="0" w:space="0" w:color="auto"/>
        <w:bottom w:val="none" w:sz="0" w:space="0" w:color="auto"/>
        <w:right w:val="none" w:sz="0" w:space="0" w:color="auto"/>
      </w:divBdr>
    </w:div>
    <w:div w:id="496462411">
      <w:bodyDiv w:val="1"/>
      <w:marLeft w:val="0"/>
      <w:marRight w:val="0"/>
      <w:marTop w:val="0"/>
      <w:marBottom w:val="0"/>
      <w:divBdr>
        <w:top w:val="none" w:sz="0" w:space="0" w:color="auto"/>
        <w:left w:val="none" w:sz="0" w:space="0" w:color="auto"/>
        <w:bottom w:val="none" w:sz="0" w:space="0" w:color="auto"/>
        <w:right w:val="none" w:sz="0" w:space="0" w:color="auto"/>
      </w:divBdr>
    </w:div>
    <w:div w:id="496578767">
      <w:bodyDiv w:val="1"/>
      <w:marLeft w:val="0"/>
      <w:marRight w:val="0"/>
      <w:marTop w:val="0"/>
      <w:marBottom w:val="0"/>
      <w:divBdr>
        <w:top w:val="none" w:sz="0" w:space="0" w:color="auto"/>
        <w:left w:val="none" w:sz="0" w:space="0" w:color="auto"/>
        <w:bottom w:val="none" w:sz="0" w:space="0" w:color="auto"/>
        <w:right w:val="none" w:sz="0" w:space="0" w:color="auto"/>
      </w:divBdr>
    </w:div>
    <w:div w:id="501703900">
      <w:bodyDiv w:val="1"/>
      <w:marLeft w:val="0"/>
      <w:marRight w:val="0"/>
      <w:marTop w:val="0"/>
      <w:marBottom w:val="0"/>
      <w:divBdr>
        <w:top w:val="none" w:sz="0" w:space="0" w:color="auto"/>
        <w:left w:val="none" w:sz="0" w:space="0" w:color="auto"/>
        <w:bottom w:val="none" w:sz="0" w:space="0" w:color="auto"/>
        <w:right w:val="none" w:sz="0" w:space="0" w:color="auto"/>
      </w:divBdr>
    </w:div>
    <w:div w:id="503007817">
      <w:bodyDiv w:val="1"/>
      <w:marLeft w:val="0"/>
      <w:marRight w:val="0"/>
      <w:marTop w:val="0"/>
      <w:marBottom w:val="0"/>
      <w:divBdr>
        <w:top w:val="none" w:sz="0" w:space="0" w:color="auto"/>
        <w:left w:val="none" w:sz="0" w:space="0" w:color="auto"/>
        <w:bottom w:val="none" w:sz="0" w:space="0" w:color="auto"/>
        <w:right w:val="none" w:sz="0" w:space="0" w:color="auto"/>
      </w:divBdr>
    </w:div>
    <w:div w:id="508569628">
      <w:bodyDiv w:val="1"/>
      <w:marLeft w:val="0"/>
      <w:marRight w:val="0"/>
      <w:marTop w:val="0"/>
      <w:marBottom w:val="0"/>
      <w:divBdr>
        <w:top w:val="none" w:sz="0" w:space="0" w:color="auto"/>
        <w:left w:val="none" w:sz="0" w:space="0" w:color="auto"/>
        <w:bottom w:val="none" w:sz="0" w:space="0" w:color="auto"/>
        <w:right w:val="none" w:sz="0" w:space="0" w:color="auto"/>
      </w:divBdr>
    </w:div>
    <w:div w:id="538325043">
      <w:bodyDiv w:val="1"/>
      <w:marLeft w:val="0"/>
      <w:marRight w:val="0"/>
      <w:marTop w:val="0"/>
      <w:marBottom w:val="0"/>
      <w:divBdr>
        <w:top w:val="none" w:sz="0" w:space="0" w:color="auto"/>
        <w:left w:val="none" w:sz="0" w:space="0" w:color="auto"/>
        <w:bottom w:val="none" w:sz="0" w:space="0" w:color="auto"/>
        <w:right w:val="none" w:sz="0" w:space="0" w:color="auto"/>
      </w:divBdr>
    </w:div>
    <w:div w:id="543757511">
      <w:bodyDiv w:val="1"/>
      <w:marLeft w:val="0"/>
      <w:marRight w:val="0"/>
      <w:marTop w:val="0"/>
      <w:marBottom w:val="0"/>
      <w:divBdr>
        <w:top w:val="none" w:sz="0" w:space="0" w:color="auto"/>
        <w:left w:val="none" w:sz="0" w:space="0" w:color="auto"/>
        <w:bottom w:val="none" w:sz="0" w:space="0" w:color="auto"/>
        <w:right w:val="none" w:sz="0" w:space="0" w:color="auto"/>
      </w:divBdr>
    </w:div>
    <w:div w:id="549145907">
      <w:bodyDiv w:val="1"/>
      <w:marLeft w:val="0"/>
      <w:marRight w:val="0"/>
      <w:marTop w:val="0"/>
      <w:marBottom w:val="0"/>
      <w:divBdr>
        <w:top w:val="none" w:sz="0" w:space="0" w:color="auto"/>
        <w:left w:val="none" w:sz="0" w:space="0" w:color="auto"/>
        <w:bottom w:val="none" w:sz="0" w:space="0" w:color="auto"/>
        <w:right w:val="none" w:sz="0" w:space="0" w:color="auto"/>
      </w:divBdr>
    </w:div>
    <w:div w:id="554704559">
      <w:bodyDiv w:val="1"/>
      <w:marLeft w:val="0"/>
      <w:marRight w:val="0"/>
      <w:marTop w:val="0"/>
      <w:marBottom w:val="0"/>
      <w:divBdr>
        <w:top w:val="none" w:sz="0" w:space="0" w:color="auto"/>
        <w:left w:val="none" w:sz="0" w:space="0" w:color="auto"/>
        <w:bottom w:val="none" w:sz="0" w:space="0" w:color="auto"/>
        <w:right w:val="none" w:sz="0" w:space="0" w:color="auto"/>
      </w:divBdr>
    </w:div>
    <w:div w:id="559363821">
      <w:bodyDiv w:val="1"/>
      <w:marLeft w:val="0"/>
      <w:marRight w:val="0"/>
      <w:marTop w:val="0"/>
      <w:marBottom w:val="0"/>
      <w:divBdr>
        <w:top w:val="none" w:sz="0" w:space="0" w:color="auto"/>
        <w:left w:val="none" w:sz="0" w:space="0" w:color="auto"/>
        <w:bottom w:val="none" w:sz="0" w:space="0" w:color="auto"/>
        <w:right w:val="none" w:sz="0" w:space="0" w:color="auto"/>
      </w:divBdr>
    </w:div>
    <w:div w:id="562302387">
      <w:bodyDiv w:val="1"/>
      <w:marLeft w:val="0"/>
      <w:marRight w:val="0"/>
      <w:marTop w:val="0"/>
      <w:marBottom w:val="0"/>
      <w:divBdr>
        <w:top w:val="none" w:sz="0" w:space="0" w:color="auto"/>
        <w:left w:val="none" w:sz="0" w:space="0" w:color="auto"/>
        <w:bottom w:val="none" w:sz="0" w:space="0" w:color="auto"/>
        <w:right w:val="none" w:sz="0" w:space="0" w:color="auto"/>
      </w:divBdr>
    </w:div>
    <w:div w:id="571894180">
      <w:bodyDiv w:val="1"/>
      <w:marLeft w:val="0"/>
      <w:marRight w:val="0"/>
      <w:marTop w:val="0"/>
      <w:marBottom w:val="0"/>
      <w:divBdr>
        <w:top w:val="none" w:sz="0" w:space="0" w:color="auto"/>
        <w:left w:val="none" w:sz="0" w:space="0" w:color="auto"/>
        <w:bottom w:val="none" w:sz="0" w:space="0" w:color="auto"/>
        <w:right w:val="none" w:sz="0" w:space="0" w:color="auto"/>
      </w:divBdr>
    </w:div>
    <w:div w:id="574365467">
      <w:bodyDiv w:val="1"/>
      <w:marLeft w:val="0"/>
      <w:marRight w:val="0"/>
      <w:marTop w:val="0"/>
      <w:marBottom w:val="0"/>
      <w:divBdr>
        <w:top w:val="none" w:sz="0" w:space="0" w:color="auto"/>
        <w:left w:val="none" w:sz="0" w:space="0" w:color="auto"/>
        <w:bottom w:val="none" w:sz="0" w:space="0" w:color="auto"/>
        <w:right w:val="none" w:sz="0" w:space="0" w:color="auto"/>
      </w:divBdr>
    </w:div>
    <w:div w:id="576596501">
      <w:bodyDiv w:val="1"/>
      <w:marLeft w:val="0"/>
      <w:marRight w:val="0"/>
      <w:marTop w:val="0"/>
      <w:marBottom w:val="0"/>
      <w:divBdr>
        <w:top w:val="none" w:sz="0" w:space="0" w:color="auto"/>
        <w:left w:val="none" w:sz="0" w:space="0" w:color="auto"/>
        <w:bottom w:val="none" w:sz="0" w:space="0" w:color="auto"/>
        <w:right w:val="none" w:sz="0" w:space="0" w:color="auto"/>
      </w:divBdr>
    </w:div>
    <w:div w:id="579683449">
      <w:bodyDiv w:val="1"/>
      <w:marLeft w:val="0"/>
      <w:marRight w:val="0"/>
      <w:marTop w:val="0"/>
      <w:marBottom w:val="0"/>
      <w:divBdr>
        <w:top w:val="none" w:sz="0" w:space="0" w:color="auto"/>
        <w:left w:val="none" w:sz="0" w:space="0" w:color="auto"/>
        <w:bottom w:val="none" w:sz="0" w:space="0" w:color="auto"/>
        <w:right w:val="none" w:sz="0" w:space="0" w:color="auto"/>
      </w:divBdr>
    </w:div>
    <w:div w:id="591545182">
      <w:bodyDiv w:val="1"/>
      <w:marLeft w:val="0"/>
      <w:marRight w:val="0"/>
      <w:marTop w:val="0"/>
      <w:marBottom w:val="0"/>
      <w:divBdr>
        <w:top w:val="none" w:sz="0" w:space="0" w:color="auto"/>
        <w:left w:val="none" w:sz="0" w:space="0" w:color="auto"/>
        <w:bottom w:val="none" w:sz="0" w:space="0" w:color="auto"/>
        <w:right w:val="none" w:sz="0" w:space="0" w:color="auto"/>
      </w:divBdr>
    </w:div>
    <w:div w:id="592514774">
      <w:bodyDiv w:val="1"/>
      <w:marLeft w:val="0"/>
      <w:marRight w:val="0"/>
      <w:marTop w:val="0"/>
      <w:marBottom w:val="0"/>
      <w:divBdr>
        <w:top w:val="none" w:sz="0" w:space="0" w:color="auto"/>
        <w:left w:val="none" w:sz="0" w:space="0" w:color="auto"/>
        <w:bottom w:val="none" w:sz="0" w:space="0" w:color="auto"/>
        <w:right w:val="none" w:sz="0" w:space="0" w:color="auto"/>
      </w:divBdr>
    </w:div>
    <w:div w:id="594247477">
      <w:bodyDiv w:val="1"/>
      <w:marLeft w:val="0"/>
      <w:marRight w:val="0"/>
      <w:marTop w:val="0"/>
      <w:marBottom w:val="0"/>
      <w:divBdr>
        <w:top w:val="none" w:sz="0" w:space="0" w:color="auto"/>
        <w:left w:val="none" w:sz="0" w:space="0" w:color="auto"/>
        <w:bottom w:val="none" w:sz="0" w:space="0" w:color="auto"/>
        <w:right w:val="none" w:sz="0" w:space="0" w:color="auto"/>
      </w:divBdr>
    </w:div>
    <w:div w:id="594367927">
      <w:bodyDiv w:val="1"/>
      <w:marLeft w:val="0"/>
      <w:marRight w:val="0"/>
      <w:marTop w:val="0"/>
      <w:marBottom w:val="0"/>
      <w:divBdr>
        <w:top w:val="none" w:sz="0" w:space="0" w:color="auto"/>
        <w:left w:val="none" w:sz="0" w:space="0" w:color="auto"/>
        <w:bottom w:val="none" w:sz="0" w:space="0" w:color="auto"/>
        <w:right w:val="none" w:sz="0" w:space="0" w:color="auto"/>
      </w:divBdr>
    </w:div>
    <w:div w:id="614365570">
      <w:bodyDiv w:val="1"/>
      <w:marLeft w:val="0"/>
      <w:marRight w:val="0"/>
      <w:marTop w:val="0"/>
      <w:marBottom w:val="0"/>
      <w:divBdr>
        <w:top w:val="none" w:sz="0" w:space="0" w:color="auto"/>
        <w:left w:val="none" w:sz="0" w:space="0" w:color="auto"/>
        <w:bottom w:val="none" w:sz="0" w:space="0" w:color="auto"/>
        <w:right w:val="none" w:sz="0" w:space="0" w:color="auto"/>
      </w:divBdr>
    </w:div>
    <w:div w:id="617445684">
      <w:bodyDiv w:val="1"/>
      <w:marLeft w:val="0"/>
      <w:marRight w:val="0"/>
      <w:marTop w:val="0"/>
      <w:marBottom w:val="0"/>
      <w:divBdr>
        <w:top w:val="none" w:sz="0" w:space="0" w:color="auto"/>
        <w:left w:val="none" w:sz="0" w:space="0" w:color="auto"/>
        <w:bottom w:val="none" w:sz="0" w:space="0" w:color="auto"/>
        <w:right w:val="none" w:sz="0" w:space="0" w:color="auto"/>
      </w:divBdr>
    </w:div>
    <w:div w:id="624120746">
      <w:bodyDiv w:val="1"/>
      <w:marLeft w:val="0"/>
      <w:marRight w:val="0"/>
      <w:marTop w:val="0"/>
      <w:marBottom w:val="0"/>
      <w:divBdr>
        <w:top w:val="none" w:sz="0" w:space="0" w:color="auto"/>
        <w:left w:val="none" w:sz="0" w:space="0" w:color="auto"/>
        <w:bottom w:val="none" w:sz="0" w:space="0" w:color="auto"/>
        <w:right w:val="none" w:sz="0" w:space="0" w:color="auto"/>
      </w:divBdr>
    </w:div>
    <w:div w:id="631208828">
      <w:bodyDiv w:val="1"/>
      <w:marLeft w:val="0"/>
      <w:marRight w:val="0"/>
      <w:marTop w:val="0"/>
      <w:marBottom w:val="0"/>
      <w:divBdr>
        <w:top w:val="none" w:sz="0" w:space="0" w:color="auto"/>
        <w:left w:val="none" w:sz="0" w:space="0" w:color="auto"/>
        <w:bottom w:val="none" w:sz="0" w:space="0" w:color="auto"/>
        <w:right w:val="none" w:sz="0" w:space="0" w:color="auto"/>
      </w:divBdr>
    </w:div>
    <w:div w:id="633868435">
      <w:bodyDiv w:val="1"/>
      <w:marLeft w:val="0"/>
      <w:marRight w:val="0"/>
      <w:marTop w:val="0"/>
      <w:marBottom w:val="0"/>
      <w:divBdr>
        <w:top w:val="none" w:sz="0" w:space="0" w:color="auto"/>
        <w:left w:val="none" w:sz="0" w:space="0" w:color="auto"/>
        <w:bottom w:val="none" w:sz="0" w:space="0" w:color="auto"/>
        <w:right w:val="none" w:sz="0" w:space="0" w:color="auto"/>
      </w:divBdr>
    </w:div>
    <w:div w:id="642733704">
      <w:bodyDiv w:val="1"/>
      <w:marLeft w:val="0"/>
      <w:marRight w:val="0"/>
      <w:marTop w:val="0"/>
      <w:marBottom w:val="0"/>
      <w:divBdr>
        <w:top w:val="none" w:sz="0" w:space="0" w:color="auto"/>
        <w:left w:val="none" w:sz="0" w:space="0" w:color="auto"/>
        <w:bottom w:val="none" w:sz="0" w:space="0" w:color="auto"/>
        <w:right w:val="none" w:sz="0" w:space="0" w:color="auto"/>
      </w:divBdr>
    </w:div>
    <w:div w:id="643509726">
      <w:bodyDiv w:val="1"/>
      <w:marLeft w:val="0"/>
      <w:marRight w:val="0"/>
      <w:marTop w:val="0"/>
      <w:marBottom w:val="0"/>
      <w:divBdr>
        <w:top w:val="none" w:sz="0" w:space="0" w:color="auto"/>
        <w:left w:val="none" w:sz="0" w:space="0" w:color="auto"/>
        <w:bottom w:val="none" w:sz="0" w:space="0" w:color="auto"/>
        <w:right w:val="none" w:sz="0" w:space="0" w:color="auto"/>
      </w:divBdr>
    </w:div>
    <w:div w:id="644549320">
      <w:bodyDiv w:val="1"/>
      <w:marLeft w:val="0"/>
      <w:marRight w:val="0"/>
      <w:marTop w:val="0"/>
      <w:marBottom w:val="0"/>
      <w:divBdr>
        <w:top w:val="none" w:sz="0" w:space="0" w:color="auto"/>
        <w:left w:val="none" w:sz="0" w:space="0" w:color="auto"/>
        <w:bottom w:val="none" w:sz="0" w:space="0" w:color="auto"/>
        <w:right w:val="none" w:sz="0" w:space="0" w:color="auto"/>
      </w:divBdr>
    </w:div>
    <w:div w:id="647131295">
      <w:bodyDiv w:val="1"/>
      <w:marLeft w:val="0"/>
      <w:marRight w:val="0"/>
      <w:marTop w:val="0"/>
      <w:marBottom w:val="0"/>
      <w:divBdr>
        <w:top w:val="none" w:sz="0" w:space="0" w:color="auto"/>
        <w:left w:val="none" w:sz="0" w:space="0" w:color="auto"/>
        <w:bottom w:val="none" w:sz="0" w:space="0" w:color="auto"/>
        <w:right w:val="none" w:sz="0" w:space="0" w:color="auto"/>
      </w:divBdr>
    </w:div>
    <w:div w:id="648675992">
      <w:bodyDiv w:val="1"/>
      <w:marLeft w:val="0"/>
      <w:marRight w:val="0"/>
      <w:marTop w:val="0"/>
      <w:marBottom w:val="0"/>
      <w:divBdr>
        <w:top w:val="none" w:sz="0" w:space="0" w:color="auto"/>
        <w:left w:val="none" w:sz="0" w:space="0" w:color="auto"/>
        <w:bottom w:val="none" w:sz="0" w:space="0" w:color="auto"/>
        <w:right w:val="none" w:sz="0" w:space="0" w:color="auto"/>
      </w:divBdr>
    </w:div>
    <w:div w:id="649676243">
      <w:bodyDiv w:val="1"/>
      <w:marLeft w:val="0"/>
      <w:marRight w:val="0"/>
      <w:marTop w:val="0"/>
      <w:marBottom w:val="0"/>
      <w:divBdr>
        <w:top w:val="none" w:sz="0" w:space="0" w:color="auto"/>
        <w:left w:val="none" w:sz="0" w:space="0" w:color="auto"/>
        <w:bottom w:val="none" w:sz="0" w:space="0" w:color="auto"/>
        <w:right w:val="none" w:sz="0" w:space="0" w:color="auto"/>
      </w:divBdr>
    </w:div>
    <w:div w:id="651644503">
      <w:bodyDiv w:val="1"/>
      <w:marLeft w:val="0"/>
      <w:marRight w:val="0"/>
      <w:marTop w:val="0"/>
      <w:marBottom w:val="0"/>
      <w:divBdr>
        <w:top w:val="none" w:sz="0" w:space="0" w:color="auto"/>
        <w:left w:val="none" w:sz="0" w:space="0" w:color="auto"/>
        <w:bottom w:val="none" w:sz="0" w:space="0" w:color="auto"/>
        <w:right w:val="none" w:sz="0" w:space="0" w:color="auto"/>
      </w:divBdr>
    </w:div>
    <w:div w:id="661590086">
      <w:bodyDiv w:val="1"/>
      <w:marLeft w:val="0"/>
      <w:marRight w:val="0"/>
      <w:marTop w:val="0"/>
      <w:marBottom w:val="0"/>
      <w:divBdr>
        <w:top w:val="none" w:sz="0" w:space="0" w:color="auto"/>
        <w:left w:val="none" w:sz="0" w:space="0" w:color="auto"/>
        <w:bottom w:val="none" w:sz="0" w:space="0" w:color="auto"/>
        <w:right w:val="none" w:sz="0" w:space="0" w:color="auto"/>
      </w:divBdr>
    </w:div>
    <w:div w:id="665013362">
      <w:bodyDiv w:val="1"/>
      <w:marLeft w:val="0"/>
      <w:marRight w:val="0"/>
      <w:marTop w:val="0"/>
      <w:marBottom w:val="0"/>
      <w:divBdr>
        <w:top w:val="none" w:sz="0" w:space="0" w:color="auto"/>
        <w:left w:val="none" w:sz="0" w:space="0" w:color="auto"/>
        <w:bottom w:val="none" w:sz="0" w:space="0" w:color="auto"/>
        <w:right w:val="none" w:sz="0" w:space="0" w:color="auto"/>
      </w:divBdr>
    </w:div>
    <w:div w:id="675839464">
      <w:bodyDiv w:val="1"/>
      <w:marLeft w:val="0"/>
      <w:marRight w:val="0"/>
      <w:marTop w:val="0"/>
      <w:marBottom w:val="0"/>
      <w:divBdr>
        <w:top w:val="none" w:sz="0" w:space="0" w:color="auto"/>
        <w:left w:val="none" w:sz="0" w:space="0" w:color="auto"/>
        <w:bottom w:val="none" w:sz="0" w:space="0" w:color="auto"/>
        <w:right w:val="none" w:sz="0" w:space="0" w:color="auto"/>
      </w:divBdr>
    </w:div>
    <w:div w:id="679820835">
      <w:bodyDiv w:val="1"/>
      <w:marLeft w:val="0"/>
      <w:marRight w:val="0"/>
      <w:marTop w:val="0"/>
      <w:marBottom w:val="0"/>
      <w:divBdr>
        <w:top w:val="none" w:sz="0" w:space="0" w:color="auto"/>
        <w:left w:val="none" w:sz="0" w:space="0" w:color="auto"/>
        <w:bottom w:val="none" w:sz="0" w:space="0" w:color="auto"/>
        <w:right w:val="none" w:sz="0" w:space="0" w:color="auto"/>
      </w:divBdr>
    </w:div>
    <w:div w:id="679897514">
      <w:bodyDiv w:val="1"/>
      <w:marLeft w:val="0"/>
      <w:marRight w:val="0"/>
      <w:marTop w:val="0"/>
      <w:marBottom w:val="0"/>
      <w:divBdr>
        <w:top w:val="none" w:sz="0" w:space="0" w:color="auto"/>
        <w:left w:val="none" w:sz="0" w:space="0" w:color="auto"/>
        <w:bottom w:val="none" w:sz="0" w:space="0" w:color="auto"/>
        <w:right w:val="none" w:sz="0" w:space="0" w:color="auto"/>
      </w:divBdr>
    </w:div>
    <w:div w:id="682708959">
      <w:bodyDiv w:val="1"/>
      <w:marLeft w:val="0"/>
      <w:marRight w:val="0"/>
      <w:marTop w:val="0"/>
      <w:marBottom w:val="0"/>
      <w:divBdr>
        <w:top w:val="none" w:sz="0" w:space="0" w:color="auto"/>
        <w:left w:val="none" w:sz="0" w:space="0" w:color="auto"/>
        <w:bottom w:val="none" w:sz="0" w:space="0" w:color="auto"/>
        <w:right w:val="none" w:sz="0" w:space="0" w:color="auto"/>
      </w:divBdr>
    </w:div>
    <w:div w:id="683826918">
      <w:bodyDiv w:val="1"/>
      <w:marLeft w:val="0"/>
      <w:marRight w:val="0"/>
      <w:marTop w:val="0"/>
      <w:marBottom w:val="0"/>
      <w:divBdr>
        <w:top w:val="none" w:sz="0" w:space="0" w:color="auto"/>
        <w:left w:val="none" w:sz="0" w:space="0" w:color="auto"/>
        <w:bottom w:val="none" w:sz="0" w:space="0" w:color="auto"/>
        <w:right w:val="none" w:sz="0" w:space="0" w:color="auto"/>
      </w:divBdr>
    </w:div>
    <w:div w:id="684793870">
      <w:bodyDiv w:val="1"/>
      <w:marLeft w:val="0"/>
      <w:marRight w:val="0"/>
      <w:marTop w:val="0"/>
      <w:marBottom w:val="0"/>
      <w:divBdr>
        <w:top w:val="none" w:sz="0" w:space="0" w:color="auto"/>
        <w:left w:val="none" w:sz="0" w:space="0" w:color="auto"/>
        <w:bottom w:val="none" w:sz="0" w:space="0" w:color="auto"/>
        <w:right w:val="none" w:sz="0" w:space="0" w:color="auto"/>
      </w:divBdr>
    </w:div>
    <w:div w:id="688793768">
      <w:bodyDiv w:val="1"/>
      <w:marLeft w:val="0"/>
      <w:marRight w:val="0"/>
      <w:marTop w:val="0"/>
      <w:marBottom w:val="0"/>
      <w:divBdr>
        <w:top w:val="none" w:sz="0" w:space="0" w:color="auto"/>
        <w:left w:val="none" w:sz="0" w:space="0" w:color="auto"/>
        <w:bottom w:val="none" w:sz="0" w:space="0" w:color="auto"/>
        <w:right w:val="none" w:sz="0" w:space="0" w:color="auto"/>
      </w:divBdr>
    </w:div>
    <w:div w:id="692727719">
      <w:bodyDiv w:val="1"/>
      <w:marLeft w:val="0"/>
      <w:marRight w:val="0"/>
      <w:marTop w:val="0"/>
      <w:marBottom w:val="0"/>
      <w:divBdr>
        <w:top w:val="none" w:sz="0" w:space="0" w:color="auto"/>
        <w:left w:val="none" w:sz="0" w:space="0" w:color="auto"/>
        <w:bottom w:val="none" w:sz="0" w:space="0" w:color="auto"/>
        <w:right w:val="none" w:sz="0" w:space="0" w:color="auto"/>
      </w:divBdr>
    </w:div>
    <w:div w:id="697705917">
      <w:bodyDiv w:val="1"/>
      <w:marLeft w:val="0"/>
      <w:marRight w:val="0"/>
      <w:marTop w:val="0"/>
      <w:marBottom w:val="0"/>
      <w:divBdr>
        <w:top w:val="none" w:sz="0" w:space="0" w:color="auto"/>
        <w:left w:val="none" w:sz="0" w:space="0" w:color="auto"/>
        <w:bottom w:val="none" w:sz="0" w:space="0" w:color="auto"/>
        <w:right w:val="none" w:sz="0" w:space="0" w:color="auto"/>
      </w:divBdr>
    </w:div>
    <w:div w:id="701369811">
      <w:bodyDiv w:val="1"/>
      <w:marLeft w:val="0"/>
      <w:marRight w:val="0"/>
      <w:marTop w:val="0"/>
      <w:marBottom w:val="0"/>
      <w:divBdr>
        <w:top w:val="none" w:sz="0" w:space="0" w:color="auto"/>
        <w:left w:val="none" w:sz="0" w:space="0" w:color="auto"/>
        <w:bottom w:val="none" w:sz="0" w:space="0" w:color="auto"/>
        <w:right w:val="none" w:sz="0" w:space="0" w:color="auto"/>
      </w:divBdr>
    </w:div>
    <w:div w:id="702679084">
      <w:bodyDiv w:val="1"/>
      <w:marLeft w:val="0"/>
      <w:marRight w:val="0"/>
      <w:marTop w:val="0"/>
      <w:marBottom w:val="0"/>
      <w:divBdr>
        <w:top w:val="none" w:sz="0" w:space="0" w:color="auto"/>
        <w:left w:val="none" w:sz="0" w:space="0" w:color="auto"/>
        <w:bottom w:val="none" w:sz="0" w:space="0" w:color="auto"/>
        <w:right w:val="none" w:sz="0" w:space="0" w:color="auto"/>
      </w:divBdr>
    </w:div>
    <w:div w:id="707461322">
      <w:bodyDiv w:val="1"/>
      <w:marLeft w:val="0"/>
      <w:marRight w:val="0"/>
      <w:marTop w:val="0"/>
      <w:marBottom w:val="0"/>
      <w:divBdr>
        <w:top w:val="none" w:sz="0" w:space="0" w:color="auto"/>
        <w:left w:val="none" w:sz="0" w:space="0" w:color="auto"/>
        <w:bottom w:val="none" w:sz="0" w:space="0" w:color="auto"/>
        <w:right w:val="none" w:sz="0" w:space="0" w:color="auto"/>
      </w:divBdr>
    </w:div>
    <w:div w:id="721951797">
      <w:bodyDiv w:val="1"/>
      <w:marLeft w:val="0"/>
      <w:marRight w:val="0"/>
      <w:marTop w:val="0"/>
      <w:marBottom w:val="0"/>
      <w:divBdr>
        <w:top w:val="none" w:sz="0" w:space="0" w:color="auto"/>
        <w:left w:val="none" w:sz="0" w:space="0" w:color="auto"/>
        <w:bottom w:val="none" w:sz="0" w:space="0" w:color="auto"/>
        <w:right w:val="none" w:sz="0" w:space="0" w:color="auto"/>
      </w:divBdr>
    </w:div>
    <w:div w:id="723917145">
      <w:bodyDiv w:val="1"/>
      <w:marLeft w:val="0"/>
      <w:marRight w:val="0"/>
      <w:marTop w:val="0"/>
      <w:marBottom w:val="0"/>
      <w:divBdr>
        <w:top w:val="none" w:sz="0" w:space="0" w:color="auto"/>
        <w:left w:val="none" w:sz="0" w:space="0" w:color="auto"/>
        <w:bottom w:val="none" w:sz="0" w:space="0" w:color="auto"/>
        <w:right w:val="none" w:sz="0" w:space="0" w:color="auto"/>
      </w:divBdr>
    </w:div>
    <w:div w:id="724530602">
      <w:bodyDiv w:val="1"/>
      <w:marLeft w:val="0"/>
      <w:marRight w:val="0"/>
      <w:marTop w:val="0"/>
      <w:marBottom w:val="0"/>
      <w:divBdr>
        <w:top w:val="none" w:sz="0" w:space="0" w:color="auto"/>
        <w:left w:val="none" w:sz="0" w:space="0" w:color="auto"/>
        <w:bottom w:val="none" w:sz="0" w:space="0" w:color="auto"/>
        <w:right w:val="none" w:sz="0" w:space="0" w:color="auto"/>
      </w:divBdr>
    </w:div>
    <w:div w:id="725492090">
      <w:bodyDiv w:val="1"/>
      <w:marLeft w:val="0"/>
      <w:marRight w:val="0"/>
      <w:marTop w:val="0"/>
      <w:marBottom w:val="0"/>
      <w:divBdr>
        <w:top w:val="none" w:sz="0" w:space="0" w:color="auto"/>
        <w:left w:val="none" w:sz="0" w:space="0" w:color="auto"/>
        <w:bottom w:val="none" w:sz="0" w:space="0" w:color="auto"/>
        <w:right w:val="none" w:sz="0" w:space="0" w:color="auto"/>
      </w:divBdr>
    </w:div>
    <w:div w:id="726074215">
      <w:bodyDiv w:val="1"/>
      <w:marLeft w:val="0"/>
      <w:marRight w:val="0"/>
      <w:marTop w:val="0"/>
      <w:marBottom w:val="0"/>
      <w:divBdr>
        <w:top w:val="none" w:sz="0" w:space="0" w:color="auto"/>
        <w:left w:val="none" w:sz="0" w:space="0" w:color="auto"/>
        <w:bottom w:val="none" w:sz="0" w:space="0" w:color="auto"/>
        <w:right w:val="none" w:sz="0" w:space="0" w:color="auto"/>
      </w:divBdr>
    </w:div>
    <w:div w:id="728190795">
      <w:bodyDiv w:val="1"/>
      <w:marLeft w:val="0"/>
      <w:marRight w:val="0"/>
      <w:marTop w:val="0"/>
      <w:marBottom w:val="0"/>
      <w:divBdr>
        <w:top w:val="none" w:sz="0" w:space="0" w:color="auto"/>
        <w:left w:val="none" w:sz="0" w:space="0" w:color="auto"/>
        <w:bottom w:val="none" w:sz="0" w:space="0" w:color="auto"/>
        <w:right w:val="none" w:sz="0" w:space="0" w:color="auto"/>
      </w:divBdr>
    </w:div>
    <w:div w:id="729962464">
      <w:bodyDiv w:val="1"/>
      <w:marLeft w:val="0"/>
      <w:marRight w:val="0"/>
      <w:marTop w:val="0"/>
      <w:marBottom w:val="0"/>
      <w:divBdr>
        <w:top w:val="none" w:sz="0" w:space="0" w:color="auto"/>
        <w:left w:val="none" w:sz="0" w:space="0" w:color="auto"/>
        <w:bottom w:val="none" w:sz="0" w:space="0" w:color="auto"/>
        <w:right w:val="none" w:sz="0" w:space="0" w:color="auto"/>
      </w:divBdr>
    </w:div>
    <w:div w:id="730931863">
      <w:bodyDiv w:val="1"/>
      <w:marLeft w:val="0"/>
      <w:marRight w:val="0"/>
      <w:marTop w:val="0"/>
      <w:marBottom w:val="0"/>
      <w:divBdr>
        <w:top w:val="none" w:sz="0" w:space="0" w:color="auto"/>
        <w:left w:val="none" w:sz="0" w:space="0" w:color="auto"/>
        <w:bottom w:val="none" w:sz="0" w:space="0" w:color="auto"/>
        <w:right w:val="none" w:sz="0" w:space="0" w:color="auto"/>
      </w:divBdr>
    </w:div>
    <w:div w:id="736048431">
      <w:bodyDiv w:val="1"/>
      <w:marLeft w:val="0"/>
      <w:marRight w:val="0"/>
      <w:marTop w:val="0"/>
      <w:marBottom w:val="0"/>
      <w:divBdr>
        <w:top w:val="none" w:sz="0" w:space="0" w:color="auto"/>
        <w:left w:val="none" w:sz="0" w:space="0" w:color="auto"/>
        <w:bottom w:val="none" w:sz="0" w:space="0" w:color="auto"/>
        <w:right w:val="none" w:sz="0" w:space="0" w:color="auto"/>
      </w:divBdr>
    </w:div>
    <w:div w:id="737476794">
      <w:bodyDiv w:val="1"/>
      <w:marLeft w:val="0"/>
      <w:marRight w:val="0"/>
      <w:marTop w:val="0"/>
      <w:marBottom w:val="0"/>
      <w:divBdr>
        <w:top w:val="none" w:sz="0" w:space="0" w:color="auto"/>
        <w:left w:val="none" w:sz="0" w:space="0" w:color="auto"/>
        <w:bottom w:val="none" w:sz="0" w:space="0" w:color="auto"/>
        <w:right w:val="none" w:sz="0" w:space="0" w:color="auto"/>
      </w:divBdr>
    </w:div>
    <w:div w:id="738986870">
      <w:bodyDiv w:val="1"/>
      <w:marLeft w:val="0"/>
      <w:marRight w:val="0"/>
      <w:marTop w:val="0"/>
      <w:marBottom w:val="0"/>
      <w:divBdr>
        <w:top w:val="none" w:sz="0" w:space="0" w:color="auto"/>
        <w:left w:val="none" w:sz="0" w:space="0" w:color="auto"/>
        <w:bottom w:val="none" w:sz="0" w:space="0" w:color="auto"/>
        <w:right w:val="none" w:sz="0" w:space="0" w:color="auto"/>
      </w:divBdr>
    </w:div>
    <w:div w:id="742218211">
      <w:bodyDiv w:val="1"/>
      <w:marLeft w:val="0"/>
      <w:marRight w:val="0"/>
      <w:marTop w:val="0"/>
      <w:marBottom w:val="0"/>
      <w:divBdr>
        <w:top w:val="none" w:sz="0" w:space="0" w:color="auto"/>
        <w:left w:val="none" w:sz="0" w:space="0" w:color="auto"/>
        <w:bottom w:val="none" w:sz="0" w:space="0" w:color="auto"/>
        <w:right w:val="none" w:sz="0" w:space="0" w:color="auto"/>
      </w:divBdr>
    </w:div>
    <w:div w:id="743576534">
      <w:bodyDiv w:val="1"/>
      <w:marLeft w:val="0"/>
      <w:marRight w:val="0"/>
      <w:marTop w:val="0"/>
      <w:marBottom w:val="0"/>
      <w:divBdr>
        <w:top w:val="none" w:sz="0" w:space="0" w:color="auto"/>
        <w:left w:val="none" w:sz="0" w:space="0" w:color="auto"/>
        <w:bottom w:val="none" w:sz="0" w:space="0" w:color="auto"/>
        <w:right w:val="none" w:sz="0" w:space="0" w:color="auto"/>
      </w:divBdr>
    </w:div>
    <w:div w:id="746194070">
      <w:bodyDiv w:val="1"/>
      <w:marLeft w:val="0"/>
      <w:marRight w:val="0"/>
      <w:marTop w:val="0"/>
      <w:marBottom w:val="0"/>
      <w:divBdr>
        <w:top w:val="none" w:sz="0" w:space="0" w:color="auto"/>
        <w:left w:val="none" w:sz="0" w:space="0" w:color="auto"/>
        <w:bottom w:val="none" w:sz="0" w:space="0" w:color="auto"/>
        <w:right w:val="none" w:sz="0" w:space="0" w:color="auto"/>
      </w:divBdr>
    </w:div>
    <w:div w:id="746224760">
      <w:bodyDiv w:val="1"/>
      <w:marLeft w:val="0"/>
      <w:marRight w:val="0"/>
      <w:marTop w:val="0"/>
      <w:marBottom w:val="0"/>
      <w:divBdr>
        <w:top w:val="none" w:sz="0" w:space="0" w:color="auto"/>
        <w:left w:val="none" w:sz="0" w:space="0" w:color="auto"/>
        <w:bottom w:val="none" w:sz="0" w:space="0" w:color="auto"/>
        <w:right w:val="none" w:sz="0" w:space="0" w:color="auto"/>
      </w:divBdr>
    </w:div>
    <w:div w:id="746541704">
      <w:bodyDiv w:val="1"/>
      <w:marLeft w:val="0"/>
      <w:marRight w:val="0"/>
      <w:marTop w:val="0"/>
      <w:marBottom w:val="0"/>
      <w:divBdr>
        <w:top w:val="none" w:sz="0" w:space="0" w:color="auto"/>
        <w:left w:val="none" w:sz="0" w:space="0" w:color="auto"/>
        <w:bottom w:val="none" w:sz="0" w:space="0" w:color="auto"/>
        <w:right w:val="none" w:sz="0" w:space="0" w:color="auto"/>
      </w:divBdr>
    </w:div>
    <w:div w:id="751900394">
      <w:bodyDiv w:val="1"/>
      <w:marLeft w:val="0"/>
      <w:marRight w:val="0"/>
      <w:marTop w:val="0"/>
      <w:marBottom w:val="0"/>
      <w:divBdr>
        <w:top w:val="none" w:sz="0" w:space="0" w:color="auto"/>
        <w:left w:val="none" w:sz="0" w:space="0" w:color="auto"/>
        <w:bottom w:val="none" w:sz="0" w:space="0" w:color="auto"/>
        <w:right w:val="none" w:sz="0" w:space="0" w:color="auto"/>
      </w:divBdr>
    </w:div>
    <w:div w:id="753012403">
      <w:bodyDiv w:val="1"/>
      <w:marLeft w:val="0"/>
      <w:marRight w:val="0"/>
      <w:marTop w:val="0"/>
      <w:marBottom w:val="0"/>
      <w:divBdr>
        <w:top w:val="none" w:sz="0" w:space="0" w:color="auto"/>
        <w:left w:val="none" w:sz="0" w:space="0" w:color="auto"/>
        <w:bottom w:val="none" w:sz="0" w:space="0" w:color="auto"/>
        <w:right w:val="none" w:sz="0" w:space="0" w:color="auto"/>
      </w:divBdr>
    </w:div>
    <w:div w:id="759638470">
      <w:bodyDiv w:val="1"/>
      <w:marLeft w:val="0"/>
      <w:marRight w:val="0"/>
      <w:marTop w:val="0"/>
      <w:marBottom w:val="0"/>
      <w:divBdr>
        <w:top w:val="none" w:sz="0" w:space="0" w:color="auto"/>
        <w:left w:val="none" w:sz="0" w:space="0" w:color="auto"/>
        <w:bottom w:val="none" w:sz="0" w:space="0" w:color="auto"/>
        <w:right w:val="none" w:sz="0" w:space="0" w:color="auto"/>
      </w:divBdr>
    </w:div>
    <w:div w:id="760680920">
      <w:bodyDiv w:val="1"/>
      <w:marLeft w:val="0"/>
      <w:marRight w:val="0"/>
      <w:marTop w:val="0"/>
      <w:marBottom w:val="0"/>
      <w:divBdr>
        <w:top w:val="none" w:sz="0" w:space="0" w:color="auto"/>
        <w:left w:val="none" w:sz="0" w:space="0" w:color="auto"/>
        <w:bottom w:val="none" w:sz="0" w:space="0" w:color="auto"/>
        <w:right w:val="none" w:sz="0" w:space="0" w:color="auto"/>
      </w:divBdr>
    </w:div>
    <w:div w:id="761873525">
      <w:bodyDiv w:val="1"/>
      <w:marLeft w:val="0"/>
      <w:marRight w:val="0"/>
      <w:marTop w:val="0"/>
      <w:marBottom w:val="0"/>
      <w:divBdr>
        <w:top w:val="none" w:sz="0" w:space="0" w:color="auto"/>
        <w:left w:val="none" w:sz="0" w:space="0" w:color="auto"/>
        <w:bottom w:val="none" w:sz="0" w:space="0" w:color="auto"/>
        <w:right w:val="none" w:sz="0" w:space="0" w:color="auto"/>
      </w:divBdr>
    </w:div>
    <w:div w:id="762341627">
      <w:bodyDiv w:val="1"/>
      <w:marLeft w:val="0"/>
      <w:marRight w:val="0"/>
      <w:marTop w:val="0"/>
      <w:marBottom w:val="0"/>
      <w:divBdr>
        <w:top w:val="none" w:sz="0" w:space="0" w:color="auto"/>
        <w:left w:val="none" w:sz="0" w:space="0" w:color="auto"/>
        <w:bottom w:val="none" w:sz="0" w:space="0" w:color="auto"/>
        <w:right w:val="none" w:sz="0" w:space="0" w:color="auto"/>
      </w:divBdr>
    </w:div>
    <w:div w:id="762459399">
      <w:bodyDiv w:val="1"/>
      <w:marLeft w:val="0"/>
      <w:marRight w:val="0"/>
      <w:marTop w:val="0"/>
      <w:marBottom w:val="0"/>
      <w:divBdr>
        <w:top w:val="none" w:sz="0" w:space="0" w:color="auto"/>
        <w:left w:val="none" w:sz="0" w:space="0" w:color="auto"/>
        <w:bottom w:val="none" w:sz="0" w:space="0" w:color="auto"/>
        <w:right w:val="none" w:sz="0" w:space="0" w:color="auto"/>
      </w:divBdr>
    </w:div>
    <w:div w:id="764032897">
      <w:bodyDiv w:val="1"/>
      <w:marLeft w:val="0"/>
      <w:marRight w:val="0"/>
      <w:marTop w:val="0"/>
      <w:marBottom w:val="0"/>
      <w:divBdr>
        <w:top w:val="none" w:sz="0" w:space="0" w:color="auto"/>
        <w:left w:val="none" w:sz="0" w:space="0" w:color="auto"/>
        <w:bottom w:val="none" w:sz="0" w:space="0" w:color="auto"/>
        <w:right w:val="none" w:sz="0" w:space="0" w:color="auto"/>
      </w:divBdr>
    </w:div>
    <w:div w:id="765468098">
      <w:bodyDiv w:val="1"/>
      <w:marLeft w:val="0"/>
      <w:marRight w:val="0"/>
      <w:marTop w:val="0"/>
      <w:marBottom w:val="0"/>
      <w:divBdr>
        <w:top w:val="none" w:sz="0" w:space="0" w:color="auto"/>
        <w:left w:val="none" w:sz="0" w:space="0" w:color="auto"/>
        <w:bottom w:val="none" w:sz="0" w:space="0" w:color="auto"/>
        <w:right w:val="none" w:sz="0" w:space="0" w:color="auto"/>
      </w:divBdr>
    </w:div>
    <w:div w:id="769162662">
      <w:bodyDiv w:val="1"/>
      <w:marLeft w:val="0"/>
      <w:marRight w:val="0"/>
      <w:marTop w:val="0"/>
      <w:marBottom w:val="0"/>
      <w:divBdr>
        <w:top w:val="none" w:sz="0" w:space="0" w:color="auto"/>
        <w:left w:val="none" w:sz="0" w:space="0" w:color="auto"/>
        <w:bottom w:val="none" w:sz="0" w:space="0" w:color="auto"/>
        <w:right w:val="none" w:sz="0" w:space="0" w:color="auto"/>
      </w:divBdr>
    </w:div>
    <w:div w:id="773212778">
      <w:bodyDiv w:val="1"/>
      <w:marLeft w:val="0"/>
      <w:marRight w:val="0"/>
      <w:marTop w:val="0"/>
      <w:marBottom w:val="0"/>
      <w:divBdr>
        <w:top w:val="none" w:sz="0" w:space="0" w:color="auto"/>
        <w:left w:val="none" w:sz="0" w:space="0" w:color="auto"/>
        <w:bottom w:val="none" w:sz="0" w:space="0" w:color="auto"/>
        <w:right w:val="none" w:sz="0" w:space="0" w:color="auto"/>
      </w:divBdr>
    </w:div>
    <w:div w:id="778179502">
      <w:bodyDiv w:val="1"/>
      <w:marLeft w:val="0"/>
      <w:marRight w:val="0"/>
      <w:marTop w:val="0"/>
      <w:marBottom w:val="0"/>
      <w:divBdr>
        <w:top w:val="none" w:sz="0" w:space="0" w:color="auto"/>
        <w:left w:val="none" w:sz="0" w:space="0" w:color="auto"/>
        <w:bottom w:val="none" w:sz="0" w:space="0" w:color="auto"/>
        <w:right w:val="none" w:sz="0" w:space="0" w:color="auto"/>
      </w:divBdr>
    </w:div>
    <w:div w:id="778529438">
      <w:bodyDiv w:val="1"/>
      <w:marLeft w:val="0"/>
      <w:marRight w:val="0"/>
      <w:marTop w:val="0"/>
      <w:marBottom w:val="0"/>
      <w:divBdr>
        <w:top w:val="none" w:sz="0" w:space="0" w:color="auto"/>
        <w:left w:val="none" w:sz="0" w:space="0" w:color="auto"/>
        <w:bottom w:val="none" w:sz="0" w:space="0" w:color="auto"/>
        <w:right w:val="none" w:sz="0" w:space="0" w:color="auto"/>
      </w:divBdr>
    </w:div>
    <w:div w:id="805850893">
      <w:bodyDiv w:val="1"/>
      <w:marLeft w:val="0"/>
      <w:marRight w:val="0"/>
      <w:marTop w:val="0"/>
      <w:marBottom w:val="0"/>
      <w:divBdr>
        <w:top w:val="none" w:sz="0" w:space="0" w:color="auto"/>
        <w:left w:val="none" w:sz="0" w:space="0" w:color="auto"/>
        <w:bottom w:val="none" w:sz="0" w:space="0" w:color="auto"/>
        <w:right w:val="none" w:sz="0" w:space="0" w:color="auto"/>
      </w:divBdr>
    </w:div>
    <w:div w:id="807670343">
      <w:bodyDiv w:val="1"/>
      <w:marLeft w:val="0"/>
      <w:marRight w:val="0"/>
      <w:marTop w:val="0"/>
      <w:marBottom w:val="0"/>
      <w:divBdr>
        <w:top w:val="none" w:sz="0" w:space="0" w:color="auto"/>
        <w:left w:val="none" w:sz="0" w:space="0" w:color="auto"/>
        <w:bottom w:val="none" w:sz="0" w:space="0" w:color="auto"/>
        <w:right w:val="none" w:sz="0" w:space="0" w:color="auto"/>
      </w:divBdr>
    </w:div>
    <w:div w:id="809714362">
      <w:bodyDiv w:val="1"/>
      <w:marLeft w:val="0"/>
      <w:marRight w:val="0"/>
      <w:marTop w:val="0"/>
      <w:marBottom w:val="0"/>
      <w:divBdr>
        <w:top w:val="none" w:sz="0" w:space="0" w:color="auto"/>
        <w:left w:val="none" w:sz="0" w:space="0" w:color="auto"/>
        <w:bottom w:val="none" w:sz="0" w:space="0" w:color="auto"/>
        <w:right w:val="none" w:sz="0" w:space="0" w:color="auto"/>
      </w:divBdr>
    </w:div>
    <w:div w:id="811170537">
      <w:bodyDiv w:val="1"/>
      <w:marLeft w:val="0"/>
      <w:marRight w:val="0"/>
      <w:marTop w:val="0"/>
      <w:marBottom w:val="0"/>
      <w:divBdr>
        <w:top w:val="none" w:sz="0" w:space="0" w:color="auto"/>
        <w:left w:val="none" w:sz="0" w:space="0" w:color="auto"/>
        <w:bottom w:val="none" w:sz="0" w:space="0" w:color="auto"/>
        <w:right w:val="none" w:sz="0" w:space="0" w:color="auto"/>
      </w:divBdr>
    </w:div>
    <w:div w:id="811948475">
      <w:bodyDiv w:val="1"/>
      <w:marLeft w:val="0"/>
      <w:marRight w:val="0"/>
      <w:marTop w:val="0"/>
      <w:marBottom w:val="0"/>
      <w:divBdr>
        <w:top w:val="none" w:sz="0" w:space="0" w:color="auto"/>
        <w:left w:val="none" w:sz="0" w:space="0" w:color="auto"/>
        <w:bottom w:val="none" w:sz="0" w:space="0" w:color="auto"/>
        <w:right w:val="none" w:sz="0" w:space="0" w:color="auto"/>
      </w:divBdr>
    </w:div>
    <w:div w:id="812792681">
      <w:bodyDiv w:val="1"/>
      <w:marLeft w:val="0"/>
      <w:marRight w:val="0"/>
      <w:marTop w:val="0"/>
      <w:marBottom w:val="0"/>
      <w:divBdr>
        <w:top w:val="none" w:sz="0" w:space="0" w:color="auto"/>
        <w:left w:val="none" w:sz="0" w:space="0" w:color="auto"/>
        <w:bottom w:val="none" w:sz="0" w:space="0" w:color="auto"/>
        <w:right w:val="none" w:sz="0" w:space="0" w:color="auto"/>
      </w:divBdr>
    </w:div>
    <w:div w:id="818501259">
      <w:bodyDiv w:val="1"/>
      <w:marLeft w:val="0"/>
      <w:marRight w:val="0"/>
      <w:marTop w:val="0"/>
      <w:marBottom w:val="0"/>
      <w:divBdr>
        <w:top w:val="none" w:sz="0" w:space="0" w:color="auto"/>
        <w:left w:val="none" w:sz="0" w:space="0" w:color="auto"/>
        <w:bottom w:val="none" w:sz="0" w:space="0" w:color="auto"/>
        <w:right w:val="none" w:sz="0" w:space="0" w:color="auto"/>
      </w:divBdr>
    </w:div>
    <w:div w:id="823623667">
      <w:bodyDiv w:val="1"/>
      <w:marLeft w:val="0"/>
      <w:marRight w:val="0"/>
      <w:marTop w:val="0"/>
      <w:marBottom w:val="0"/>
      <w:divBdr>
        <w:top w:val="none" w:sz="0" w:space="0" w:color="auto"/>
        <w:left w:val="none" w:sz="0" w:space="0" w:color="auto"/>
        <w:bottom w:val="none" w:sz="0" w:space="0" w:color="auto"/>
        <w:right w:val="none" w:sz="0" w:space="0" w:color="auto"/>
      </w:divBdr>
    </w:div>
    <w:div w:id="829371564">
      <w:bodyDiv w:val="1"/>
      <w:marLeft w:val="0"/>
      <w:marRight w:val="0"/>
      <w:marTop w:val="0"/>
      <w:marBottom w:val="0"/>
      <w:divBdr>
        <w:top w:val="none" w:sz="0" w:space="0" w:color="auto"/>
        <w:left w:val="none" w:sz="0" w:space="0" w:color="auto"/>
        <w:bottom w:val="none" w:sz="0" w:space="0" w:color="auto"/>
        <w:right w:val="none" w:sz="0" w:space="0" w:color="auto"/>
      </w:divBdr>
    </w:div>
    <w:div w:id="834489484">
      <w:bodyDiv w:val="1"/>
      <w:marLeft w:val="0"/>
      <w:marRight w:val="0"/>
      <w:marTop w:val="0"/>
      <w:marBottom w:val="0"/>
      <w:divBdr>
        <w:top w:val="none" w:sz="0" w:space="0" w:color="auto"/>
        <w:left w:val="none" w:sz="0" w:space="0" w:color="auto"/>
        <w:bottom w:val="none" w:sz="0" w:space="0" w:color="auto"/>
        <w:right w:val="none" w:sz="0" w:space="0" w:color="auto"/>
      </w:divBdr>
    </w:div>
    <w:div w:id="834881326">
      <w:bodyDiv w:val="1"/>
      <w:marLeft w:val="0"/>
      <w:marRight w:val="0"/>
      <w:marTop w:val="0"/>
      <w:marBottom w:val="0"/>
      <w:divBdr>
        <w:top w:val="none" w:sz="0" w:space="0" w:color="auto"/>
        <w:left w:val="none" w:sz="0" w:space="0" w:color="auto"/>
        <w:bottom w:val="none" w:sz="0" w:space="0" w:color="auto"/>
        <w:right w:val="none" w:sz="0" w:space="0" w:color="auto"/>
      </w:divBdr>
    </w:div>
    <w:div w:id="837889901">
      <w:bodyDiv w:val="1"/>
      <w:marLeft w:val="0"/>
      <w:marRight w:val="0"/>
      <w:marTop w:val="0"/>
      <w:marBottom w:val="0"/>
      <w:divBdr>
        <w:top w:val="none" w:sz="0" w:space="0" w:color="auto"/>
        <w:left w:val="none" w:sz="0" w:space="0" w:color="auto"/>
        <w:bottom w:val="none" w:sz="0" w:space="0" w:color="auto"/>
        <w:right w:val="none" w:sz="0" w:space="0" w:color="auto"/>
      </w:divBdr>
    </w:div>
    <w:div w:id="841776889">
      <w:bodyDiv w:val="1"/>
      <w:marLeft w:val="0"/>
      <w:marRight w:val="0"/>
      <w:marTop w:val="0"/>
      <w:marBottom w:val="0"/>
      <w:divBdr>
        <w:top w:val="none" w:sz="0" w:space="0" w:color="auto"/>
        <w:left w:val="none" w:sz="0" w:space="0" w:color="auto"/>
        <w:bottom w:val="none" w:sz="0" w:space="0" w:color="auto"/>
        <w:right w:val="none" w:sz="0" w:space="0" w:color="auto"/>
      </w:divBdr>
    </w:div>
    <w:div w:id="845052508">
      <w:bodyDiv w:val="1"/>
      <w:marLeft w:val="0"/>
      <w:marRight w:val="0"/>
      <w:marTop w:val="0"/>
      <w:marBottom w:val="0"/>
      <w:divBdr>
        <w:top w:val="none" w:sz="0" w:space="0" w:color="auto"/>
        <w:left w:val="none" w:sz="0" w:space="0" w:color="auto"/>
        <w:bottom w:val="none" w:sz="0" w:space="0" w:color="auto"/>
        <w:right w:val="none" w:sz="0" w:space="0" w:color="auto"/>
      </w:divBdr>
    </w:div>
    <w:div w:id="845822918">
      <w:bodyDiv w:val="1"/>
      <w:marLeft w:val="0"/>
      <w:marRight w:val="0"/>
      <w:marTop w:val="0"/>
      <w:marBottom w:val="0"/>
      <w:divBdr>
        <w:top w:val="none" w:sz="0" w:space="0" w:color="auto"/>
        <w:left w:val="none" w:sz="0" w:space="0" w:color="auto"/>
        <w:bottom w:val="none" w:sz="0" w:space="0" w:color="auto"/>
        <w:right w:val="none" w:sz="0" w:space="0" w:color="auto"/>
      </w:divBdr>
    </w:div>
    <w:div w:id="854999369">
      <w:bodyDiv w:val="1"/>
      <w:marLeft w:val="0"/>
      <w:marRight w:val="0"/>
      <w:marTop w:val="0"/>
      <w:marBottom w:val="0"/>
      <w:divBdr>
        <w:top w:val="none" w:sz="0" w:space="0" w:color="auto"/>
        <w:left w:val="none" w:sz="0" w:space="0" w:color="auto"/>
        <w:bottom w:val="none" w:sz="0" w:space="0" w:color="auto"/>
        <w:right w:val="none" w:sz="0" w:space="0" w:color="auto"/>
      </w:divBdr>
    </w:div>
    <w:div w:id="855387591">
      <w:bodyDiv w:val="1"/>
      <w:marLeft w:val="0"/>
      <w:marRight w:val="0"/>
      <w:marTop w:val="0"/>
      <w:marBottom w:val="0"/>
      <w:divBdr>
        <w:top w:val="none" w:sz="0" w:space="0" w:color="auto"/>
        <w:left w:val="none" w:sz="0" w:space="0" w:color="auto"/>
        <w:bottom w:val="none" w:sz="0" w:space="0" w:color="auto"/>
        <w:right w:val="none" w:sz="0" w:space="0" w:color="auto"/>
      </w:divBdr>
    </w:div>
    <w:div w:id="860049670">
      <w:bodyDiv w:val="1"/>
      <w:marLeft w:val="0"/>
      <w:marRight w:val="0"/>
      <w:marTop w:val="0"/>
      <w:marBottom w:val="0"/>
      <w:divBdr>
        <w:top w:val="none" w:sz="0" w:space="0" w:color="auto"/>
        <w:left w:val="none" w:sz="0" w:space="0" w:color="auto"/>
        <w:bottom w:val="none" w:sz="0" w:space="0" w:color="auto"/>
        <w:right w:val="none" w:sz="0" w:space="0" w:color="auto"/>
      </w:divBdr>
    </w:div>
    <w:div w:id="860509397">
      <w:bodyDiv w:val="1"/>
      <w:marLeft w:val="0"/>
      <w:marRight w:val="0"/>
      <w:marTop w:val="0"/>
      <w:marBottom w:val="0"/>
      <w:divBdr>
        <w:top w:val="none" w:sz="0" w:space="0" w:color="auto"/>
        <w:left w:val="none" w:sz="0" w:space="0" w:color="auto"/>
        <w:bottom w:val="none" w:sz="0" w:space="0" w:color="auto"/>
        <w:right w:val="none" w:sz="0" w:space="0" w:color="auto"/>
      </w:divBdr>
    </w:div>
    <w:div w:id="865682111">
      <w:bodyDiv w:val="1"/>
      <w:marLeft w:val="0"/>
      <w:marRight w:val="0"/>
      <w:marTop w:val="0"/>
      <w:marBottom w:val="0"/>
      <w:divBdr>
        <w:top w:val="none" w:sz="0" w:space="0" w:color="auto"/>
        <w:left w:val="none" w:sz="0" w:space="0" w:color="auto"/>
        <w:bottom w:val="none" w:sz="0" w:space="0" w:color="auto"/>
        <w:right w:val="none" w:sz="0" w:space="0" w:color="auto"/>
      </w:divBdr>
    </w:div>
    <w:div w:id="880751007">
      <w:bodyDiv w:val="1"/>
      <w:marLeft w:val="0"/>
      <w:marRight w:val="0"/>
      <w:marTop w:val="0"/>
      <w:marBottom w:val="0"/>
      <w:divBdr>
        <w:top w:val="none" w:sz="0" w:space="0" w:color="auto"/>
        <w:left w:val="none" w:sz="0" w:space="0" w:color="auto"/>
        <w:bottom w:val="none" w:sz="0" w:space="0" w:color="auto"/>
        <w:right w:val="none" w:sz="0" w:space="0" w:color="auto"/>
      </w:divBdr>
    </w:div>
    <w:div w:id="885027486">
      <w:bodyDiv w:val="1"/>
      <w:marLeft w:val="0"/>
      <w:marRight w:val="0"/>
      <w:marTop w:val="0"/>
      <w:marBottom w:val="0"/>
      <w:divBdr>
        <w:top w:val="none" w:sz="0" w:space="0" w:color="auto"/>
        <w:left w:val="none" w:sz="0" w:space="0" w:color="auto"/>
        <w:bottom w:val="none" w:sz="0" w:space="0" w:color="auto"/>
        <w:right w:val="none" w:sz="0" w:space="0" w:color="auto"/>
      </w:divBdr>
    </w:div>
    <w:div w:id="897714819">
      <w:bodyDiv w:val="1"/>
      <w:marLeft w:val="0"/>
      <w:marRight w:val="0"/>
      <w:marTop w:val="0"/>
      <w:marBottom w:val="0"/>
      <w:divBdr>
        <w:top w:val="none" w:sz="0" w:space="0" w:color="auto"/>
        <w:left w:val="none" w:sz="0" w:space="0" w:color="auto"/>
        <w:bottom w:val="none" w:sz="0" w:space="0" w:color="auto"/>
        <w:right w:val="none" w:sz="0" w:space="0" w:color="auto"/>
      </w:divBdr>
    </w:div>
    <w:div w:id="899483495">
      <w:bodyDiv w:val="1"/>
      <w:marLeft w:val="0"/>
      <w:marRight w:val="0"/>
      <w:marTop w:val="0"/>
      <w:marBottom w:val="0"/>
      <w:divBdr>
        <w:top w:val="none" w:sz="0" w:space="0" w:color="auto"/>
        <w:left w:val="none" w:sz="0" w:space="0" w:color="auto"/>
        <w:bottom w:val="none" w:sz="0" w:space="0" w:color="auto"/>
        <w:right w:val="none" w:sz="0" w:space="0" w:color="auto"/>
      </w:divBdr>
    </w:div>
    <w:div w:id="901521126">
      <w:bodyDiv w:val="1"/>
      <w:marLeft w:val="0"/>
      <w:marRight w:val="0"/>
      <w:marTop w:val="0"/>
      <w:marBottom w:val="0"/>
      <w:divBdr>
        <w:top w:val="none" w:sz="0" w:space="0" w:color="auto"/>
        <w:left w:val="none" w:sz="0" w:space="0" w:color="auto"/>
        <w:bottom w:val="none" w:sz="0" w:space="0" w:color="auto"/>
        <w:right w:val="none" w:sz="0" w:space="0" w:color="auto"/>
      </w:divBdr>
    </w:div>
    <w:div w:id="907301315">
      <w:bodyDiv w:val="1"/>
      <w:marLeft w:val="0"/>
      <w:marRight w:val="0"/>
      <w:marTop w:val="0"/>
      <w:marBottom w:val="0"/>
      <w:divBdr>
        <w:top w:val="none" w:sz="0" w:space="0" w:color="auto"/>
        <w:left w:val="none" w:sz="0" w:space="0" w:color="auto"/>
        <w:bottom w:val="none" w:sz="0" w:space="0" w:color="auto"/>
        <w:right w:val="none" w:sz="0" w:space="0" w:color="auto"/>
      </w:divBdr>
    </w:div>
    <w:div w:id="913710679">
      <w:bodyDiv w:val="1"/>
      <w:marLeft w:val="0"/>
      <w:marRight w:val="0"/>
      <w:marTop w:val="0"/>
      <w:marBottom w:val="0"/>
      <w:divBdr>
        <w:top w:val="none" w:sz="0" w:space="0" w:color="auto"/>
        <w:left w:val="none" w:sz="0" w:space="0" w:color="auto"/>
        <w:bottom w:val="none" w:sz="0" w:space="0" w:color="auto"/>
        <w:right w:val="none" w:sz="0" w:space="0" w:color="auto"/>
      </w:divBdr>
    </w:div>
    <w:div w:id="914363509">
      <w:bodyDiv w:val="1"/>
      <w:marLeft w:val="0"/>
      <w:marRight w:val="0"/>
      <w:marTop w:val="0"/>
      <w:marBottom w:val="0"/>
      <w:divBdr>
        <w:top w:val="none" w:sz="0" w:space="0" w:color="auto"/>
        <w:left w:val="none" w:sz="0" w:space="0" w:color="auto"/>
        <w:bottom w:val="none" w:sz="0" w:space="0" w:color="auto"/>
        <w:right w:val="none" w:sz="0" w:space="0" w:color="auto"/>
      </w:divBdr>
    </w:div>
    <w:div w:id="915937460">
      <w:bodyDiv w:val="1"/>
      <w:marLeft w:val="0"/>
      <w:marRight w:val="0"/>
      <w:marTop w:val="0"/>
      <w:marBottom w:val="0"/>
      <w:divBdr>
        <w:top w:val="none" w:sz="0" w:space="0" w:color="auto"/>
        <w:left w:val="none" w:sz="0" w:space="0" w:color="auto"/>
        <w:bottom w:val="none" w:sz="0" w:space="0" w:color="auto"/>
        <w:right w:val="none" w:sz="0" w:space="0" w:color="auto"/>
      </w:divBdr>
    </w:div>
    <w:div w:id="921990799">
      <w:bodyDiv w:val="1"/>
      <w:marLeft w:val="0"/>
      <w:marRight w:val="0"/>
      <w:marTop w:val="0"/>
      <w:marBottom w:val="0"/>
      <w:divBdr>
        <w:top w:val="none" w:sz="0" w:space="0" w:color="auto"/>
        <w:left w:val="none" w:sz="0" w:space="0" w:color="auto"/>
        <w:bottom w:val="none" w:sz="0" w:space="0" w:color="auto"/>
        <w:right w:val="none" w:sz="0" w:space="0" w:color="auto"/>
      </w:divBdr>
    </w:div>
    <w:div w:id="924344715">
      <w:bodyDiv w:val="1"/>
      <w:marLeft w:val="0"/>
      <w:marRight w:val="0"/>
      <w:marTop w:val="0"/>
      <w:marBottom w:val="0"/>
      <w:divBdr>
        <w:top w:val="none" w:sz="0" w:space="0" w:color="auto"/>
        <w:left w:val="none" w:sz="0" w:space="0" w:color="auto"/>
        <w:bottom w:val="none" w:sz="0" w:space="0" w:color="auto"/>
        <w:right w:val="none" w:sz="0" w:space="0" w:color="auto"/>
      </w:divBdr>
    </w:div>
    <w:div w:id="927617070">
      <w:bodyDiv w:val="1"/>
      <w:marLeft w:val="0"/>
      <w:marRight w:val="0"/>
      <w:marTop w:val="0"/>
      <w:marBottom w:val="0"/>
      <w:divBdr>
        <w:top w:val="none" w:sz="0" w:space="0" w:color="auto"/>
        <w:left w:val="none" w:sz="0" w:space="0" w:color="auto"/>
        <w:bottom w:val="none" w:sz="0" w:space="0" w:color="auto"/>
        <w:right w:val="none" w:sz="0" w:space="0" w:color="auto"/>
      </w:divBdr>
    </w:div>
    <w:div w:id="942499320">
      <w:bodyDiv w:val="1"/>
      <w:marLeft w:val="0"/>
      <w:marRight w:val="0"/>
      <w:marTop w:val="0"/>
      <w:marBottom w:val="0"/>
      <w:divBdr>
        <w:top w:val="none" w:sz="0" w:space="0" w:color="auto"/>
        <w:left w:val="none" w:sz="0" w:space="0" w:color="auto"/>
        <w:bottom w:val="none" w:sz="0" w:space="0" w:color="auto"/>
        <w:right w:val="none" w:sz="0" w:space="0" w:color="auto"/>
      </w:divBdr>
    </w:div>
    <w:div w:id="949974085">
      <w:bodyDiv w:val="1"/>
      <w:marLeft w:val="0"/>
      <w:marRight w:val="0"/>
      <w:marTop w:val="0"/>
      <w:marBottom w:val="0"/>
      <w:divBdr>
        <w:top w:val="none" w:sz="0" w:space="0" w:color="auto"/>
        <w:left w:val="none" w:sz="0" w:space="0" w:color="auto"/>
        <w:bottom w:val="none" w:sz="0" w:space="0" w:color="auto"/>
        <w:right w:val="none" w:sz="0" w:space="0" w:color="auto"/>
      </w:divBdr>
    </w:div>
    <w:div w:id="954554298">
      <w:bodyDiv w:val="1"/>
      <w:marLeft w:val="0"/>
      <w:marRight w:val="0"/>
      <w:marTop w:val="0"/>
      <w:marBottom w:val="0"/>
      <w:divBdr>
        <w:top w:val="none" w:sz="0" w:space="0" w:color="auto"/>
        <w:left w:val="none" w:sz="0" w:space="0" w:color="auto"/>
        <w:bottom w:val="none" w:sz="0" w:space="0" w:color="auto"/>
        <w:right w:val="none" w:sz="0" w:space="0" w:color="auto"/>
      </w:divBdr>
    </w:div>
    <w:div w:id="957565206">
      <w:bodyDiv w:val="1"/>
      <w:marLeft w:val="0"/>
      <w:marRight w:val="0"/>
      <w:marTop w:val="0"/>
      <w:marBottom w:val="0"/>
      <w:divBdr>
        <w:top w:val="none" w:sz="0" w:space="0" w:color="auto"/>
        <w:left w:val="none" w:sz="0" w:space="0" w:color="auto"/>
        <w:bottom w:val="none" w:sz="0" w:space="0" w:color="auto"/>
        <w:right w:val="none" w:sz="0" w:space="0" w:color="auto"/>
      </w:divBdr>
    </w:div>
    <w:div w:id="958149469">
      <w:bodyDiv w:val="1"/>
      <w:marLeft w:val="0"/>
      <w:marRight w:val="0"/>
      <w:marTop w:val="0"/>
      <w:marBottom w:val="0"/>
      <w:divBdr>
        <w:top w:val="none" w:sz="0" w:space="0" w:color="auto"/>
        <w:left w:val="none" w:sz="0" w:space="0" w:color="auto"/>
        <w:bottom w:val="none" w:sz="0" w:space="0" w:color="auto"/>
        <w:right w:val="none" w:sz="0" w:space="0" w:color="auto"/>
      </w:divBdr>
    </w:div>
    <w:div w:id="963123530">
      <w:bodyDiv w:val="1"/>
      <w:marLeft w:val="0"/>
      <w:marRight w:val="0"/>
      <w:marTop w:val="0"/>
      <w:marBottom w:val="0"/>
      <w:divBdr>
        <w:top w:val="none" w:sz="0" w:space="0" w:color="auto"/>
        <w:left w:val="none" w:sz="0" w:space="0" w:color="auto"/>
        <w:bottom w:val="none" w:sz="0" w:space="0" w:color="auto"/>
        <w:right w:val="none" w:sz="0" w:space="0" w:color="auto"/>
      </w:divBdr>
    </w:div>
    <w:div w:id="974876718">
      <w:bodyDiv w:val="1"/>
      <w:marLeft w:val="0"/>
      <w:marRight w:val="0"/>
      <w:marTop w:val="0"/>
      <w:marBottom w:val="0"/>
      <w:divBdr>
        <w:top w:val="none" w:sz="0" w:space="0" w:color="auto"/>
        <w:left w:val="none" w:sz="0" w:space="0" w:color="auto"/>
        <w:bottom w:val="none" w:sz="0" w:space="0" w:color="auto"/>
        <w:right w:val="none" w:sz="0" w:space="0" w:color="auto"/>
      </w:divBdr>
    </w:div>
    <w:div w:id="983319083">
      <w:bodyDiv w:val="1"/>
      <w:marLeft w:val="0"/>
      <w:marRight w:val="0"/>
      <w:marTop w:val="0"/>
      <w:marBottom w:val="0"/>
      <w:divBdr>
        <w:top w:val="none" w:sz="0" w:space="0" w:color="auto"/>
        <w:left w:val="none" w:sz="0" w:space="0" w:color="auto"/>
        <w:bottom w:val="none" w:sz="0" w:space="0" w:color="auto"/>
        <w:right w:val="none" w:sz="0" w:space="0" w:color="auto"/>
      </w:divBdr>
    </w:div>
    <w:div w:id="991255451">
      <w:bodyDiv w:val="1"/>
      <w:marLeft w:val="0"/>
      <w:marRight w:val="0"/>
      <w:marTop w:val="0"/>
      <w:marBottom w:val="0"/>
      <w:divBdr>
        <w:top w:val="none" w:sz="0" w:space="0" w:color="auto"/>
        <w:left w:val="none" w:sz="0" w:space="0" w:color="auto"/>
        <w:bottom w:val="none" w:sz="0" w:space="0" w:color="auto"/>
        <w:right w:val="none" w:sz="0" w:space="0" w:color="auto"/>
      </w:divBdr>
    </w:div>
    <w:div w:id="991637029">
      <w:bodyDiv w:val="1"/>
      <w:marLeft w:val="0"/>
      <w:marRight w:val="0"/>
      <w:marTop w:val="0"/>
      <w:marBottom w:val="0"/>
      <w:divBdr>
        <w:top w:val="none" w:sz="0" w:space="0" w:color="auto"/>
        <w:left w:val="none" w:sz="0" w:space="0" w:color="auto"/>
        <w:bottom w:val="none" w:sz="0" w:space="0" w:color="auto"/>
        <w:right w:val="none" w:sz="0" w:space="0" w:color="auto"/>
      </w:divBdr>
    </w:div>
    <w:div w:id="992567534">
      <w:bodyDiv w:val="1"/>
      <w:marLeft w:val="0"/>
      <w:marRight w:val="0"/>
      <w:marTop w:val="0"/>
      <w:marBottom w:val="0"/>
      <w:divBdr>
        <w:top w:val="none" w:sz="0" w:space="0" w:color="auto"/>
        <w:left w:val="none" w:sz="0" w:space="0" w:color="auto"/>
        <w:bottom w:val="none" w:sz="0" w:space="0" w:color="auto"/>
        <w:right w:val="none" w:sz="0" w:space="0" w:color="auto"/>
      </w:divBdr>
    </w:div>
    <w:div w:id="996567618">
      <w:bodyDiv w:val="1"/>
      <w:marLeft w:val="0"/>
      <w:marRight w:val="0"/>
      <w:marTop w:val="0"/>
      <w:marBottom w:val="0"/>
      <w:divBdr>
        <w:top w:val="none" w:sz="0" w:space="0" w:color="auto"/>
        <w:left w:val="none" w:sz="0" w:space="0" w:color="auto"/>
        <w:bottom w:val="none" w:sz="0" w:space="0" w:color="auto"/>
        <w:right w:val="none" w:sz="0" w:space="0" w:color="auto"/>
      </w:divBdr>
    </w:div>
    <w:div w:id="1005741641">
      <w:bodyDiv w:val="1"/>
      <w:marLeft w:val="0"/>
      <w:marRight w:val="0"/>
      <w:marTop w:val="0"/>
      <w:marBottom w:val="0"/>
      <w:divBdr>
        <w:top w:val="none" w:sz="0" w:space="0" w:color="auto"/>
        <w:left w:val="none" w:sz="0" w:space="0" w:color="auto"/>
        <w:bottom w:val="none" w:sz="0" w:space="0" w:color="auto"/>
        <w:right w:val="none" w:sz="0" w:space="0" w:color="auto"/>
      </w:divBdr>
    </w:div>
    <w:div w:id="1016619306">
      <w:bodyDiv w:val="1"/>
      <w:marLeft w:val="0"/>
      <w:marRight w:val="0"/>
      <w:marTop w:val="0"/>
      <w:marBottom w:val="0"/>
      <w:divBdr>
        <w:top w:val="none" w:sz="0" w:space="0" w:color="auto"/>
        <w:left w:val="none" w:sz="0" w:space="0" w:color="auto"/>
        <w:bottom w:val="none" w:sz="0" w:space="0" w:color="auto"/>
        <w:right w:val="none" w:sz="0" w:space="0" w:color="auto"/>
      </w:divBdr>
    </w:div>
    <w:div w:id="1018891983">
      <w:bodyDiv w:val="1"/>
      <w:marLeft w:val="0"/>
      <w:marRight w:val="0"/>
      <w:marTop w:val="0"/>
      <w:marBottom w:val="0"/>
      <w:divBdr>
        <w:top w:val="none" w:sz="0" w:space="0" w:color="auto"/>
        <w:left w:val="none" w:sz="0" w:space="0" w:color="auto"/>
        <w:bottom w:val="none" w:sz="0" w:space="0" w:color="auto"/>
        <w:right w:val="none" w:sz="0" w:space="0" w:color="auto"/>
      </w:divBdr>
    </w:div>
    <w:div w:id="1021585751">
      <w:bodyDiv w:val="1"/>
      <w:marLeft w:val="0"/>
      <w:marRight w:val="0"/>
      <w:marTop w:val="0"/>
      <w:marBottom w:val="0"/>
      <w:divBdr>
        <w:top w:val="none" w:sz="0" w:space="0" w:color="auto"/>
        <w:left w:val="none" w:sz="0" w:space="0" w:color="auto"/>
        <w:bottom w:val="none" w:sz="0" w:space="0" w:color="auto"/>
        <w:right w:val="none" w:sz="0" w:space="0" w:color="auto"/>
      </w:divBdr>
    </w:div>
    <w:div w:id="1023673719">
      <w:bodyDiv w:val="1"/>
      <w:marLeft w:val="0"/>
      <w:marRight w:val="0"/>
      <w:marTop w:val="0"/>
      <w:marBottom w:val="0"/>
      <w:divBdr>
        <w:top w:val="none" w:sz="0" w:space="0" w:color="auto"/>
        <w:left w:val="none" w:sz="0" w:space="0" w:color="auto"/>
        <w:bottom w:val="none" w:sz="0" w:space="0" w:color="auto"/>
        <w:right w:val="none" w:sz="0" w:space="0" w:color="auto"/>
      </w:divBdr>
    </w:div>
    <w:div w:id="1025517973">
      <w:bodyDiv w:val="1"/>
      <w:marLeft w:val="0"/>
      <w:marRight w:val="0"/>
      <w:marTop w:val="0"/>
      <w:marBottom w:val="0"/>
      <w:divBdr>
        <w:top w:val="none" w:sz="0" w:space="0" w:color="auto"/>
        <w:left w:val="none" w:sz="0" w:space="0" w:color="auto"/>
        <w:bottom w:val="none" w:sz="0" w:space="0" w:color="auto"/>
        <w:right w:val="none" w:sz="0" w:space="0" w:color="auto"/>
      </w:divBdr>
    </w:div>
    <w:div w:id="1033262584">
      <w:bodyDiv w:val="1"/>
      <w:marLeft w:val="0"/>
      <w:marRight w:val="0"/>
      <w:marTop w:val="0"/>
      <w:marBottom w:val="0"/>
      <w:divBdr>
        <w:top w:val="none" w:sz="0" w:space="0" w:color="auto"/>
        <w:left w:val="none" w:sz="0" w:space="0" w:color="auto"/>
        <w:bottom w:val="none" w:sz="0" w:space="0" w:color="auto"/>
        <w:right w:val="none" w:sz="0" w:space="0" w:color="auto"/>
      </w:divBdr>
    </w:div>
    <w:div w:id="1034958938">
      <w:bodyDiv w:val="1"/>
      <w:marLeft w:val="0"/>
      <w:marRight w:val="0"/>
      <w:marTop w:val="0"/>
      <w:marBottom w:val="0"/>
      <w:divBdr>
        <w:top w:val="none" w:sz="0" w:space="0" w:color="auto"/>
        <w:left w:val="none" w:sz="0" w:space="0" w:color="auto"/>
        <w:bottom w:val="none" w:sz="0" w:space="0" w:color="auto"/>
        <w:right w:val="none" w:sz="0" w:space="0" w:color="auto"/>
      </w:divBdr>
    </w:div>
    <w:div w:id="1047216121">
      <w:bodyDiv w:val="1"/>
      <w:marLeft w:val="0"/>
      <w:marRight w:val="0"/>
      <w:marTop w:val="0"/>
      <w:marBottom w:val="0"/>
      <w:divBdr>
        <w:top w:val="none" w:sz="0" w:space="0" w:color="auto"/>
        <w:left w:val="none" w:sz="0" w:space="0" w:color="auto"/>
        <w:bottom w:val="none" w:sz="0" w:space="0" w:color="auto"/>
        <w:right w:val="none" w:sz="0" w:space="0" w:color="auto"/>
      </w:divBdr>
    </w:div>
    <w:div w:id="1050106740">
      <w:bodyDiv w:val="1"/>
      <w:marLeft w:val="0"/>
      <w:marRight w:val="0"/>
      <w:marTop w:val="0"/>
      <w:marBottom w:val="0"/>
      <w:divBdr>
        <w:top w:val="none" w:sz="0" w:space="0" w:color="auto"/>
        <w:left w:val="none" w:sz="0" w:space="0" w:color="auto"/>
        <w:bottom w:val="none" w:sz="0" w:space="0" w:color="auto"/>
        <w:right w:val="none" w:sz="0" w:space="0" w:color="auto"/>
      </w:divBdr>
    </w:div>
    <w:div w:id="1056010884">
      <w:bodyDiv w:val="1"/>
      <w:marLeft w:val="0"/>
      <w:marRight w:val="0"/>
      <w:marTop w:val="0"/>
      <w:marBottom w:val="0"/>
      <w:divBdr>
        <w:top w:val="none" w:sz="0" w:space="0" w:color="auto"/>
        <w:left w:val="none" w:sz="0" w:space="0" w:color="auto"/>
        <w:bottom w:val="none" w:sz="0" w:space="0" w:color="auto"/>
        <w:right w:val="none" w:sz="0" w:space="0" w:color="auto"/>
      </w:divBdr>
    </w:div>
    <w:div w:id="1056470466">
      <w:bodyDiv w:val="1"/>
      <w:marLeft w:val="0"/>
      <w:marRight w:val="0"/>
      <w:marTop w:val="0"/>
      <w:marBottom w:val="0"/>
      <w:divBdr>
        <w:top w:val="none" w:sz="0" w:space="0" w:color="auto"/>
        <w:left w:val="none" w:sz="0" w:space="0" w:color="auto"/>
        <w:bottom w:val="none" w:sz="0" w:space="0" w:color="auto"/>
        <w:right w:val="none" w:sz="0" w:space="0" w:color="auto"/>
      </w:divBdr>
    </w:div>
    <w:div w:id="1066413074">
      <w:bodyDiv w:val="1"/>
      <w:marLeft w:val="0"/>
      <w:marRight w:val="0"/>
      <w:marTop w:val="0"/>
      <w:marBottom w:val="0"/>
      <w:divBdr>
        <w:top w:val="none" w:sz="0" w:space="0" w:color="auto"/>
        <w:left w:val="none" w:sz="0" w:space="0" w:color="auto"/>
        <w:bottom w:val="none" w:sz="0" w:space="0" w:color="auto"/>
        <w:right w:val="none" w:sz="0" w:space="0" w:color="auto"/>
      </w:divBdr>
    </w:div>
    <w:div w:id="1072312066">
      <w:bodyDiv w:val="1"/>
      <w:marLeft w:val="0"/>
      <w:marRight w:val="0"/>
      <w:marTop w:val="0"/>
      <w:marBottom w:val="0"/>
      <w:divBdr>
        <w:top w:val="none" w:sz="0" w:space="0" w:color="auto"/>
        <w:left w:val="none" w:sz="0" w:space="0" w:color="auto"/>
        <w:bottom w:val="none" w:sz="0" w:space="0" w:color="auto"/>
        <w:right w:val="none" w:sz="0" w:space="0" w:color="auto"/>
      </w:divBdr>
    </w:div>
    <w:div w:id="1083376231">
      <w:bodyDiv w:val="1"/>
      <w:marLeft w:val="0"/>
      <w:marRight w:val="0"/>
      <w:marTop w:val="0"/>
      <w:marBottom w:val="0"/>
      <w:divBdr>
        <w:top w:val="none" w:sz="0" w:space="0" w:color="auto"/>
        <w:left w:val="none" w:sz="0" w:space="0" w:color="auto"/>
        <w:bottom w:val="none" w:sz="0" w:space="0" w:color="auto"/>
        <w:right w:val="none" w:sz="0" w:space="0" w:color="auto"/>
      </w:divBdr>
    </w:div>
    <w:div w:id="1087847845">
      <w:bodyDiv w:val="1"/>
      <w:marLeft w:val="0"/>
      <w:marRight w:val="0"/>
      <w:marTop w:val="0"/>
      <w:marBottom w:val="0"/>
      <w:divBdr>
        <w:top w:val="none" w:sz="0" w:space="0" w:color="auto"/>
        <w:left w:val="none" w:sz="0" w:space="0" w:color="auto"/>
        <w:bottom w:val="none" w:sz="0" w:space="0" w:color="auto"/>
        <w:right w:val="none" w:sz="0" w:space="0" w:color="auto"/>
      </w:divBdr>
    </w:div>
    <w:div w:id="1092628244">
      <w:bodyDiv w:val="1"/>
      <w:marLeft w:val="0"/>
      <w:marRight w:val="0"/>
      <w:marTop w:val="0"/>
      <w:marBottom w:val="0"/>
      <w:divBdr>
        <w:top w:val="none" w:sz="0" w:space="0" w:color="auto"/>
        <w:left w:val="none" w:sz="0" w:space="0" w:color="auto"/>
        <w:bottom w:val="none" w:sz="0" w:space="0" w:color="auto"/>
        <w:right w:val="none" w:sz="0" w:space="0" w:color="auto"/>
      </w:divBdr>
    </w:div>
    <w:div w:id="1092817973">
      <w:bodyDiv w:val="1"/>
      <w:marLeft w:val="0"/>
      <w:marRight w:val="0"/>
      <w:marTop w:val="0"/>
      <w:marBottom w:val="0"/>
      <w:divBdr>
        <w:top w:val="none" w:sz="0" w:space="0" w:color="auto"/>
        <w:left w:val="none" w:sz="0" w:space="0" w:color="auto"/>
        <w:bottom w:val="none" w:sz="0" w:space="0" w:color="auto"/>
        <w:right w:val="none" w:sz="0" w:space="0" w:color="auto"/>
      </w:divBdr>
    </w:div>
    <w:div w:id="1095056432">
      <w:bodyDiv w:val="1"/>
      <w:marLeft w:val="0"/>
      <w:marRight w:val="0"/>
      <w:marTop w:val="0"/>
      <w:marBottom w:val="0"/>
      <w:divBdr>
        <w:top w:val="none" w:sz="0" w:space="0" w:color="auto"/>
        <w:left w:val="none" w:sz="0" w:space="0" w:color="auto"/>
        <w:bottom w:val="none" w:sz="0" w:space="0" w:color="auto"/>
        <w:right w:val="none" w:sz="0" w:space="0" w:color="auto"/>
      </w:divBdr>
    </w:div>
    <w:div w:id="1099762837">
      <w:bodyDiv w:val="1"/>
      <w:marLeft w:val="0"/>
      <w:marRight w:val="0"/>
      <w:marTop w:val="0"/>
      <w:marBottom w:val="0"/>
      <w:divBdr>
        <w:top w:val="none" w:sz="0" w:space="0" w:color="auto"/>
        <w:left w:val="none" w:sz="0" w:space="0" w:color="auto"/>
        <w:bottom w:val="none" w:sz="0" w:space="0" w:color="auto"/>
        <w:right w:val="none" w:sz="0" w:space="0" w:color="auto"/>
      </w:divBdr>
    </w:div>
    <w:div w:id="1104109948">
      <w:bodyDiv w:val="1"/>
      <w:marLeft w:val="0"/>
      <w:marRight w:val="0"/>
      <w:marTop w:val="0"/>
      <w:marBottom w:val="0"/>
      <w:divBdr>
        <w:top w:val="none" w:sz="0" w:space="0" w:color="auto"/>
        <w:left w:val="none" w:sz="0" w:space="0" w:color="auto"/>
        <w:bottom w:val="none" w:sz="0" w:space="0" w:color="auto"/>
        <w:right w:val="none" w:sz="0" w:space="0" w:color="auto"/>
      </w:divBdr>
    </w:div>
    <w:div w:id="1104693302">
      <w:bodyDiv w:val="1"/>
      <w:marLeft w:val="0"/>
      <w:marRight w:val="0"/>
      <w:marTop w:val="0"/>
      <w:marBottom w:val="0"/>
      <w:divBdr>
        <w:top w:val="none" w:sz="0" w:space="0" w:color="auto"/>
        <w:left w:val="none" w:sz="0" w:space="0" w:color="auto"/>
        <w:bottom w:val="none" w:sz="0" w:space="0" w:color="auto"/>
        <w:right w:val="none" w:sz="0" w:space="0" w:color="auto"/>
      </w:divBdr>
    </w:div>
    <w:div w:id="1104694260">
      <w:bodyDiv w:val="1"/>
      <w:marLeft w:val="0"/>
      <w:marRight w:val="0"/>
      <w:marTop w:val="0"/>
      <w:marBottom w:val="0"/>
      <w:divBdr>
        <w:top w:val="none" w:sz="0" w:space="0" w:color="auto"/>
        <w:left w:val="none" w:sz="0" w:space="0" w:color="auto"/>
        <w:bottom w:val="none" w:sz="0" w:space="0" w:color="auto"/>
        <w:right w:val="none" w:sz="0" w:space="0" w:color="auto"/>
      </w:divBdr>
    </w:div>
    <w:div w:id="1109660824">
      <w:bodyDiv w:val="1"/>
      <w:marLeft w:val="0"/>
      <w:marRight w:val="0"/>
      <w:marTop w:val="0"/>
      <w:marBottom w:val="0"/>
      <w:divBdr>
        <w:top w:val="none" w:sz="0" w:space="0" w:color="auto"/>
        <w:left w:val="none" w:sz="0" w:space="0" w:color="auto"/>
        <w:bottom w:val="none" w:sz="0" w:space="0" w:color="auto"/>
        <w:right w:val="none" w:sz="0" w:space="0" w:color="auto"/>
      </w:divBdr>
    </w:div>
    <w:div w:id="1112211838">
      <w:bodyDiv w:val="1"/>
      <w:marLeft w:val="0"/>
      <w:marRight w:val="0"/>
      <w:marTop w:val="0"/>
      <w:marBottom w:val="0"/>
      <w:divBdr>
        <w:top w:val="none" w:sz="0" w:space="0" w:color="auto"/>
        <w:left w:val="none" w:sz="0" w:space="0" w:color="auto"/>
        <w:bottom w:val="none" w:sz="0" w:space="0" w:color="auto"/>
        <w:right w:val="none" w:sz="0" w:space="0" w:color="auto"/>
      </w:divBdr>
    </w:div>
    <w:div w:id="1112239243">
      <w:bodyDiv w:val="1"/>
      <w:marLeft w:val="0"/>
      <w:marRight w:val="0"/>
      <w:marTop w:val="0"/>
      <w:marBottom w:val="0"/>
      <w:divBdr>
        <w:top w:val="none" w:sz="0" w:space="0" w:color="auto"/>
        <w:left w:val="none" w:sz="0" w:space="0" w:color="auto"/>
        <w:bottom w:val="none" w:sz="0" w:space="0" w:color="auto"/>
        <w:right w:val="none" w:sz="0" w:space="0" w:color="auto"/>
      </w:divBdr>
    </w:div>
    <w:div w:id="1116410944">
      <w:bodyDiv w:val="1"/>
      <w:marLeft w:val="0"/>
      <w:marRight w:val="0"/>
      <w:marTop w:val="0"/>
      <w:marBottom w:val="0"/>
      <w:divBdr>
        <w:top w:val="none" w:sz="0" w:space="0" w:color="auto"/>
        <w:left w:val="none" w:sz="0" w:space="0" w:color="auto"/>
        <w:bottom w:val="none" w:sz="0" w:space="0" w:color="auto"/>
        <w:right w:val="none" w:sz="0" w:space="0" w:color="auto"/>
      </w:divBdr>
    </w:div>
    <w:div w:id="1117913693">
      <w:bodyDiv w:val="1"/>
      <w:marLeft w:val="0"/>
      <w:marRight w:val="0"/>
      <w:marTop w:val="0"/>
      <w:marBottom w:val="0"/>
      <w:divBdr>
        <w:top w:val="none" w:sz="0" w:space="0" w:color="auto"/>
        <w:left w:val="none" w:sz="0" w:space="0" w:color="auto"/>
        <w:bottom w:val="none" w:sz="0" w:space="0" w:color="auto"/>
        <w:right w:val="none" w:sz="0" w:space="0" w:color="auto"/>
      </w:divBdr>
    </w:div>
    <w:div w:id="1123503568">
      <w:bodyDiv w:val="1"/>
      <w:marLeft w:val="0"/>
      <w:marRight w:val="0"/>
      <w:marTop w:val="0"/>
      <w:marBottom w:val="0"/>
      <w:divBdr>
        <w:top w:val="none" w:sz="0" w:space="0" w:color="auto"/>
        <w:left w:val="none" w:sz="0" w:space="0" w:color="auto"/>
        <w:bottom w:val="none" w:sz="0" w:space="0" w:color="auto"/>
        <w:right w:val="none" w:sz="0" w:space="0" w:color="auto"/>
      </w:divBdr>
    </w:div>
    <w:div w:id="1128161823">
      <w:bodyDiv w:val="1"/>
      <w:marLeft w:val="0"/>
      <w:marRight w:val="0"/>
      <w:marTop w:val="0"/>
      <w:marBottom w:val="0"/>
      <w:divBdr>
        <w:top w:val="none" w:sz="0" w:space="0" w:color="auto"/>
        <w:left w:val="none" w:sz="0" w:space="0" w:color="auto"/>
        <w:bottom w:val="none" w:sz="0" w:space="0" w:color="auto"/>
        <w:right w:val="none" w:sz="0" w:space="0" w:color="auto"/>
      </w:divBdr>
    </w:div>
    <w:div w:id="1129129733">
      <w:bodyDiv w:val="1"/>
      <w:marLeft w:val="0"/>
      <w:marRight w:val="0"/>
      <w:marTop w:val="0"/>
      <w:marBottom w:val="0"/>
      <w:divBdr>
        <w:top w:val="none" w:sz="0" w:space="0" w:color="auto"/>
        <w:left w:val="none" w:sz="0" w:space="0" w:color="auto"/>
        <w:bottom w:val="none" w:sz="0" w:space="0" w:color="auto"/>
        <w:right w:val="none" w:sz="0" w:space="0" w:color="auto"/>
      </w:divBdr>
    </w:div>
    <w:div w:id="1136678268">
      <w:bodyDiv w:val="1"/>
      <w:marLeft w:val="0"/>
      <w:marRight w:val="0"/>
      <w:marTop w:val="0"/>
      <w:marBottom w:val="0"/>
      <w:divBdr>
        <w:top w:val="none" w:sz="0" w:space="0" w:color="auto"/>
        <w:left w:val="none" w:sz="0" w:space="0" w:color="auto"/>
        <w:bottom w:val="none" w:sz="0" w:space="0" w:color="auto"/>
        <w:right w:val="none" w:sz="0" w:space="0" w:color="auto"/>
      </w:divBdr>
    </w:div>
    <w:div w:id="1140342774">
      <w:bodyDiv w:val="1"/>
      <w:marLeft w:val="0"/>
      <w:marRight w:val="0"/>
      <w:marTop w:val="0"/>
      <w:marBottom w:val="0"/>
      <w:divBdr>
        <w:top w:val="none" w:sz="0" w:space="0" w:color="auto"/>
        <w:left w:val="none" w:sz="0" w:space="0" w:color="auto"/>
        <w:bottom w:val="none" w:sz="0" w:space="0" w:color="auto"/>
        <w:right w:val="none" w:sz="0" w:space="0" w:color="auto"/>
      </w:divBdr>
    </w:div>
    <w:div w:id="1140801979">
      <w:bodyDiv w:val="1"/>
      <w:marLeft w:val="0"/>
      <w:marRight w:val="0"/>
      <w:marTop w:val="0"/>
      <w:marBottom w:val="0"/>
      <w:divBdr>
        <w:top w:val="none" w:sz="0" w:space="0" w:color="auto"/>
        <w:left w:val="none" w:sz="0" w:space="0" w:color="auto"/>
        <w:bottom w:val="none" w:sz="0" w:space="0" w:color="auto"/>
        <w:right w:val="none" w:sz="0" w:space="0" w:color="auto"/>
      </w:divBdr>
    </w:div>
    <w:div w:id="1160996731">
      <w:bodyDiv w:val="1"/>
      <w:marLeft w:val="0"/>
      <w:marRight w:val="0"/>
      <w:marTop w:val="0"/>
      <w:marBottom w:val="0"/>
      <w:divBdr>
        <w:top w:val="none" w:sz="0" w:space="0" w:color="auto"/>
        <w:left w:val="none" w:sz="0" w:space="0" w:color="auto"/>
        <w:bottom w:val="none" w:sz="0" w:space="0" w:color="auto"/>
        <w:right w:val="none" w:sz="0" w:space="0" w:color="auto"/>
      </w:divBdr>
    </w:div>
    <w:div w:id="1162620380">
      <w:bodyDiv w:val="1"/>
      <w:marLeft w:val="0"/>
      <w:marRight w:val="0"/>
      <w:marTop w:val="0"/>
      <w:marBottom w:val="0"/>
      <w:divBdr>
        <w:top w:val="none" w:sz="0" w:space="0" w:color="auto"/>
        <w:left w:val="none" w:sz="0" w:space="0" w:color="auto"/>
        <w:bottom w:val="none" w:sz="0" w:space="0" w:color="auto"/>
        <w:right w:val="none" w:sz="0" w:space="0" w:color="auto"/>
      </w:divBdr>
    </w:div>
    <w:div w:id="1167476417">
      <w:bodyDiv w:val="1"/>
      <w:marLeft w:val="0"/>
      <w:marRight w:val="0"/>
      <w:marTop w:val="0"/>
      <w:marBottom w:val="0"/>
      <w:divBdr>
        <w:top w:val="none" w:sz="0" w:space="0" w:color="auto"/>
        <w:left w:val="none" w:sz="0" w:space="0" w:color="auto"/>
        <w:bottom w:val="none" w:sz="0" w:space="0" w:color="auto"/>
        <w:right w:val="none" w:sz="0" w:space="0" w:color="auto"/>
      </w:divBdr>
    </w:div>
    <w:div w:id="1167598752">
      <w:bodyDiv w:val="1"/>
      <w:marLeft w:val="0"/>
      <w:marRight w:val="0"/>
      <w:marTop w:val="0"/>
      <w:marBottom w:val="0"/>
      <w:divBdr>
        <w:top w:val="none" w:sz="0" w:space="0" w:color="auto"/>
        <w:left w:val="none" w:sz="0" w:space="0" w:color="auto"/>
        <w:bottom w:val="none" w:sz="0" w:space="0" w:color="auto"/>
        <w:right w:val="none" w:sz="0" w:space="0" w:color="auto"/>
      </w:divBdr>
    </w:div>
    <w:div w:id="1168132139">
      <w:bodyDiv w:val="1"/>
      <w:marLeft w:val="0"/>
      <w:marRight w:val="0"/>
      <w:marTop w:val="0"/>
      <w:marBottom w:val="0"/>
      <w:divBdr>
        <w:top w:val="none" w:sz="0" w:space="0" w:color="auto"/>
        <w:left w:val="none" w:sz="0" w:space="0" w:color="auto"/>
        <w:bottom w:val="none" w:sz="0" w:space="0" w:color="auto"/>
        <w:right w:val="none" w:sz="0" w:space="0" w:color="auto"/>
      </w:divBdr>
    </w:div>
    <w:div w:id="1170947158">
      <w:bodyDiv w:val="1"/>
      <w:marLeft w:val="0"/>
      <w:marRight w:val="0"/>
      <w:marTop w:val="0"/>
      <w:marBottom w:val="0"/>
      <w:divBdr>
        <w:top w:val="none" w:sz="0" w:space="0" w:color="auto"/>
        <w:left w:val="none" w:sz="0" w:space="0" w:color="auto"/>
        <w:bottom w:val="none" w:sz="0" w:space="0" w:color="auto"/>
        <w:right w:val="none" w:sz="0" w:space="0" w:color="auto"/>
      </w:divBdr>
    </w:div>
    <w:div w:id="1171990227">
      <w:bodyDiv w:val="1"/>
      <w:marLeft w:val="0"/>
      <w:marRight w:val="0"/>
      <w:marTop w:val="0"/>
      <w:marBottom w:val="0"/>
      <w:divBdr>
        <w:top w:val="none" w:sz="0" w:space="0" w:color="auto"/>
        <w:left w:val="none" w:sz="0" w:space="0" w:color="auto"/>
        <w:bottom w:val="none" w:sz="0" w:space="0" w:color="auto"/>
        <w:right w:val="none" w:sz="0" w:space="0" w:color="auto"/>
      </w:divBdr>
    </w:div>
    <w:div w:id="1174223235">
      <w:bodyDiv w:val="1"/>
      <w:marLeft w:val="0"/>
      <w:marRight w:val="0"/>
      <w:marTop w:val="0"/>
      <w:marBottom w:val="0"/>
      <w:divBdr>
        <w:top w:val="none" w:sz="0" w:space="0" w:color="auto"/>
        <w:left w:val="none" w:sz="0" w:space="0" w:color="auto"/>
        <w:bottom w:val="none" w:sz="0" w:space="0" w:color="auto"/>
        <w:right w:val="none" w:sz="0" w:space="0" w:color="auto"/>
      </w:divBdr>
    </w:div>
    <w:div w:id="1185285946">
      <w:bodyDiv w:val="1"/>
      <w:marLeft w:val="0"/>
      <w:marRight w:val="0"/>
      <w:marTop w:val="0"/>
      <w:marBottom w:val="0"/>
      <w:divBdr>
        <w:top w:val="none" w:sz="0" w:space="0" w:color="auto"/>
        <w:left w:val="none" w:sz="0" w:space="0" w:color="auto"/>
        <w:bottom w:val="none" w:sz="0" w:space="0" w:color="auto"/>
        <w:right w:val="none" w:sz="0" w:space="0" w:color="auto"/>
      </w:divBdr>
    </w:div>
    <w:div w:id="1188134472">
      <w:bodyDiv w:val="1"/>
      <w:marLeft w:val="0"/>
      <w:marRight w:val="0"/>
      <w:marTop w:val="0"/>
      <w:marBottom w:val="0"/>
      <w:divBdr>
        <w:top w:val="none" w:sz="0" w:space="0" w:color="auto"/>
        <w:left w:val="none" w:sz="0" w:space="0" w:color="auto"/>
        <w:bottom w:val="none" w:sz="0" w:space="0" w:color="auto"/>
        <w:right w:val="none" w:sz="0" w:space="0" w:color="auto"/>
      </w:divBdr>
    </w:div>
    <w:div w:id="1190097112">
      <w:bodyDiv w:val="1"/>
      <w:marLeft w:val="0"/>
      <w:marRight w:val="0"/>
      <w:marTop w:val="0"/>
      <w:marBottom w:val="0"/>
      <w:divBdr>
        <w:top w:val="none" w:sz="0" w:space="0" w:color="auto"/>
        <w:left w:val="none" w:sz="0" w:space="0" w:color="auto"/>
        <w:bottom w:val="none" w:sz="0" w:space="0" w:color="auto"/>
        <w:right w:val="none" w:sz="0" w:space="0" w:color="auto"/>
      </w:divBdr>
    </w:div>
    <w:div w:id="1194535668">
      <w:bodyDiv w:val="1"/>
      <w:marLeft w:val="0"/>
      <w:marRight w:val="0"/>
      <w:marTop w:val="0"/>
      <w:marBottom w:val="0"/>
      <w:divBdr>
        <w:top w:val="none" w:sz="0" w:space="0" w:color="auto"/>
        <w:left w:val="none" w:sz="0" w:space="0" w:color="auto"/>
        <w:bottom w:val="none" w:sz="0" w:space="0" w:color="auto"/>
        <w:right w:val="none" w:sz="0" w:space="0" w:color="auto"/>
      </w:divBdr>
    </w:div>
    <w:div w:id="1197813270">
      <w:bodyDiv w:val="1"/>
      <w:marLeft w:val="0"/>
      <w:marRight w:val="0"/>
      <w:marTop w:val="0"/>
      <w:marBottom w:val="0"/>
      <w:divBdr>
        <w:top w:val="none" w:sz="0" w:space="0" w:color="auto"/>
        <w:left w:val="none" w:sz="0" w:space="0" w:color="auto"/>
        <w:bottom w:val="none" w:sz="0" w:space="0" w:color="auto"/>
        <w:right w:val="none" w:sz="0" w:space="0" w:color="auto"/>
      </w:divBdr>
    </w:div>
    <w:div w:id="1200824375">
      <w:bodyDiv w:val="1"/>
      <w:marLeft w:val="0"/>
      <w:marRight w:val="0"/>
      <w:marTop w:val="0"/>
      <w:marBottom w:val="0"/>
      <w:divBdr>
        <w:top w:val="none" w:sz="0" w:space="0" w:color="auto"/>
        <w:left w:val="none" w:sz="0" w:space="0" w:color="auto"/>
        <w:bottom w:val="none" w:sz="0" w:space="0" w:color="auto"/>
        <w:right w:val="none" w:sz="0" w:space="0" w:color="auto"/>
      </w:divBdr>
    </w:div>
    <w:div w:id="1201241811">
      <w:bodyDiv w:val="1"/>
      <w:marLeft w:val="0"/>
      <w:marRight w:val="0"/>
      <w:marTop w:val="0"/>
      <w:marBottom w:val="0"/>
      <w:divBdr>
        <w:top w:val="none" w:sz="0" w:space="0" w:color="auto"/>
        <w:left w:val="none" w:sz="0" w:space="0" w:color="auto"/>
        <w:bottom w:val="none" w:sz="0" w:space="0" w:color="auto"/>
        <w:right w:val="none" w:sz="0" w:space="0" w:color="auto"/>
      </w:divBdr>
    </w:div>
    <w:div w:id="1203786190">
      <w:bodyDiv w:val="1"/>
      <w:marLeft w:val="0"/>
      <w:marRight w:val="0"/>
      <w:marTop w:val="0"/>
      <w:marBottom w:val="0"/>
      <w:divBdr>
        <w:top w:val="none" w:sz="0" w:space="0" w:color="auto"/>
        <w:left w:val="none" w:sz="0" w:space="0" w:color="auto"/>
        <w:bottom w:val="none" w:sz="0" w:space="0" w:color="auto"/>
        <w:right w:val="none" w:sz="0" w:space="0" w:color="auto"/>
      </w:divBdr>
    </w:div>
    <w:div w:id="1208025917">
      <w:bodyDiv w:val="1"/>
      <w:marLeft w:val="0"/>
      <w:marRight w:val="0"/>
      <w:marTop w:val="0"/>
      <w:marBottom w:val="0"/>
      <w:divBdr>
        <w:top w:val="none" w:sz="0" w:space="0" w:color="auto"/>
        <w:left w:val="none" w:sz="0" w:space="0" w:color="auto"/>
        <w:bottom w:val="none" w:sz="0" w:space="0" w:color="auto"/>
        <w:right w:val="none" w:sz="0" w:space="0" w:color="auto"/>
      </w:divBdr>
    </w:div>
    <w:div w:id="1211188381">
      <w:bodyDiv w:val="1"/>
      <w:marLeft w:val="0"/>
      <w:marRight w:val="0"/>
      <w:marTop w:val="0"/>
      <w:marBottom w:val="0"/>
      <w:divBdr>
        <w:top w:val="none" w:sz="0" w:space="0" w:color="auto"/>
        <w:left w:val="none" w:sz="0" w:space="0" w:color="auto"/>
        <w:bottom w:val="none" w:sz="0" w:space="0" w:color="auto"/>
        <w:right w:val="none" w:sz="0" w:space="0" w:color="auto"/>
      </w:divBdr>
    </w:div>
    <w:div w:id="1218665609">
      <w:bodyDiv w:val="1"/>
      <w:marLeft w:val="0"/>
      <w:marRight w:val="0"/>
      <w:marTop w:val="0"/>
      <w:marBottom w:val="0"/>
      <w:divBdr>
        <w:top w:val="none" w:sz="0" w:space="0" w:color="auto"/>
        <w:left w:val="none" w:sz="0" w:space="0" w:color="auto"/>
        <w:bottom w:val="none" w:sz="0" w:space="0" w:color="auto"/>
        <w:right w:val="none" w:sz="0" w:space="0" w:color="auto"/>
      </w:divBdr>
    </w:div>
    <w:div w:id="1223326401">
      <w:bodyDiv w:val="1"/>
      <w:marLeft w:val="0"/>
      <w:marRight w:val="0"/>
      <w:marTop w:val="0"/>
      <w:marBottom w:val="0"/>
      <w:divBdr>
        <w:top w:val="none" w:sz="0" w:space="0" w:color="auto"/>
        <w:left w:val="none" w:sz="0" w:space="0" w:color="auto"/>
        <w:bottom w:val="none" w:sz="0" w:space="0" w:color="auto"/>
        <w:right w:val="none" w:sz="0" w:space="0" w:color="auto"/>
      </w:divBdr>
    </w:div>
    <w:div w:id="1224633907">
      <w:bodyDiv w:val="1"/>
      <w:marLeft w:val="0"/>
      <w:marRight w:val="0"/>
      <w:marTop w:val="0"/>
      <w:marBottom w:val="0"/>
      <w:divBdr>
        <w:top w:val="none" w:sz="0" w:space="0" w:color="auto"/>
        <w:left w:val="none" w:sz="0" w:space="0" w:color="auto"/>
        <w:bottom w:val="none" w:sz="0" w:space="0" w:color="auto"/>
        <w:right w:val="none" w:sz="0" w:space="0" w:color="auto"/>
      </w:divBdr>
    </w:div>
    <w:div w:id="1227374586">
      <w:bodyDiv w:val="1"/>
      <w:marLeft w:val="0"/>
      <w:marRight w:val="0"/>
      <w:marTop w:val="0"/>
      <w:marBottom w:val="0"/>
      <w:divBdr>
        <w:top w:val="none" w:sz="0" w:space="0" w:color="auto"/>
        <w:left w:val="none" w:sz="0" w:space="0" w:color="auto"/>
        <w:bottom w:val="none" w:sz="0" w:space="0" w:color="auto"/>
        <w:right w:val="none" w:sz="0" w:space="0" w:color="auto"/>
      </w:divBdr>
    </w:div>
    <w:div w:id="1228108732">
      <w:bodyDiv w:val="1"/>
      <w:marLeft w:val="0"/>
      <w:marRight w:val="0"/>
      <w:marTop w:val="0"/>
      <w:marBottom w:val="0"/>
      <w:divBdr>
        <w:top w:val="none" w:sz="0" w:space="0" w:color="auto"/>
        <w:left w:val="none" w:sz="0" w:space="0" w:color="auto"/>
        <w:bottom w:val="none" w:sz="0" w:space="0" w:color="auto"/>
        <w:right w:val="none" w:sz="0" w:space="0" w:color="auto"/>
      </w:divBdr>
    </w:div>
    <w:div w:id="1235432760">
      <w:bodyDiv w:val="1"/>
      <w:marLeft w:val="0"/>
      <w:marRight w:val="0"/>
      <w:marTop w:val="0"/>
      <w:marBottom w:val="0"/>
      <w:divBdr>
        <w:top w:val="none" w:sz="0" w:space="0" w:color="auto"/>
        <w:left w:val="none" w:sz="0" w:space="0" w:color="auto"/>
        <w:bottom w:val="none" w:sz="0" w:space="0" w:color="auto"/>
        <w:right w:val="none" w:sz="0" w:space="0" w:color="auto"/>
      </w:divBdr>
    </w:div>
    <w:div w:id="1241137447">
      <w:bodyDiv w:val="1"/>
      <w:marLeft w:val="0"/>
      <w:marRight w:val="0"/>
      <w:marTop w:val="0"/>
      <w:marBottom w:val="0"/>
      <w:divBdr>
        <w:top w:val="none" w:sz="0" w:space="0" w:color="auto"/>
        <w:left w:val="none" w:sz="0" w:space="0" w:color="auto"/>
        <w:bottom w:val="none" w:sz="0" w:space="0" w:color="auto"/>
        <w:right w:val="none" w:sz="0" w:space="0" w:color="auto"/>
      </w:divBdr>
    </w:div>
    <w:div w:id="1246068059">
      <w:bodyDiv w:val="1"/>
      <w:marLeft w:val="0"/>
      <w:marRight w:val="0"/>
      <w:marTop w:val="0"/>
      <w:marBottom w:val="0"/>
      <w:divBdr>
        <w:top w:val="none" w:sz="0" w:space="0" w:color="auto"/>
        <w:left w:val="none" w:sz="0" w:space="0" w:color="auto"/>
        <w:bottom w:val="none" w:sz="0" w:space="0" w:color="auto"/>
        <w:right w:val="none" w:sz="0" w:space="0" w:color="auto"/>
      </w:divBdr>
    </w:div>
    <w:div w:id="1247418131">
      <w:bodyDiv w:val="1"/>
      <w:marLeft w:val="0"/>
      <w:marRight w:val="0"/>
      <w:marTop w:val="0"/>
      <w:marBottom w:val="0"/>
      <w:divBdr>
        <w:top w:val="none" w:sz="0" w:space="0" w:color="auto"/>
        <w:left w:val="none" w:sz="0" w:space="0" w:color="auto"/>
        <w:bottom w:val="none" w:sz="0" w:space="0" w:color="auto"/>
        <w:right w:val="none" w:sz="0" w:space="0" w:color="auto"/>
      </w:divBdr>
    </w:div>
    <w:div w:id="1248348524">
      <w:bodyDiv w:val="1"/>
      <w:marLeft w:val="0"/>
      <w:marRight w:val="0"/>
      <w:marTop w:val="0"/>
      <w:marBottom w:val="0"/>
      <w:divBdr>
        <w:top w:val="none" w:sz="0" w:space="0" w:color="auto"/>
        <w:left w:val="none" w:sz="0" w:space="0" w:color="auto"/>
        <w:bottom w:val="none" w:sz="0" w:space="0" w:color="auto"/>
        <w:right w:val="none" w:sz="0" w:space="0" w:color="auto"/>
      </w:divBdr>
    </w:div>
    <w:div w:id="1252153972">
      <w:bodyDiv w:val="1"/>
      <w:marLeft w:val="0"/>
      <w:marRight w:val="0"/>
      <w:marTop w:val="0"/>
      <w:marBottom w:val="0"/>
      <w:divBdr>
        <w:top w:val="none" w:sz="0" w:space="0" w:color="auto"/>
        <w:left w:val="none" w:sz="0" w:space="0" w:color="auto"/>
        <w:bottom w:val="none" w:sz="0" w:space="0" w:color="auto"/>
        <w:right w:val="none" w:sz="0" w:space="0" w:color="auto"/>
      </w:divBdr>
    </w:div>
    <w:div w:id="1258447351">
      <w:bodyDiv w:val="1"/>
      <w:marLeft w:val="0"/>
      <w:marRight w:val="0"/>
      <w:marTop w:val="0"/>
      <w:marBottom w:val="0"/>
      <w:divBdr>
        <w:top w:val="none" w:sz="0" w:space="0" w:color="auto"/>
        <w:left w:val="none" w:sz="0" w:space="0" w:color="auto"/>
        <w:bottom w:val="none" w:sz="0" w:space="0" w:color="auto"/>
        <w:right w:val="none" w:sz="0" w:space="0" w:color="auto"/>
      </w:divBdr>
    </w:div>
    <w:div w:id="1269001158">
      <w:bodyDiv w:val="1"/>
      <w:marLeft w:val="0"/>
      <w:marRight w:val="0"/>
      <w:marTop w:val="0"/>
      <w:marBottom w:val="0"/>
      <w:divBdr>
        <w:top w:val="none" w:sz="0" w:space="0" w:color="auto"/>
        <w:left w:val="none" w:sz="0" w:space="0" w:color="auto"/>
        <w:bottom w:val="none" w:sz="0" w:space="0" w:color="auto"/>
        <w:right w:val="none" w:sz="0" w:space="0" w:color="auto"/>
      </w:divBdr>
    </w:div>
    <w:div w:id="1269583307">
      <w:bodyDiv w:val="1"/>
      <w:marLeft w:val="0"/>
      <w:marRight w:val="0"/>
      <w:marTop w:val="0"/>
      <w:marBottom w:val="0"/>
      <w:divBdr>
        <w:top w:val="none" w:sz="0" w:space="0" w:color="auto"/>
        <w:left w:val="none" w:sz="0" w:space="0" w:color="auto"/>
        <w:bottom w:val="none" w:sz="0" w:space="0" w:color="auto"/>
        <w:right w:val="none" w:sz="0" w:space="0" w:color="auto"/>
      </w:divBdr>
    </w:div>
    <w:div w:id="1273787515">
      <w:bodyDiv w:val="1"/>
      <w:marLeft w:val="0"/>
      <w:marRight w:val="0"/>
      <w:marTop w:val="0"/>
      <w:marBottom w:val="0"/>
      <w:divBdr>
        <w:top w:val="none" w:sz="0" w:space="0" w:color="auto"/>
        <w:left w:val="none" w:sz="0" w:space="0" w:color="auto"/>
        <w:bottom w:val="none" w:sz="0" w:space="0" w:color="auto"/>
        <w:right w:val="none" w:sz="0" w:space="0" w:color="auto"/>
      </w:divBdr>
    </w:div>
    <w:div w:id="1275361786">
      <w:bodyDiv w:val="1"/>
      <w:marLeft w:val="0"/>
      <w:marRight w:val="0"/>
      <w:marTop w:val="0"/>
      <w:marBottom w:val="0"/>
      <w:divBdr>
        <w:top w:val="none" w:sz="0" w:space="0" w:color="auto"/>
        <w:left w:val="none" w:sz="0" w:space="0" w:color="auto"/>
        <w:bottom w:val="none" w:sz="0" w:space="0" w:color="auto"/>
        <w:right w:val="none" w:sz="0" w:space="0" w:color="auto"/>
      </w:divBdr>
    </w:div>
    <w:div w:id="1277063308">
      <w:bodyDiv w:val="1"/>
      <w:marLeft w:val="0"/>
      <w:marRight w:val="0"/>
      <w:marTop w:val="0"/>
      <w:marBottom w:val="0"/>
      <w:divBdr>
        <w:top w:val="none" w:sz="0" w:space="0" w:color="auto"/>
        <w:left w:val="none" w:sz="0" w:space="0" w:color="auto"/>
        <w:bottom w:val="none" w:sz="0" w:space="0" w:color="auto"/>
        <w:right w:val="none" w:sz="0" w:space="0" w:color="auto"/>
      </w:divBdr>
    </w:div>
    <w:div w:id="1278369372">
      <w:bodyDiv w:val="1"/>
      <w:marLeft w:val="0"/>
      <w:marRight w:val="0"/>
      <w:marTop w:val="0"/>
      <w:marBottom w:val="0"/>
      <w:divBdr>
        <w:top w:val="none" w:sz="0" w:space="0" w:color="auto"/>
        <w:left w:val="none" w:sz="0" w:space="0" w:color="auto"/>
        <w:bottom w:val="none" w:sz="0" w:space="0" w:color="auto"/>
        <w:right w:val="none" w:sz="0" w:space="0" w:color="auto"/>
      </w:divBdr>
    </w:div>
    <w:div w:id="1291740520">
      <w:bodyDiv w:val="1"/>
      <w:marLeft w:val="0"/>
      <w:marRight w:val="0"/>
      <w:marTop w:val="0"/>
      <w:marBottom w:val="0"/>
      <w:divBdr>
        <w:top w:val="none" w:sz="0" w:space="0" w:color="auto"/>
        <w:left w:val="none" w:sz="0" w:space="0" w:color="auto"/>
        <w:bottom w:val="none" w:sz="0" w:space="0" w:color="auto"/>
        <w:right w:val="none" w:sz="0" w:space="0" w:color="auto"/>
      </w:divBdr>
    </w:div>
    <w:div w:id="1294359965">
      <w:bodyDiv w:val="1"/>
      <w:marLeft w:val="0"/>
      <w:marRight w:val="0"/>
      <w:marTop w:val="0"/>
      <w:marBottom w:val="0"/>
      <w:divBdr>
        <w:top w:val="none" w:sz="0" w:space="0" w:color="auto"/>
        <w:left w:val="none" w:sz="0" w:space="0" w:color="auto"/>
        <w:bottom w:val="none" w:sz="0" w:space="0" w:color="auto"/>
        <w:right w:val="none" w:sz="0" w:space="0" w:color="auto"/>
      </w:divBdr>
    </w:div>
    <w:div w:id="1298561618">
      <w:bodyDiv w:val="1"/>
      <w:marLeft w:val="0"/>
      <w:marRight w:val="0"/>
      <w:marTop w:val="0"/>
      <w:marBottom w:val="0"/>
      <w:divBdr>
        <w:top w:val="none" w:sz="0" w:space="0" w:color="auto"/>
        <w:left w:val="none" w:sz="0" w:space="0" w:color="auto"/>
        <w:bottom w:val="none" w:sz="0" w:space="0" w:color="auto"/>
        <w:right w:val="none" w:sz="0" w:space="0" w:color="auto"/>
      </w:divBdr>
    </w:div>
    <w:div w:id="1302923603">
      <w:bodyDiv w:val="1"/>
      <w:marLeft w:val="0"/>
      <w:marRight w:val="0"/>
      <w:marTop w:val="0"/>
      <w:marBottom w:val="0"/>
      <w:divBdr>
        <w:top w:val="none" w:sz="0" w:space="0" w:color="auto"/>
        <w:left w:val="none" w:sz="0" w:space="0" w:color="auto"/>
        <w:bottom w:val="none" w:sz="0" w:space="0" w:color="auto"/>
        <w:right w:val="none" w:sz="0" w:space="0" w:color="auto"/>
      </w:divBdr>
    </w:div>
    <w:div w:id="1307052841">
      <w:bodyDiv w:val="1"/>
      <w:marLeft w:val="0"/>
      <w:marRight w:val="0"/>
      <w:marTop w:val="0"/>
      <w:marBottom w:val="0"/>
      <w:divBdr>
        <w:top w:val="none" w:sz="0" w:space="0" w:color="auto"/>
        <w:left w:val="none" w:sz="0" w:space="0" w:color="auto"/>
        <w:bottom w:val="none" w:sz="0" w:space="0" w:color="auto"/>
        <w:right w:val="none" w:sz="0" w:space="0" w:color="auto"/>
      </w:divBdr>
    </w:div>
    <w:div w:id="1308558296">
      <w:bodyDiv w:val="1"/>
      <w:marLeft w:val="0"/>
      <w:marRight w:val="0"/>
      <w:marTop w:val="0"/>
      <w:marBottom w:val="0"/>
      <w:divBdr>
        <w:top w:val="none" w:sz="0" w:space="0" w:color="auto"/>
        <w:left w:val="none" w:sz="0" w:space="0" w:color="auto"/>
        <w:bottom w:val="none" w:sz="0" w:space="0" w:color="auto"/>
        <w:right w:val="none" w:sz="0" w:space="0" w:color="auto"/>
      </w:divBdr>
    </w:div>
    <w:div w:id="1310597960">
      <w:bodyDiv w:val="1"/>
      <w:marLeft w:val="0"/>
      <w:marRight w:val="0"/>
      <w:marTop w:val="0"/>
      <w:marBottom w:val="0"/>
      <w:divBdr>
        <w:top w:val="none" w:sz="0" w:space="0" w:color="auto"/>
        <w:left w:val="none" w:sz="0" w:space="0" w:color="auto"/>
        <w:bottom w:val="none" w:sz="0" w:space="0" w:color="auto"/>
        <w:right w:val="none" w:sz="0" w:space="0" w:color="auto"/>
      </w:divBdr>
    </w:div>
    <w:div w:id="1310939263">
      <w:bodyDiv w:val="1"/>
      <w:marLeft w:val="0"/>
      <w:marRight w:val="0"/>
      <w:marTop w:val="0"/>
      <w:marBottom w:val="0"/>
      <w:divBdr>
        <w:top w:val="none" w:sz="0" w:space="0" w:color="auto"/>
        <w:left w:val="none" w:sz="0" w:space="0" w:color="auto"/>
        <w:bottom w:val="none" w:sz="0" w:space="0" w:color="auto"/>
        <w:right w:val="none" w:sz="0" w:space="0" w:color="auto"/>
      </w:divBdr>
    </w:div>
    <w:div w:id="1311711665">
      <w:bodyDiv w:val="1"/>
      <w:marLeft w:val="0"/>
      <w:marRight w:val="0"/>
      <w:marTop w:val="0"/>
      <w:marBottom w:val="0"/>
      <w:divBdr>
        <w:top w:val="none" w:sz="0" w:space="0" w:color="auto"/>
        <w:left w:val="none" w:sz="0" w:space="0" w:color="auto"/>
        <w:bottom w:val="none" w:sz="0" w:space="0" w:color="auto"/>
        <w:right w:val="none" w:sz="0" w:space="0" w:color="auto"/>
      </w:divBdr>
    </w:div>
    <w:div w:id="1314873481">
      <w:bodyDiv w:val="1"/>
      <w:marLeft w:val="0"/>
      <w:marRight w:val="0"/>
      <w:marTop w:val="0"/>
      <w:marBottom w:val="0"/>
      <w:divBdr>
        <w:top w:val="none" w:sz="0" w:space="0" w:color="auto"/>
        <w:left w:val="none" w:sz="0" w:space="0" w:color="auto"/>
        <w:bottom w:val="none" w:sz="0" w:space="0" w:color="auto"/>
        <w:right w:val="none" w:sz="0" w:space="0" w:color="auto"/>
      </w:divBdr>
    </w:div>
    <w:div w:id="1316951029">
      <w:bodyDiv w:val="1"/>
      <w:marLeft w:val="0"/>
      <w:marRight w:val="0"/>
      <w:marTop w:val="0"/>
      <w:marBottom w:val="0"/>
      <w:divBdr>
        <w:top w:val="none" w:sz="0" w:space="0" w:color="auto"/>
        <w:left w:val="none" w:sz="0" w:space="0" w:color="auto"/>
        <w:bottom w:val="none" w:sz="0" w:space="0" w:color="auto"/>
        <w:right w:val="none" w:sz="0" w:space="0" w:color="auto"/>
      </w:divBdr>
    </w:div>
    <w:div w:id="1323582130">
      <w:bodyDiv w:val="1"/>
      <w:marLeft w:val="0"/>
      <w:marRight w:val="0"/>
      <w:marTop w:val="0"/>
      <w:marBottom w:val="0"/>
      <w:divBdr>
        <w:top w:val="none" w:sz="0" w:space="0" w:color="auto"/>
        <w:left w:val="none" w:sz="0" w:space="0" w:color="auto"/>
        <w:bottom w:val="none" w:sz="0" w:space="0" w:color="auto"/>
        <w:right w:val="none" w:sz="0" w:space="0" w:color="auto"/>
      </w:divBdr>
    </w:div>
    <w:div w:id="1327515240">
      <w:bodyDiv w:val="1"/>
      <w:marLeft w:val="0"/>
      <w:marRight w:val="0"/>
      <w:marTop w:val="0"/>
      <w:marBottom w:val="0"/>
      <w:divBdr>
        <w:top w:val="none" w:sz="0" w:space="0" w:color="auto"/>
        <w:left w:val="none" w:sz="0" w:space="0" w:color="auto"/>
        <w:bottom w:val="none" w:sz="0" w:space="0" w:color="auto"/>
        <w:right w:val="none" w:sz="0" w:space="0" w:color="auto"/>
      </w:divBdr>
    </w:div>
    <w:div w:id="1331562316">
      <w:bodyDiv w:val="1"/>
      <w:marLeft w:val="0"/>
      <w:marRight w:val="0"/>
      <w:marTop w:val="0"/>
      <w:marBottom w:val="0"/>
      <w:divBdr>
        <w:top w:val="none" w:sz="0" w:space="0" w:color="auto"/>
        <w:left w:val="none" w:sz="0" w:space="0" w:color="auto"/>
        <w:bottom w:val="none" w:sz="0" w:space="0" w:color="auto"/>
        <w:right w:val="none" w:sz="0" w:space="0" w:color="auto"/>
      </w:divBdr>
    </w:div>
    <w:div w:id="1334996253">
      <w:bodyDiv w:val="1"/>
      <w:marLeft w:val="0"/>
      <w:marRight w:val="0"/>
      <w:marTop w:val="0"/>
      <w:marBottom w:val="0"/>
      <w:divBdr>
        <w:top w:val="none" w:sz="0" w:space="0" w:color="auto"/>
        <w:left w:val="none" w:sz="0" w:space="0" w:color="auto"/>
        <w:bottom w:val="none" w:sz="0" w:space="0" w:color="auto"/>
        <w:right w:val="none" w:sz="0" w:space="0" w:color="auto"/>
      </w:divBdr>
    </w:div>
    <w:div w:id="1337151672">
      <w:bodyDiv w:val="1"/>
      <w:marLeft w:val="0"/>
      <w:marRight w:val="0"/>
      <w:marTop w:val="0"/>
      <w:marBottom w:val="0"/>
      <w:divBdr>
        <w:top w:val="none" w:sz="0" w:space="0" w:color="auto"/>
        <w:left w:val="none" w:sz="0" w:space="0" w:color="auto"/>
        <w:bottom w:val="none" w:sz="0" w:space="0" w:color="auto"/>
        <w:right w:val="none" w:sz="0" w:space="0" w:color="auto"/>
      </w:divBdr>
    </w:div>
    <w:div w:id="1338003693">
      <w:bodyDiv w:val="1"/>
      <w:marLeft w:val="0"/>
      <w:marRight w:val="0"/>
      <w:marTop w:val="0"/>
      <w:marBottom w:val="0"/>
      <w:divBdr>
        <w:top w:val="none" w:sz="0" w:space="0" w:color="auto"/>
        <w:left w:val="none" w:sz="0" w:space="0" w:color="auto"/>
        <w:bottom w:val="none" w:sz="0" w:space="0" w:color="auto"/>
        <w:right w:val="none" w:sz="0" w:space="0" w:color="auto"/>
      </w:divBdr>
    </w:div>
    <w:div w:id="1346404169">
      <w:bodyDiv w:val="1"/>
      <w:marLeft w:val="0"/>
      <w:marRight w:val="0"/>
      <w:marTop w:val="0"/>
      <w:marBottom w:val="0"/>
      <w:divBdr>
        <w:top w:val="none" w:sz="0" w:space="0" w:color="auto"/>
        <w:left w:val="none" w:sz="0" w:space="0" w:color="auto"/>
        <w:bottom w:val="none" w:sz="0" w:space="0" w:color="auto"/>
        <w:right w:val="none" w:sz="0" w:space="0" w:color="auto"/>
      </w:divBdr>
    </w:div>
    <w:div w:id="1357075276">
      <w:bodyDiv w:val="1"/>
      <w:marLeft w:val="0"/>
      <w:marRight w:val="0"/>
      <w:marTop w:val="0"/>
      <w:marBottom w:val="0"/>
      <w:divBdr>
        <w:top w:val="none" w:sz="0" w:space="0" w:color="auto"/>
        <w:left w:val="none" w:sz="0" w:space="0" w:color="auto"/>
        <w:bottom w:val="none" w:sz="0" w:space="0" w:color="auto"/>
        <w:right w:val="none" w:sz="0" w:space="0" w:color="auto"/>
      </w:divBdr>
    </w:div>
    <w:div w:id="1373119479">
      <w:bodyDiv w:val="1"/>
      <w:marLeft w:val="0"/>
      <w:marRight w:val="0"/>
      <w:marTop w:val="0"/>
      <w:marBottom w:val="0"/>
      <w:divBdr>
        <w:top w:val="none" w:sz="0" w:space="0" w:color="auto"/>
        <w:left w:val="none" w:sz="0" w:space="0" w:color="auto"/>
        <w:bottom w:val="none" w:sz="0" w:space="0" w:color="auto"/>
        <w:right w:val="none" w:sz="0" w:space="0" w:color="auto"/>
      </w:divBdr>
    </w:div>
    <w:div w:id="1380206442">
      <w:bodyDiv w:val="1"/>
      <w:marLeft w:val="0"/>
      <w:marRight w:val="0"/>
      <w:marTop w:val="0"/>
      <w:marBottom w:val="0"/>
      <w:divBdr>
        <w:top w:val="none" w:sz="0" w:space="0" w:color="auto"/>
        <w:left w:val="none" w:sz="0" w:space="0" w:color="auto"/>
        <w:bottom w:val="none" w:sz="0" w:space="0" w:color="auto"/>
        <w:right w:val="none" w:sz="0" w:space="0" w:color="auto"/>
      </w:divBdr>
    </w:div>
    <w:div w:id="1389302421">
      <w:bodyDiv w:val="1"/>
      <w:marLeft w:val="0"/>
      <w:marRight w:val="0"/>
      <w:marTop w:val="0"/>
      <w:marBottom w:val="0"/>
      <w:divBdr>
        <w:top w:val="none" w:sz="0" w:space="0" w:color="auto"/>
        <w:left w:val="none" w:sz="0" w:space="0" w:color="auto"/>
        <w:bottom w:val="none" w:sz="0" w:space="0" w:color="auto"/>
        <w:right w:val="none" w:sz="0" w:space="0" w:color="auto"/>
      </w:divBdr>
    </w:div>
    <w:div w:id="1389694822">
      <w:bodyDiv w:val="1"/>
      <w:marLeft w:val="0"/>
      <w:marRight w:val="0"/>
      <w:marTop w:val="0"/>
      <w:marBottom w:val="0"/>
      <w:divBdr>
        <w:top w:val="none" w:sz="0" w:space="0" w:color="auto"/>
        <w:left w:val="none" w:sz="0" w:space="0" w:color="auto"/>
        <w:bottom w:val="none" w:sz="0" w:space="0" w:color="auto"/>
        <w:right w:val="none" w:sz="0" w:space="0" w:color="auto"/>
      </w:divBdr>
    </w:div>
    <w:div w:id="1394306902">
      <w:bodyDiv w:val="1"/>
      <w:marLeft w:val="0"/>
      <w:marRight w:val="0"/>
      <w:marTop w:val="0"/>
      <w:marBottom w:val="0"/>
      <w:divBdr>
        <w:top w:val="none" w:sz="0" w:space="0" w:color="auto"/>
        <w:left w:val="none" w:sz="0" w:space="0" w:color="auto"/>
        <w:bottom w:val="none" w:sz="0" w:space="0" w:color="auto"/>
        <w:right w:val="none" w:sz="0" w:space="0" w:color="auto"/>
      </w:divBdr>
    </w:div>
    <w:div w:id="1399741192">
      <w:bodyDiv w:val="1"/>
      <w:marLeft w:val="0"/>
      <w:marRight w:val="0"/>
      <w:marTop w:val="0"/>
      <w:marBottom w:val="0"/>
      <w:divBdr>
        <w:top w:val="none" w:sz="0" w:space="0" w:color="auto"/>
        <w:left w:val="none" w:sz="0" w:space="0" w:color="auto"/>
        <w:bottom w:val="none" w:sz="0" w:space="0" w:color="auto"/>
        <w:right w:val="none" w:sz="0" w:space="0" w:color="auto"/>
      </w:divBdr>
    </w:div>
    <w:div w:id="1439371266">
      <w:bodyDiv w:val="1"/>
      <w:marLeft w:val="0"/>
      <w:marRight w:val="0"/>
      <w:marTop w:val="0"/>
      <w:marBottom w:val="0"/>
      <w:divBdr>
        <w:top w:val="none" w:sz="0" w:space="0" w:color="auto"/>
        <w:left w:val="none" w:sz="0" w:space="0" w:color="auto"/>
        <w:bottom w:val="none" w:sz="0" w:space="0" w:color="auto"/>
        <w:right w:val="none" w:sz="0" w:space="0" w:color="auto"/>
      </w:divBdr>
    </w:div>
    <w:div w:id="1446315493">
      <w:bodyDiv w:val="1"/>
      <w:marLeft w:val="0"/>
      <w:marRight w:val="0"/>
      <w:marTop w:val="0"/>
      <w:marBottom w:val="0"/>
      <w:divBdr>
        <w:top w:val="none" w:sz="0" w:space="0" w:color="auto"/>
        <w:left w:val="none" w:sz="0" w:space="0" w:color="auto"/>
        <w:bottom w:val="none" w:sz="0" w:space="0" w:color="auto"/>
        <w:right w:val="none" w:sz="0" w:space="0" w:color="auto"/>
      </w:divBdr>
    </w:div>
    <w:div w:id="1447503513">
      <w:bodyDiv w:val="1"/>
      <w:marLeft w:val="0"/>
      <w:marRight w:val="0"/>
      <w:marTop w:val="0"/>
      <w:marBottom w:val="0"/>
      <w:divBdr>
        <w:top w:val="none" w:sz="0" w:space="0" w:color="auto"/>
        <w:left w:val="none" w:sz="0" w:space="0" w:color="auto"/>
        <w:bottom w:val="none" w:sz="0" w:space="0" w:color="auto"/>
        <w:right w:val="none" w:sz="0" w:space="0" w:color="auto"/>
      </w:divBdr>
    </w:div>
    <w:div w:id="1451629495">
      <w:bodyDiv w:val="1"/>
      <w:marLeft w:val="0"/>
      <w:marRight w:val="0"/>
      <w:marTop w:val="0"/>
      <w:marBottom w:val="0"/>
      <w:divBdr>
        <w:top w:val="none" w:sz="0" w:space="0" w:color="auto"/>
        <w:left w:val="none" w:sz="0" w:space="0" w:color="auto"/>
        <w:bottom w:val="none" w:sz="0" w:space="0" w:color="auto"/>
        <w:right w:val="none" w:sz="0" w:space="0" w:color="auto"/>
      </w:divBdr>
    </w:div>
    <w:div w:id="1453131211">
      <w:bodyDiv w:val="1"/>
      <w:marLeft w:val="0"/>
      <w:marRight w:val="0"/>
      <w:marTop w:val="0"/>
      <w:marBottom w:val="0"/>
      <w:divBdr>
        <w:top w:val="none" w:sz="0" w:space="0" w:color="auto"/>
        <w:left w:val="none" w:sz="0" w:space="0" w:color="auto"/>
        <w:bottom w:val="none" w:sz="0" w:space="0" w:color="auto"/>
        <w:right w:val="none" w:sz="0" w:space="0" w:color="auto"/>
      </w:divBdr>
    </w:div>
    <w:div w:id="1461606635">
      <w:bodyDiv w:val="1"/>
      <w:marLeft w:val="0"/>
      <w:marRight w:val="0"/>
      <w:marTop w:val="0"/>
      <w:marBottom w:val="0"/>
      <w:divBdr>
        <w:top w:val="none" w:sz="0" w:space="0" w:color="auto"/>
        <w:left w:val="none" w:sz="0" w:space="0" w:color="auto"/>
        <w:bottom w:val="none" w:sz="0" w:space="0" w:color="auto"/>
        <w:right w:val="none" w:sz="0" w:space="0" w:color="auto"/>
      </w:divBdr>
    </w:div>
    <w:div w:id="1462071256">
      <w:bodyDiv w:val="1"/>
      <w:marLeft w:val="0"/>
      <w:marRight w:val="0"/>
      <w:marTop w:val="0"/>
      <w:marBottom w:val="0"/>
      <w:divBdr>
        <w:top w:val="none" w:sz="0" w:space="0" w:color="auto"/>
        <w:left w:val="none" w:sz="0" w:space="0" w:color="auto"/>
        <w:bottom w:val="none" w:sz="0" w:space="0" w:color="auto"/>
        <w:right w:val="none" w:sz="0" w:space="0" w:color="auto"/>
      </w:divBdr>
    </w:div>
    <w:div w:id="1464733376">
      <w:bodyDiv w:val="1"/>
      <w:marLeft w:val="0"/>
      <w:marRight w:val="0"/>
      <w:marTop w:val="0"/>
      <w:marBottom w:val="0"/>
      <w:divBdr>
        <w:top w:val="none" w:sz="0" w:space="0" w:color="auto"/>
        <w:left w:val="none" w:sz="0" w:space="0" w:color="auto"/>
        <w:bottom w:val="none" w:sz="0" w:space="0" w:color="auto"/>
        <w:right w:val="none" w:sz="0" w:space="0" w:color="auto"/>
      </w:divBdr>
    </w:div>
    <w:div w:id="1465539893">
      <w:bodyDiv w:val="1"/>
      <w:marLeft w:val="0"/>
      <w:marRight w:val="0"/>
      <w:marTop w:val="0"/>
      <w:marBottom w:val="0"/>
      <w:divBdr>
        <w:top w:val="none" w:sz="0" w:space="0" w:color="auto"/>
        <w:left w:val="none" w:sz="0" w:space="0" w:color="auto"/>
        <w:bottom w:val="none" w:sz="0" w:space="0" w:color="auto"/>
        <w:right w:val="none" w:sz="0" w:space="0" w:color="auto"/>
      </w:divBdr>
    </w:div>
    <w:div w:id="1466893534">
      <w:bodyDiv w:val="1"/>
      <w:marLeft w:val="0"/>
      <w:marRight w:val="0"/>
      <w:marTop w:val="0"/>
      <w:marBottom w:val="0"/>
      <w:divBdr>
        <w:top w:val="none" w:sz="0" w:space="0" w:color="auto"/>
        <w:left w:val="none" w:sz="0" w:space="0" w:color="auto"/>
        <w:bottom w:val="none" w:sz="0" w:space="0" w:color="auto"/>
        <w:right w:val="none" w:sz="0" w:space="0" w:color="auto"/>
      </w:divBdr>
    </w:div>
    <w:div w:id="1469934788">
      <w:bodyDiv w:val="1"/>
      <w:marLeft w:val="0"/>
      <w:marRight w:val="0"/>
      <w:marTop w:val="0"/>
      <w:marBottom w:val="0"/>
      <w:divBdr>
        <w:top w:val="none" w:sz="0" w:space="0" w:color="auto"/>
        <w:left w:val="none" w:sz="0" w:space="0" w:color="auto"/>
        <w:bottom w:val="none" w:sz="0" w:space="0" w:color="auto"/>
        <w:right w:val="none" w:sz="0" w:space="0" w:color="auto"/>
      </w:divBdr>
    </w:div>
    <w:div w:id="1474714626">
      <w:bodyDiv w:val="1"/>
      <w:marLeft w:val="0"/>
      <w:marRight w:val="0"/>
      <w:marTop w:val="0"/>
      <w:marBottom w:val="0"/>
      <w:divBdr>
        <w:top w:val="none" w:sz="0" w:space="0" w:color="auto"/>
        <w:left w:val="none" w:sz="0" w:space="0" w:color="auto"/>
        <w:bottom w:val="none" w:sz="0" w:space="0" w:color="auto"/>
        <w:right w:val="none" w:sz="0" w:space="0" w:color="auto"/>
      </w:divBdr>
    </w:div>
    <w:div w:id="1479878214">
      <w:bodyDiv w:val="1"/>
      <w:marLeft w:val="0"/>
      <w:marRight w:val="0"/>
      <w:marTop w:val="0"/>
      <w:marBottom w:val="0"/>
      <w:divBdr>
        <w:top w:val="none" w:sz="0" w:space="0" w:color="auto"/>
        <w:left w:val="none" w:sz="0" w:space="0" w:color="auto"/>
        <w:bottom w:val="none" w:sz="0" w:space="0" w:color="auto"/>
        <w:right w:val="none" w:sz="0" w:space="0" w:color="auto"/>
      </w:divBdr>
    </w:div>
    <w:div w:id="1480883126">
      <w:bodyDiv w:val="1"/>
      <w:marLeft w:val="0"/>
      <w:marRight w:val="0"/>
      <w:marTop w:val="0"/>
      <w:marBottom w:val="0"/>
      <w:divBdr>
        <w:top w:val="none" w:sz="0" w:space="0" w:color="auto"/>
        <w:left w:val="none" w:sz="0" w:space="0" w:color="auto"/>
        <w:bottom w:val="none" w:sz="0" w:space="0" w:color="auto"/>
        <w:right w:val="none" w:sz="0" w:space="0" w:color="auto"/>
      </w:divBdr>
    </w:div>
    <w:div w:id="1490096775">
      <w:bodyDiv w:val="1"/>
      <w:marLeft w:val="0"/>
      <w:marRight w:val="0"/>
      <w:marTop w:val="0"/>
      <w:marBottom w:val="0"/>
      <w:divBdr>
        <w:top w:val="none" w:sz="0" w:space="0" w:color="auto"/>
        <w:left w:val="none" w:sz="0" w:space="0" w:color="auto"/>
        <w:bottom w:val="none" w:sz="0" w:space="0" w:color="auto"/>
        <w:right w:val="none" w:sz="0" w:space="0" w:color="auto"/>
      </w:divBdr>
    </w:div>
    <w:div w:id="1502544873">
      <w:bodyDiv w:val="1"/>
      <w:marLeft w:val="0"/>
      <w:marRight w:val="0"/>
      <w:marTop w:val="0"/>
      <w:marBottom w:val="0"/>
      <w:divBdr>
        <w:top w:val="none" w:sz="0" w:space="0" w:color="auto"/>
        <w:left w:val="none" w:sz="0" w:space="0" w:color="auto"/>
        <w:bottom w:val="none" w:sz="0" w:space="0" w:color="auto"/>
        <w:right w:val="none" w:sz="0" w:space="0" w:color="auto"/>
      </w:divBdr>
    </w:div>
    <w:div w:id="1507473658">
      <w:bodyDiv w:val="1"/>
      <w:marLeft w:val="0"/>
      <w:marRight w:val="0"/>
      <w:marTop w:val="0"/>
      <w:marBottom w:val="0"/>
      <w:divBdr>
        <w:top w:val="none" w:sz="0" w:space="0" w:color="auto"/>
        <w:left w:val="none" w:sz="0" w:space="0" w:color="auto"/>
        <w:bottom w:val="none" w:sz="0" w:space="0" w:color="auto"/>
        <w:right w:val="none" w:sz="0" w:space="0" w:color="auto"/>
      </w:divBdr>
    </w:div>
    <w:div w:id="1517890644">
      <w:bodyDiv w:val="1"/>
      <w:marLeft w:val="0"/>
      <w:marRight w:val="0"/>
      <w:marTop w:val="0"/>
      <w:marBottom w:val="0"/>
      <w:divBdr>
        <w:top w:val="none" w:sz="0" w:space="0" w:color="auto"/>
        <w:left w:val="none" w:sz="0" w:space="0" w:color="auto"/>
        <w:bottom w:val="none" w:sz="0" w:space="0" w:color="auto"/>
        <w:right w:val="none" w:sz="0" w:space="0" w:color="auto"/>
      </w:divBdr>
    </w:div>
    <w:div w:id="1519468700">
      <w:bodyDiv w:val="1"/>
      <w:marLeft w:val="0"/>
      <w:marRight w:val="0"/>
      <w:marTop w:val="0"/>
      <w:marBottom w:val="0"/>
      <w:divBdr>
        <w:top w:val="none" w:sz="0" w:space="0" w:color="auto"/>
        <w:left w:val="none" w:sz="0" w:space="0" w:color="auto"/>
        <w:bottom w:val="none" w:sz="0" w:space="0" w:color="auto"/>
        <w:right w:val="none" w:sz="0" w:space="0" w:color="auto"/>
      </w:divBdr>
    </w:div>
    <w:div w:id="1525434463">
      <w:bodyDiv w:val="1"/>
      <w:marLeft w:val="0"/>
      <w:marRight w:val="0"/>
      <w:marTop w:val="0"/>
      <w:marBottom w:val="0"/>
      <w:divBdr>
        <w:top w:val="none" w:sz="0" w:space="0" w:color="auto"/>
        <w:left w:val="none" w:sz="0" w:space="0" w:color="auto"/>
        <w:bottom w:val="none" w:sz="0" w:space="0" w:color="auto"/>
        <w:right w:val="none" w:sz="0" w:space="0" w:color="auto"/>
      </w:divBdr>
    </w:div>
    <w:div w:id="1529106606">
      <w:bodyDiv w:val="1"/>
      <w:marLeft w:val="0"/>
      <w:marRight w:val="0"/>
      <w:marTop w:val="0"/>
      <w:marBottom w:val="0"/>
      <w:divBdr>
        <w:top w:val="none" w:sz="0" w:space="0" w:color="auto"/>
        <w:left w:val="none" w:sz="0" w:space="0" w:color="auto"/>
        <w:bottom w:val="none" w:sz="0" w:space="0" w:color="auto"/>
        <w:right w:val="none" w:sz="0" w:space="0" w:color="auto"/>
      </w:divBdr>
    </w:div>
    <w:div w:id="1531189036">
      <w:bodyDiv w:val="1"/>
      <w:marLeft w:val="0"/>
      <w:marRight w:val="0"/>
      <w:marTop w:val="0"/>
      <w:marBottom w:val="0"/>
      <w:divBdr>
        <w:top w:val="none" w:sz="0" w:space="0" w:color="auto"/>
        <w:left w:val="none" w:sz="0" w:space="0" w:color="auto"/>
        <w:bottom w:val="none" w:sz="0" w:space="0" w:color="auto"/>
        <w:right w:val="none" w:sz="0" w:space="0" w:color="auto"/>
      </w:divBdr>
    </w:div>
    <w:div w:id="1532912694">
      <w:bodyDiv w:val="1"/>
      <w:marLeft w:val="0"/>
      <w:marRight w:val="0"/>
      <w:marTop w:val="0"/>
      <w:marBottom w:val="0"/>
      <w:divBdr>
        <w:top w:val="none" w:sz="0" w:space="0" w:color="auto"/>
        <w:left w:val="none" w:sz="0" w:space="0" w:color="auto"/>
        <w:bottom w:val="none" w:sz="0" w:space="0" w:color="auto"/>
        <w:right w:val="none" w:sz="0" w:space="0" w:color="auto"/>
      </w:divBdr>
    </w:div>
    <w:div w:id="1539703484">
      <w:bodyDiv w:val="1"/>
      <w:marLeft w:val="0"/>
      <w:marRight w:val="0"/>
      <w:marTop w:val="0"/>
      <w:marBottom w:val="0"/>
      <w:divBdr>
        <w:top w:val="none" w:sz="0" w:space="0" w:color="auto"/>
        <w:left w:val="none" w:sz="0" w:space="0" w:color="auto"/>
        <w:bottom w:val="none" w:sz="0" w:space="0" w:color="auto"/>
        <w:right w:val="none" w:sz="0" w:space="0" w:color="auto"/>
      </w:divBdr>
    </w:div>
    <w:div w:id="1540313600">
      <w:bodyDiv w:val="1"/>
      <w:marLeft w:val="0"/>
      <w:marRight w:val="0"/>
      <w:marTop w:val="0"/>
      <w:marBottom w:val="0"/>
      <w:divBdr>
        <w:top w:val="none" w:sz="0" w:space="0" w:color="auto"/>
        <w:left w:val="none" w:sz="0" w:space="0" w:color="auto"/>
        <w:bottom w:val="none" w:sz="0" w:space="0" w:color="auto"/>
        <w:right w:val="none" w:sz="0" w:space="0" w:color="auto"/>
      </w:divBdr>
    </w:div>
    <w:div w:id="1550411427">
      <w:bodyDiv w:val="1"/>
      <w:marLeft w:val="0"/>
      <w:marRight w:val="0"/>
      <w:marTop w:val="0"/>
      <w:marBottom w:val="0"/>
      <w:divBdr>
        <w:top w:val="none" w:sz="0" w:space="0" w:color="auto"/>
        <w:left w:val="none" w:sz="0" w:space="0" w:color="auto"/>
        <w:bottom w:val="none" w:sz="0" w:space="0" w:color="auto"/>
        <w:right w:val="none" w:sz="0" w:space="0" w:color="auto"/>
      </w:divBdr>
    </w:div>
    <w:div w:id="1554194396">
      <w:bodyDiv w:val="1"/>
      <w:marLeft w:val="0"/>
      <w:marRight w:val="0"/>
      <w:marTop w:val="0"/>
      <w:marBottom w:val="0"/>
      <w:divBdr>
        <w:top w:val="none" w:sz="0" w:space="0" w:color="auto"/>
        <w:left w:val="none" w:sz="0" w:space="0" w:color="auto"/>
        <w:bottom w:val="none" w:sz="0" w:space="0" w:color="auto"/>
        <w:right w:val="none" w:sz="0" w:space="0" w:color="auto"/>
      </w:divBdr>
    </w:div>
    <w:div w:id="1555317374">
      <w:bodyDiv w:val="1"/>
      <w:marLeft w:val="0"/>
      <w:marRight w:val="0"/>
      <w:marTop w:val="0"/>
      <w:marBottom w:val="0"/>
      <w:divBdr>
        <w:top w:val="none" w:sz="0" w:space="0" w:color="auto"/>
        <w:left w:val="none" w:sz="0" w:space="0" w:color="auto"/>
        <w:bottom w:val="none" w:sz="0" w:space="0" w:color="auto"/>
        <w:right w:val="none" w:sz="0" w:space="0" w:color="auto"/>
      </w:divBdr>
    </w:div>
    <w:div w:id="1559321125">
      <w:bodyDiv w:val="1"/>
      <w:marLeft w:val="0"/>
      <w:marRight w:val="0"/>
      <w:marTop w:val="0"/>
      <w:marBottom w:val="0"/>
      <w:divBdr>
        <w:top w:val="none" w:sz="0" w:space="0" w:color="auto"/>
        <w:left w:val="none" w:sz="0" w:space="0" w:color="auto"/>
        <w:bottom w:val="none" w:sz="0" w:space="0" w:color="auto"/>
        <w:right w:val="none" w:sz="0" w:space="0" w:color="auto"/>
      </w:divBdr>
    </w:div>
    <w:div w:id="1561747105">
      <w:bodyDiv w:val="1"/>
      <w:marLeft w:val="0"/>
      <w:marRight w:val="0"/>
      <w:marTop w:val="0"/>
      <w:marBottom w:val="0"/>
      <w:divBdr>
        <w:top w:val="none" w:sz="0" w:space="0" w:color="auto"/>
        <w:left w:val="none" w:sz="0" w:space="0" w:color="auto"/>
        <w:bottom w:val="none" w:sz="0" w:space="0" w:color="auto"/>
        <w:right w:val="none" w:sz="0" w:space="0" w:color="auto"/>
      </w:divBdr>
    </w:div>
    <w:div w:id="1563105018">
      <w:bodyDiv w:val="1"/>
      <w:marLeft w:val="0"/>
      <w:marRight w:val="0"/>
      <w:marTop w:val="0"/>
      <w:marBottom w:val="0"/>
      <w:divBdr>
        <w:top w:val="none" w:sz="0" w:space="0" w:color="auto"/>
        <w:left w:val="none" w:sz="0" w:space="0" w:color="auto"/>
        <w:bottom w:val="none" w:sz="0" w:space="0" w:color="auto"/>
        <w:right w:val="none" w:sz="0" w:space="0" w:color="auto"/>
      </w:divBdr>
    </w:div>
    <w:div w:id="1566722653">
      <w:bodyDiv w:val="1"/>
      <w:marLeft w:val="0"/>
      <w:marRight w:val="0"/>
      <w:marTop w:val="0"/>
      <w:marBottom w:val="0"/>
      <w:divBdr>
        <w:top w:val="none" w:sz="0" w:space="0" w:color="auto"/>
        <w:left w:val="none" w:sz="0" w:space="0" w:color="auto"/>
        <w:bottom w:val="none" w:sz="0" w:space="0" w:color="auto"/>
        <w:right w:val="none" w:sz="0" w:space="0" w:color="auto"/>
      </w:divBdr>
    </w:div>
    <w:div w:id="1567186723">
      <w:bodyDiv w:val="1"/>
      <w:marLeft w:val="0"/>
      <w:marRight w:val="0"/>
      <w:marTop w:val="0"/>
      <w:marBottom w:val="0"/>
      <w:divBdr>
        <w:top w:val="none" w:sz="0" w:space="0" w:color="auto"/>
        <w:left w:val="none" w:sz="0" w:space="0" w:color="auto"/>
        <w:bottom w:val="none" w:sz="0" w:space="0" w:color="auto"/>
        <w:right w:val="none" w:sz="0" w:space="0" w:color="auto"/>
      </w:divBdr>
    </w:div>
    <w:div w:id="1567448257">
      <w:bodyDiv w:val="1"/>
      <w:marLeft w:val="0"/>
      <w:marRight w:val="0"/>
      <w:marTop w:val="0"/>
      <w:marBottom w:val="0"/>
      <w:divBdr>
        <w:top w:val="none" w:sz="0" w:space="0" w:color="auto"/>
        <w:left w:val="none" w:sz="0" w:space="0" w:color="auto"/>
        <w:bottom w:val="none" w:sz="0" w:space="0" w:color="auto"/>
        <w:right w:val="none" w:sz="0" w:space="0" w:color="auto"/>
      </w:divBdr>
    </w:div>
    <w:div w:id="1575779914">
      <w:bodyDiv w:val="1"/>
      <w:marLeft w:val="0"/>
      <w:marRight w:val="0"/>
      <w:marTop w:val="0"/>
      <w:marBottom w:val="0"/>
      <w:divBdr>
        <w:top w:val="none" w:sz="0" w:space="0" w:color="auto"/>
        <w:left w:val="none" w:sz="0" w:space="0" w:color="auto"/>
        <w:bottom w:val="none" w:sz="0" w:space="0" w:color="auto"/>
        <w:right w:val="none" w:sz="0" w:space="0" w:color="auto"/>
      </w:divBdr>
    </w:div>
    <w:div w:id="1579974272">
      <w:bodyDiv w:val="1"/>
      <w:marLeft w:val="0"/>
      <w:marRight w:val="0"/>
      <w:marTop w:val="0"/>
      <w:marBottom w:val="0"/>
      <w:divBdr>
        <w:top w:val="none" w:sz="0" w:space="0" w:color="auto"/>
        <w:left w:val="none" w:sz="0" w:space="0" w:color="auto"/>
        <w:bottom w:val="none" w:sz="0" w:space="0" w:color="auto"/>
        <w:right w:val="none" w:sz="0" w:space="0" w:color="auto"/>
      </w:divBdr>
    </w:div>
    <w:div w:id="1581140716">
      <w:bodyDiv w:val="1"/>
      <w:marLeft w:val="0"/>
      <w:marRight w:val="0"/>
      <w:marTop w:val="0"/>
      <w:marBottom w:val="0"/>
      <w:divBdr>
        <w:top w:val="none" w:sz="0" w:space="0" w:color="auto"/>
        <w:left w:val="none" w:sz="0" w:space="0" w:color="auto"/>
        <w:bottom w:val="none" w:sz="0" w:space="0" w:color="auto"/>
        <w:right w:val="none" w:sz="0" w:space="0" w:color="auto"/>
      </w:divBdr>
    </w:div>
    <w:div w:id="1582333442">
      <w:bodyDiv w:val="1"/>
      <w:marLeft w:val="0"/>
      <w:marRight w:val="0"/>
      <w:marTop w:val="0"/>
      <w:marBottom w:val="0"/>
      <w:divBdr>
        <w:top w:val="none" w:sz="0" w:space="0" w:color="auto"/>
        <w:left w:val="none" w:sz="0" w:space="0" w:color="auto"/>
        <w:bottom w:val="none" w:sz="0" w:space="0" w:color="auto"/>
        <w:right w:val="none" w:sz="0" w:space="0" w:color="auto"/>
      </w:divBdr>
    </w:div>
    <w:div w:id="1583829379">
      <w:bodyDiv w:val="1"/>
      <w:marLeft w:val="0"/>
      <w:marRight w:val="0"/>
      <w:marTop w:val="0"/>
      <w:marBottom w:val="0"/>
      <w:divBdr>
        <w:top w:val="none" w:sz="0" w:space="0" w:color="auto"/>
        <w:left w:val="none" w:sz="0" w:space="0" w:color="auto"/>
        <w:bottom w:val="none" w:sz="0" w:space="0" w:color="auto"/>
        <w:right w:val="none" w:sz="0" w:space="0" w:color="auto"/>
      </w:divBdr>
    </w:div>
    <w:div w:id="1584947900">
      <w:bodyDiv w:val="1"/>
      <w:marLeft w:val="0"/>
      <w:marRight w:val="0"/>
      <w:marTop w:val="0"/>
      <w:marBottom w:val="0"/>
      <w:divBdr>
        <w:top w:val="none" w:sz="0" w:space="0" w:color="auto"/>
        <w:left w:val="none" w:sz="0" w:space="0" w:color="auto"/>
        <w:bottom w:val="none" w:sz="0" w:space="0" w:color="auto"/>
        <w:right w:val="none" w:sz="0" w:space="0" w:color="auto"/>
      </w:divBdr>
    </w:div>
    <w:div w:id="1589265147">
      <w:bodyDiv w:val="1"/>
      <w:marLeft w:val="0"/>
      <w:marRight w:val="0"/>
      <w:marTop w:val="0"/>
      <w:marBottom w:val="0"/>
      <w:divBdr>
        <w:top w:val="none" w:sz="0" w:space="0" w:color="auto"/>
        <w:left w:val="none" w:sz="0" w:space="0" w:color="auto"/>
        <w:bottom w:val="none" w:sz="0" w:space="0" w:color="auto"/>
        <w:right w:val="none" w:sz="0" w:space="0" w:color="auto"/>
      </w:divBdr>
    </w:div>
    <w:div w:id="1590306340">
      <w:bodyDiv w:val="1"/>
      <w:marLeft w:val="0"/>
      <w:marRight w:val="0"/>
      <w:marTop w:val="0"/>
      <w:marBottom w:val="0"/>
      <w:divBdr>
        <w:top w:val="none" w:sz="0" w:space="0" w:color="auto"/>
        <w:left w:val="none" w:sz="0" w:space="0" w:color="auto"/>
        <w:bottom w:val="none" w:sz="0" w:space="0" w:color="auto"/>
        <w:right w:val="none" w:sz="0" w:space="0" w:color="auto"/>
      </w:divBdr>
    </w:div>
    <w:div w:id="1592543075">
      <w:bodyDiv w:val="1"/>
      <w:marLeft w:val="0"/>
      <w:marRight w:val="0"/>
      <w:marTop w:val="0"/>
      <w:marBottom w:val="0"/>
      <w:divBdr>
        <w:top w:val="none" w:sz="0" w:space="0" w:color="auto"/>
        <w:left w:val="none" w:sz="0" w:space="0" w:color="auto"/>
        <w:bottom w:val="none" w:sz="0" w:space="0" w:color="auto"/>
        <w:right w:val="none" w:sz="0" w:space="0" w:color="auto"/>
      </w:divBdr>
    </w:div>
    <w:div w:id="1599288495">
      <w:bodyDiv w:val="1"/>
      <w:marLeft w:val="0"/>
      <w:marRight w:val="0"/>
      <w:marTop w:val="0"/>
      <w:marBottom w:val="0"/>
      <w:divBdr>
        <w:top w:val="none" w:sz="0" w:space="0" w:color="auto"/>
        <w:left w:val="none" w:sz="0" w:space="0" w:color="auto"/>
        <w:bottom w:val="none" w:sz="0" w:space="0" w:color="auto"/>
        <w:right w:val="none" w:sz="0" w:space="0" w:color="auto"/>
      </w:divBdr>
    </w:div>
    <w:div w:id="1601522863">
      <w:bodyDiv w:val="1"/>
      <w:marLeft w:val="0"/>
      <w:marRight w:val="0"/>
      <w:marTop w:val="0"/>
      <w:marBottom w:val="0"/>
      <w:divBdr>
        <w:top w:val="none" w:sz="0" w:space="0" w:color="auto"/>
        <w:left w:val="none" w:sz="0" w:space="0" w:color="auto"/>
        <w:bottom w:val="none" w:sz="0" w:space="0" w:color="auto"/>
        <w:right w:val="none" w:sz="0" w:space="0" w:color="auto"/>
      </w:divBdr>
    </w:div>
    <w:div w:id="1611006261">
      <w:bodyDiv w:val="1"/>
      <w:marLeft w:val="0"/>
      <w:marRight w:val="0"/>
      <w:marTop w:val="0"/>
      <w:marBottom w:val="0"/>
      <w:divBdr>
        <w:top w:val="none" w:sz="0" w:space="0" w:color="auto"/>
        <w:left w:val="none" w:sz="0" w:space="0" w:color="auto"/>
        <w:bottom w:val="none" w:sz="0" w:space="0" w:color="auto"/>
        <w:right w:val="none" w:sz="0" w:space="0" w:color="auto"/>
      </w:divBdr>
    </w:div>
    <w:div w:id="1613122338">
      <w:bodyDiv w:val="1"/>
      <w:marLeft w:val="0"/>
      <w:marRight w:val="0"/>
      <w:marTop w:val="0"/>
      <w:marBottom w:val="0"/>
      <w:divBdr>
        <w:top w:val="none" w:sz="0" w:space="0" w:color="auto"/>
        <w:left w:val="none" w:sz="0" w:space="0" w:color="auto"/>
        <w:bottom w:val="none" w:sz="0" w:space="0" w:color="auto"/>
        <w:right w:val="none" w:sz="0" w:space="0" w:color="auto"/>
      </w:divBdr>
    </w:div>
    <w:div w:id="1629239473">
      <w:bodyDiv w:val="1"/>
      <w:marLeft w:val="0"/>
      <w:marRight w:val="0"/>
      <w:marTop w:val="0"/>
      <w:marBottom w:val="0"/>
      <w:divBdr>
        <w:top w:val="none" w:sz="0" w:space="0" w:color="auto"/>
        <w:left w:val="none" w:sz="0" w:space="0" w:color="auto"/>
        <w:bottom w:val="none" w:sz="0" w:space="0" w:color="auto"/>
        <w:right w:val="none" w:sz="0" w:space="0" w:color="auto"/>
      </w:divBdr>
    </w:div>
    <w:div w:id="1629581087">
      <w:bodyDiv w:val="1"/>
      <w:marLeft w:val="0"/>
      <w:marRight w:val="0"/>
      <w:marTop w:val="0"/>
      <w:marBottom w:val="0"/>
      <w:divBdr>
        <w:top w:val="none" w:sz="0" w:space="0" w:color="auto"/>
        <w:left w:val="none" w:sz="0" w:space="0" w:color="auto"/>
        <w:bottom w:val="none" w:sz="0" w:space="0" w:color="auto"/>
        <w:right w:val="none" w:sz="0" w:space="0" w:color="auto"/>
      </w:divBdr>
    </w:div>
    <w:div w:id="1641184205">
      <w:bodyDiv w:val="1"/>
      <w:marLeft w:val="0"/>
      <w:marRight w:val="0"/>
      <w:marTop w:val="0"/>
      <w:marBottom w:val="0"/>
      <w:divBdr>
        <w:top w:val="none" w:sz="0" w:space="0" w:color="auto"/>
        <w:left w:val="none" w:sz="0" w:space="0" w:color="auto"/>
        <w:bottom w:val="none" w:sz="0" w:space="0" w:color="auto"/>
        <w:right w:val="none" w:sz="0" w:space="0" w:color="auto"/>
      </w:divBdr>
    </w:div>
    <w:div w:id="1643001087">
      <w:bodyDiv w:val="1"/>
      <w:marLeft w:val="0"/>
      <w:marRight w:val="0"/>
      <w:marTop w:val="0"/>
      <w:marBottom w:val="0"/>
      <w:divBdr>
        <w:top w:val="none" w:sz="0" w:space="0" w:color="auto"/>
        <w:left w:val="none" w:sz="0" w:space="0" w:color="auto"/>
        <w:bottom w:val="none" w:sz="0" w:space="0" w:color="auto"/>
        <w:right w:val="none" w:sz="0" w:space="0" w:color="auto"/>
      </w:divBdr>
    </w:div>
    <w:div w:id="1647196393">
      <w:bodyDiv w:val="1"/>
      <w:marLeft w:val="0"/>
      <w:marRight w:val="0"/>
      <w:marTop w:val="0"/>
      <w:marBottom w:val="0"/>
      <w:divBdr>
        <w:top w:val="none" w:sz="0" w:space="0" w:color="auto"/>
        <w:left w:val="none" w:sz="0" w:space="0" w:color="auto"/>
        <w:bottom w:val="none" w:sz="0" w:space="0" w:color="auto"/>
        <w:right w:val="none" w:sz="0" w:space="0" w:color="auto"/>
      </w:divBdr>
    </w:div>
    <w:div w:id="1650859782">
      <w:bodyDiv w:val="1"/>
      <w:marLeft w:val="0"/>
      <w:marRight w:val="0"/>
      <w:marTop w:val="0"/>
      <w:marBottom w:val="0"/>
      <w:divBdr>
        <w:top w:val="none" w:sz="0" w:space="0" w:color="auto"/>
        <w:left w:val="none" w:sz="0" w:space="0" w:color="auto"/>
        <w:bottom w:val="none" w:sz="0" w:space="0" w:color="auto"/>
        <w:right w:val="none" w:sz="0" w:space="0" w:color="auto"/>
      </w:divBdr>
    </w:div>
    <w:div w:id="1657220257">
      <w:bodyDiv w:val="1"/>
      <w:marLeft w:val="0"/>
      <w:marRight w:val="0"/>
      <w:marTop w:val="0"/>
      <w:marBottom w:val="0"/>
      <w:divBdr>
        <w:top w:val="none" w:sz="0" w:space="0" w:color="auto"/>
        <w:left w:val="none" w:sz="0" w:space="0" w:color="auto"/>
        <w:bottom w:val="none" w:sz="0" w:space="0" w:color="auto"/>
        <w:right w:val="none" w:sz="0" w:space="0" w:color="auto"/>
      </w:divBdr>
    </w:div>
    <w:div w:id="1673412360">
      <w:bodyDiv w:val="1"/>
      <w:marLeft w:val="0"/>
      <w:marRight w:val="0"/>
      <w:marTop w:val="0"/>
      <w:marBottom w:val="0"/>
      <w:divBdr>
        <w:top w:val="none" w:sz="0" w:space="0" w:color="auto"/>
        <w:left w:val="none" w:sz="0" w:space="0" w:color="auto"/>
        <w:bottom w:val="none" w:sz="0" w:space="0" w:color="auto"/>
        <w:right w:val="none" w:sz="0" w:space="0" w:color="auto"/>
      </w:divBdr>
    </w:div>
    <w:div w:id="1677027868">
      <w:bodyDiv w:val="1"/>
      <w:marLeft w:val="0"/>
      <w:marRight w:val="0"/>
      <w:marTop w:val="0"/>
      <w:marBottom w:val="0"/>
      <w:divBdr>
        <w:top w:val="none" w:sz="0" w:space="0" w:color="auto"/>
        <w:left w:val="none" w:sz="0" w:space="0" w:color="auto"/>
        <w:bottom w:val="none" w:sz="0" w:space="0" w:color="auto"/>
        <w:right w:val="none" w:sz="0" w:space="0" w:color="auto"/>
      </w:divBdr>
    </w:div>
    <w:div w:id="1696492934">
      <w:bodyDiv w:val="1"/>
      <w:marLeft w:val="0"/>
      <w:marRight w:val="0"/>
      <w:marTop w:val="0"/>
      <w:marBottom w:val="0"/>
      <w:divBdr>
        <w:top w:val="none" w:sz="0" w:space="0" w:color="auto"/>
        <w:left w:val="none" w:sz="0" w:space="0" w:color="auto"/>
        <w:bottom w:val="none" w:sz="0" w:space="0" w:color="auto"/>
        <w:right w:val="none" w:sz="0" w:space="0" w:color="auto"/>
      </w:divBdr>
    </w:div>
    <w:div w:id="1702902177">
      <w:bodyDiv w:val="1"/>
      <w:marLeft w:val="0"/>
      <w:marRight w:val="0"/>
      <w:marTop w:val="0"/>
      <w:marBottom w:val="0"/>
      <w:divBdr>
        <w:top w:val="none" w:sz="0" w:space="0" w:color="auto"/>
        <w:left w:val="none" w:sz="0" w:space="0" w:color="auto"/>
        <w:bottom w:val="none" w:sz="0" w:space="0" w:color="auto"/>
        <w:right w:val="none" w:sz="0" w:space="0" w:color="auto"/>
      </w:divBdr>
    </w:div>
    <w:div w:id="1713454643">
      <w:bodyDiv w:val="1"/>
      <w:marLeft w:val="0"/>
      <w:marRight w:val="0"/>
      <w:marTop w:val="0"/>
      <w:marBottom w:val="0"/>
      <w:divBdr>
        <w:top w:val="none" w:sz="0" w:space="0" w:color="auto"/>
        <w:left w:val="none" w:sz="0" w:space="0" w:color="auto"/>
        <w:bottom w:val="none" w:sz="0" w:space="0" w:color="auto"/>
        <w:right w:val="none" w:sz="0" w:space="0" w:color="auto"/>
      </w:divBdr>
    </w:div>
    <w:div w:id="1717777180">
      <w:bodyDiv w:val="1"/>
      <w:marLeft w:val="0"/>
      <w:marRight w:val="0"/>
      <w:marTop w:val="0"/>
      <w:marBottom w:val="0"/>
      <w:divBdr>
        <w:top w:val="none" w:sz="0" w:space="0" w:color="auto"/>
        <w:left w:val="none" w:sz="0" w:space="0" w:color="auto"/>
        <w:bottom w:val="none" w:sz="0" w:space="0" w:color="auto"/>
        <w:right w:val="none" w:sz="0" w:space="0" w:color="auto"/>
      </w:divBdr>
    </w:div>
    <w:div w:id="1726757597">
      <w:bodyDiv w:val="1"/>
      <w:marLeft w:val="0"/>
      <w:marRight w:val="0"/>
      <w:marTop w:val="0"/>
      <w:marBottom w:val="0"/>
      <w:divBdr>
        <w:top w:val="none" w:sz="0" w:space="0" w:color="auto"/>
        <w:left w:val="none" w:sz="0" w:space="0" w:color="auto"/>
        <w:bottom w:val="none" w:sz="0" w:space="0" w:color="auto"/>
        <w:right w:val="none" w:sz="0" w:space="0" w:color="auto"/>
      </w:divBdr>
    </w:div>
    <w:div w:id="1727753186">
      <w:bodyDiv w:val="1"/>
      <w:marLeft w:val="0"/>
      <w:marRight w:val="0"/>
      <w:marTop w:val="0"/>
      <w:marBottom w:val="0"/>
      <w:divBdr>
        <w:top w:val="none" w:sz="0" w:space="0" w:color="auto"/>
        <w:left w:val="none" w:sz="0" w:space="0" w:color="auto"/>
        <w:bottom w:val="none" w:sz="0" w:space="0" w:color="auto"/>
        <w:right w:val="none" w:sz="0" w:space="0" w:color="auto"/>
      </w:divBdr>
    </w:div>
    <w:div w:id="1728067004">
      <w:bodyDiv w:val="1"/>
      <w:marLeft w:val="0"/>
      <w:marRight w:val="0"/>
      <w:marTop w:val="0"/>
      <w:marBottom w:val="0"/>
      <w:divBdr>
        <w:top w:val="none" w:sz="0" w:space="0" w:color="auto"/>
        <w:left w:val="none" w:sz="0" w:space="0" w:color="auto"/>
        <w:bottom w:val="none" w:sz="0" w:space="0" w:color="auto"/>
        <w:right w:val="none" w:sz="0" w:space="0" w:color="auto"/>
      </w:divBdr>
    </w:div>
    <w:div w:id="1732926269">
      <w:bodyDiv w:val="1"/>
      <w:marLeft w:val="0"/>
      <w:marRight w:val="0"/>
      <w:marTop w:val="0"/>
      <w:marBottom w:val="0"/>
      <w:divBdr>
        <w:top w:val="none" w:sz="0" w:space="0" w:color="auto"/>
        <w:left w:val="none" w:sz="0" w:space="0" w:color="auto"/>
        <w:bottom w:val="none" w:sz="0" w:space="0" w:color="auto"/>
        <w:right w:val="none" w:sz="0" w:space="0" w:color="auto"/>
      </w:divBdr>
    </w:div>
    <w:div w:id="1734624556">
      <w:bodyDiv w:val="1"/>
      <w:marLeft w:val="0"/>
      <w:marRight w:val="0"/>
      <w:marTop w:val="0"/>
      <w:marBottom w:val="0"/>
      <w:divBdr>
        <w:top w:val="none" w:sz="0" w:space="0" w:color="auto"/>
        <w:left w:val="none" w:sz="0" w:space="0" w:color="auto"/>
        <w:bottom w:val="none" w:sz="0" w:space="0" w:color="auto"/>
        <w:right w:val="none" w:sz="0" w:space="0" w:color="auto"/>
      </w:divBdr>
    </w:div>
    <w:div w:id="1737898895">
      <w:bodyDiv w:val="1"/>
      <w:marLeft w:val="0"/>
      <w:marRight w:val="0"/>
      <w:marTop w:val="0"/>
      <w:marBottom w:val="0"/>
      <w:divBdr>
        <w:top w:val="none" w:sz="0" w:space="0" w:color="auto"/>
        <w:left w:val="none" w:sz="0" w:space="0" w:color="auto"/>
        <w:bottom w:val="none" w:sz="0" w:space="0" w:color="auto"/>
        <w:right w:val="none" w:sz="0" w:space="0" w:color="auto"/>
      </w:divBdr>
    </w:div>
    <w:div w:id="1742172033">
      <w:bodyDiv w:val="1"/>
      <w:marLeft w:val="0"/>
      <w:marRight w:val="0"/>
      <w:marTop w:val="0"/>
      <w:marBottom w:val="0"/>
      <w:divBdr>
        <w:top w:val="none" w:sz="0" w:space="0" w:color="auto"/>
        <w:left w:val="none" w:sz="0" w:space="0" w:color="auto"/>
        <w:bottom w:val="none" w:sz="0" w:space="0" w:color="auto"/>
        <w:right w:val="none" w:sz="0" w:space="0" w:color="auto"/>
      </w:divBdr>
    </w:div>
    <w:div w:id="1744254007">
      <w:bodyDiv w:val="1"/>
      <w:marLeft w:val="0"/>
      <w:marRight w:val="0"/>
      <w:marTop w:val="0"/>
      <w:marBottom w:val="0"/>
      <w:divBdr>
        <w:top w:val="none" w:sz="0" w:space="0" w:color="auto"/>
        <w:left w:val="none" w:sz="0" w:space="0" w:color="auto"/>
        <w:bottom w:val="none" w:sz="0" w:space="0" w:color="auto"/>
        <w:right w:val="none" w:sz="0" w:space="0" w:color="auto"/>
      </w:divBdr>
    </w:div>
    <w:div w:id="1745028783">
      <w:bodyDiv w:val="1"/>
      <w:marLeft w:val="0"/>
      <w:marRight w:val="0"/>
      <w:marTop w:val="0"/>
      <w:marBottom w:val="0"/>
      <w:divBdr>
        <w:top w:val="none" w:sz="0" w:space="0" w:color="auto"/>
        <w:left w:val="none" w:sz="0" w:space="0" w:color="auto"/>
        <w:bottom w:val="none" w:sz="0" w:space="0" w:color="auto"/>
        <w:right w:val="none" w:sz="0" w:space="0" w:color="auto"/>
      </w:divBdr>
    </w:div>
    <w:div w:id="1751191197">
      <w:bodyDiv w:val="1"/>
      <w:marLeft w:val="0"/>
      <w:marRight w:val="0"/>
      <w:marTop w:val="0"/>
      <w:marBottom w:val="0"/>
      <w:divBdr>
        <w:top w:val="none" w:sz="0" w:space="0" w:color="auto"/>
        <w:left w:val="none" w:sz="0" w:space="0" w:color="auto"/>
        <w:bottom w:val="none" w:sz="0" w:space="0" w:color="auto"/>
        <w:right w:val="none" w:sz="0" w:space="0" w:color="auto"/>
      </w:divBdr>
    </w:div>
    <w:div w:id="1759983069">
      <w:bodyDiv w:val="1"/>
      <w:marLeft w:val="0"/>
      <w:marRight w:val="0"/>
      <w:marTop w:val="0"/>
      <w:marBottom w:val="0"/>
      <w:divBdr>
        <w:top w:val="none" w:sz="0" w:space="0" w:color="auto"/>
        <w:left w:val="none" w:sz="0" w:space="0" w:color="auto"/>
        <w:bottom w:val="none" w:sz="0" w:space="0" w:color="auto"/>
        <w:right w:val="none" w:sz="0" w:space="0" w:color="auto"/>
      </w:divBdr>
    </w:div>
    <w:div w:id="1765571660">
      <w:bodyDiv w:val="1"/>
      <w:marLeft w:val="0"/>
      <w:marRight w:val="0"/>
      <w:marTop w:val="0"/>
      <w:marBottom w:val="0"/>
      <w:divBdr>
        <w:top w:val="none" w:sz="0" w:space="0" w:color="auto"/>
        <w:left w:val="none" w:sz="0" w:space="0" w:color="auto"/>
        <w:bottom w:val="none" w:sz="0" w:space="0" w:color="auto"/>
        <w:right w:val="none" w:sz="0" w:space="0" w:color="auto"/>
      </w:divBdr>
    </w:div>
    <w:div w:id="1766342745">
      <w:bodyDiv w:val="1"/>
      <w:marLeft w:val="0"/>
      <w:marRight w:val="0"/>
      <w:marTop w:val="0"/>
      <w:marBottom w:val="0"/>
      <w:divBdr>
        <w:top w:val="none" w:sz="0" w:space="0" w:color="auto"/>
        <w:left w:val="none" w:sz="0" w:space="0" w:color="auto"/>
        <w:bottom w:val="none" w:sz="0" w:space="0" w:color="auto"/>
        <w:right w:val="none" w:sz="0" w:space="0" w:color="auto"/>
      </w:divBdr>
    </w:div>
    <w:div w:id="1771657618">
      <w:bodyDiv w:val="1"/>
      <w:marLeft w:val="0"/>
      <w:marRight w:val="0"/>
      <w:marTop w:val="0"/>
      <w:marBottom w:val="0"/>
      <w:divBdr>
        <w:top w:val="none" w:sz="0" w:space="0" w:color="auto"/>
        <w:left w:val="none" w:sz="0" w:space="0" w:color="auto"/>
        <w:bottom w:val="none" w:sz="0" w:space="0" w:color="auto"/>
        <w:right w:val="none" w:sz="0" w:space="0" w:color="auto"/>
      </w:divBdr>
    </w:div>
    <w:div w:id="1772703831">
      <w:bodyDiv w:val="1"/>
      <w:marLeft w:val="0"/>
      <w:marRight w:val="0"/>
      <w:marTop w:val="0"/>
      <w:marBottom w:val="0"/>
      <w:divBdr>
        <w:top w:val="none" w:sz="0" w:space="0" w:color="auto"/>
        <w:left w:val="none" w:sz="0" w:space="0" w:color="auto"/>
        <w:bottom w:val="none" w:sz="0" w:space="0" w:color="auto"/>
        <w:right w:val="none" w:sz="0" w:space="0" w:color="auto"/>
      </w:divBdr>
    </w:div>
    <w:div w:id="1774281346">
      <w:bodyDiv w:val="1"/>
      <w:marLeft w:val="0"/>
      <w:marRight w:val="0"/>
      <w:marTop w:val="0"/>
      <w:marBottom w:val="0"/>
      <w:divBdr>
        <w:top w:val="none" w:sz="0" w:space="0" w:color="auto"/>
        <w:left w:val="none" w:sz="0" w:space="0" w:color="auto"/>
        <w:bottom w:val="none" w:sz="0" w:space="0" w:color="auto"/>
        <w:right w:val="none" w:sz="0" w:space="0" w:color="auto"/>
      </w:divBdr>
    </w:div>
    <w:div w:id="1782383572">
      <w:bodyDiv w:val="1"/>
      <w:marLeft w:val="0"/>
      <w:marRight w:val="0"/>
      <w:marTop w:val="0"/>
      <w:marBottom w:val="0"/>
      <w:divBdr>
        <w:top w:val="none" w:sz="0" w:space="0" w:color="auto"/>
        <w:left w:val="none" w:sz="0" w:space="0" w:color="auto"/>
        <w:bottom w:val="none" w:sz="0" w:space="0" w:color="auto"/>
        <w:right w:val="none" w:sz="0" w:space="0" w:color="auto"/>
      </w:divBdr>
    </w:div>
    <w:div w:id="1784111536">
      <w:bodyDiv w:val="1"/>
      <w:marLeft w:val="0"/>
      <w:marRight w:val="0"/>
      <w:marTop w:val="0"/>
      <w:marBottom w:val="0"/>
      <w:divBdr>
        <w:top w:val="none" w:sz="0" w:space="0" w:color="auto"/>
        <w:left w:val="none" w:sz="0" w:space="0" w:color="auto"/>
        <w:bottom w:val="none" w:sz="0" w:space="0" w:color="auto"/>
        <w:right w:val="none" w:sz="0" w:space="0" w:color="auto"/>
      </w:divBdr>
    </w:div>
    <w:div w:id="1784959877">
      <w:bodyDiv w:val="1"/>
      <w:marLeft w:val="0"/>
      <w:marRight w:val="0"/>
      <w:marTop w:val="0"/>
      <w:marBottom w:val="0"/>
      <w:divBdr>
        <w:top w:val="none" w:sz="0" w:space="0" w:color="auto"/>
        <w:left w:val="none" w:sz="0" w:space="0" w:color="auto"/>
        <w:bottom w:val="none" w:sz="0" w:space="0" w:color="auto"/>
        <w:right w:val="none" w:sz="0" w:space="0" w:color="auto"/>
      </w:divBdr>
    </w:div>
    <w:div w:id="1798913576">
      <w:bodyDiv w:val="1"/>
      <w:marLeft w:val="0"/>
      <w:marRight w:val="0"/>
      <w:marTop w:val="0"/>
      <w:marBottom w:val="0"/>
      <w:divBdr>
        <w:top w:val="none" w:sz="0" w:space="0" w:color="auto"/>
        <w:left w:val="none" w:sz="0" w:space="0" w:color="auto"/>
        <w:bottom w:val="none" w:sz="0" w:space="0" w:color="auto"/>
        <w:right w:val="none" w:sz="0" w:space="0" w:color="auto"/>
      </w:divBdr>
    </w:div>
    <w:div w:id="1805731655">
      <w:bodyDiv w:val="1"/>
      <w:marLeft w:val="0"/>
      <w:marRight w:val="0"/>
      <w:marTop w:val="0"/>
      <w:marBottom w:val="0"/>
      <w:divBdr>
        <w:top w:val="none" w:sz="0" w:space="0" w:color="auto"/>
        <w:left w:val="none" w:sz="0" w:space="0" w:color="auto"/>
        <w:bottom w:val="none" w:sz="0" w:space="0" w:color="auto"/>
        <w:right w:val="none" w:sz="0" w:space="0" w:color="auto"/>
      </w:divBdr>
    </w:div>
    <w:div w:id="1810125404">
      <w:bodyDiv w:val="1"/>
      <w:marLeft w:val="0"/>
      <w:marRight w:val="0"/>
      <w:marTop w:val="0"/>
      <w:marBottom w:val="0"/>
      <w:divBdr>
        <w:top w:val="none" w:sz="0" w:space="0" w:color="auto"/>
        <w:left w:val="none" w:sz="0" w:space="0" w:color="auto"/>
        <w:bottom w:val="none" w:sz="0" w:space="0" w:color="auto"/>
        <w:right w:val="none" w:sz="0" w:space="0" w:color="auto"/>
      </w:divBdr>
    </w:div>
    <w:div w:id="1814828401">
      <w:bodyDiv w:val="1"/>
      <w:marLeft w:val="0"/>
      <w:marRight w:val="0"/>
      <w:marTop w:val="0"/>
      <w:marBottom w:val="0"/>
      <w:divBdr>
        <w:top w:val="none" w:sz="0" w:space="0" w:color="auto"/>
        <w:left w:val="none" w:sz="0" w:space="0" w:color="auto"/>
        <w:bottom w:val="none" w:sz="0" w:space="0" w:color="auto"/>
        <w:right w:val="none" w:sz="0" w:space="0" w:color="auto"/>
      </w:divBdr>
    </w:div>
    <w:div w:id="1820268794">
      <w:bodyDiv w:val="1"/>
      <w:marLeft w:val="0"/>
      <w:marRight w:val="0"/>
      <w:marTop w:val="0"/>
      <w:marBottom w:val="0"/>
      <w:divBdr>
        <w:top w:val="none" w:sz="0" w:space="0" w:color="auto"/>
        <w:left w:val="none" w:sz="0" w:space="0" w:color="auto"/>
        <w:bottom w:val="none" w:sz="0" w:space="0" w:color="auto"/>
        <w:right w:val="none" w:sz="0" w:space="0" w:color="auto"/>
      </w:divBdr>
    </w:div>
    <w:div w:id="1830293648">
      <w:bodyDiv w:val="1"/>
      <w:marLeft w:val="0"/>
      <w:marRight w:val="0"/>
      <w:marTop w:val="0"/>
      <w:marBottom w:val="0"/>
      <w:divBdr>
        <w:top w:val="none" w:sz="0" w:space="0" w:color="auto"/>
        <w:left w:val="none" w:sz="0" w:space="0" w:color="auto"/>
        <w:bottom w:val="none" w:sz="0" w:space="0" w:color="auto"/>
        <w:right w:val="none" w:sz="0" w:space="0" w:color="auto"/>
      </w:divBdr>
    </w:div>
    <w:div w:id="1831560772">
      <w:bodyDiv w:val="1"/>
      <w:marLeft w:val="0"/>
      <w:marRight w:val="0"/>
      <w:marTop w:val="0"/>
      <w:marBottom w:val="0"/>
      <w:divBdr>
        <w:top w:val="none" w:sz="0" w:space="0" w:color="auto"/>
        <w:left w:val="none" w:sz="0" w:space="0" w:color="auto"/>
        <w:bottom w:val="none" w:sz="0" w:space="0" w:color="auto"/>
        <w:right w:val="none" w:sz="0" w:space="0" w:color="auto"/>
      </w:divBdr>
    </w:div>
    <w:div w:id="1853176542">
      <w:bodyDiv w:val="1"/>
      <w:marLeft w:val="0"/>
      <w:marRight w:val="0"/>
      <w:marTop w:val="0"/>
      <w:marBottom w:val="0"/>
      <w:divBdr>
        <w:top w:val="none" w:sz="0" w:space="0" w:color="auto"/>
        <w:left w:val="none" w:sz="0" w:space="0" w:color="auto"/>
        <w:bottom w:val="none" w:sz="0" w:space="0" w:color="auto"/>
        <w:right w:val="none" w:sz="0" w:space="0" w:color="auto"/>
      </w:divBdr>
    </w:div>
    <w:div w:id="1861888924">
      <w:bodyDiv w:val="1"/>
      <w:marLeft w:val="0"/>
      <w:marRight w:val="0"/>
      <w:marTop w:val="0"/>
      <w:marBottom w:val="0"/>
      <w:divBdr>
        <w:top w:val="none" w:sz="0" w:space="0" w:color="auto"/>
        <w:left w:val="none" w:sz="0" w:space="0" w:color="auto"/>
        <w:bottom w:val="none" w:sz="0" w:space="0" w:color="auto"/>
        <w:right w:val="none" w:sz="0" w:space="0" w:color="auto"/>
      </w:divBdr>
    </w:div>
    <w:div w:id="1862356200">
      <w:bodyDiv w:val="1"/>
      <w:marLeft w:val="0"/>
      <w:marRight w:val="0"/>
      <w:marTop w:val="0"/>
      <w:marBottom w:val="0"/>
      <w:divBdr>
        <w:top w:val="none" w:sz="0" w:space="0" w:color="auto"/>
        <w:left w:val="none" w:sz="0" w:space="0" w:color="auto"/>
        <w:bottom w:val="none" w:sz="0" w:space="0" w:color="auto"/>
        <w:right w:val="none" w:sz="0" w:space="0" w:color="auto"/>
      </w:divBdr>
    </w:div>
    <w:div w:id="1867988268">
      <w:bodyDiv w:val="1"/>
      <w:marLeft w:val="0"/>
      <w:marRight w:val="0"/>
      <w:marTop w:val="0"/>
      <w:marBottom w:val="0"/>
      <w:divBdr>
        <w:top w:val="none" w:sz="0" w:space="0" w:color="auto"/>
        <w:left w:val="none" w:sz="0" w:space="0" w:color="auto"/>
        <w:bottom w:val="none" w:sz="0" w:space="0" w:color="auto"/>
        <w:right w:val="none" w:sz="0" w:space="0" w:color="auto"/>
      </w:divBdr>
    </w:div>
    <w:div w:id="1871915344">
      <w:bodyDiv w:val="1"/>
      <w:marLeft w:val="0"/>
      <w:marRight w:val="0"/>
      <w:marTop w:val="0"/>
      <w:marBottom w:val="0"/>
      <w:divBdr>
        <w:top w:val="none" w:sz="0" w:space="0" w:color="auto"/>
        <w:left w:val="none" w:sz="0" w:space="0" w:color="auto"/>
        <w:bottom w:val="none" w:sz="0" w:space="0" w:color="auto"/>
        <w:right w:val="none" w:sz="0" w:space="0" w:color="auto"/>
      </w:divBdr>
    </w:div>
    <w:div w:id="1878813885">
      <w:bodyDiv w:val="1"/>
      <w:marLeft w:val="0"/>
      <w:marRight w:val="0"/>
      <w:marTop w:val="0"/>
      <w:marBottom w:val="0"/>
      <w:divBdr>
        <w:top w:val="none" w:sz="0" w:space="0" w:color="auto"/>
        <w:left w:val="none" w:sz="0" w:space="0" w:color="auto"/>
        <w:bottom w:val="none" w:sz="0" w:space="0" w:color="auto"/>
        <w:right w:val="none" w:sz="0" w:space="0" w:color="auto"/>
      </w:divBdr>
    </w:div>
    <w:div w:id="1880510735">
      <w:bodyDiv w:val="1"/>
      <w:marLeft w:val="0"/>
      <w:marRight w:val="0"/>
      <w:marTop w:val="0"/>
      <w:marBottom w:val="0"/>
      <w:divBdr>
        <w:top w:val="none" w:sz="0" w:space="0" w:color="auto"/>
        <w:left w:val="none" w:sz="0" w:space="0" w:color="auto"/>
        <w:bottom w:val="none" w:sz="0" w:space="0" w:color="auto"/>
        <w:right w:val="none" w:sz="0" w:space="0" w:color="auto"/>
      </w:divBdr>
    </w:div>
    <w:div w:id="1880896287">
      <w:bodyDiv w:val="1"/>
      <w:marLeft w:val="0"/>
      <w:marRight w:val="0"/>
      <w:marTop w:val="0"/>
      <w:marBottom w:val="0"/>
      <w:divBdr>
        <w:top w:val="none" w:sz="0" w:space="0" w:color="auto"/>
        <w:left w:val="none" w:sz="0" w:space="0" w:color="auto"/>
        <w:bottom w:val="none" w:sz="0" w:space="0" w:color="auto"/>
        <w:right w:val="none" w:sz="0" w:space="0" w:color="auto"/>
      </w:divBdr>
    </w:div>
    <w:div w:id="1885020414">
      <w:bodyDiv w:val="1"/>
      <w:marLeft w:val="0"/>
      <w:marRight w:val="0"/>
      <w:marTop w:val="0"/>
      <w:marBottom w:val="0"/>
      <w:divBdr>
        <w:top w:val="none" w:sz="0" w:space="0" w:color="auto"/>
        <w:left w:val="none" w:sz="0" w:space="0" w:color="auto"/>
        <w:bottom w:val="none" w:sz="0" w:space="0" w:color="auto"/>
        <w:right w:val="none" w:sz="0" w:space="0" w:color="auto"/>
      </w:divBdr>
    </w:div>
    <w:div w:id="1885483566">
      <w:bodyDiv w:val="1"/>
      <w:marLeft w:val="0"/>
      <w:marRight w:val="0"/>
      <w:marTop w:val="0"/>
      <w:marBottom w:val="0"/>
      <w:divBdr>
        <w:top w:val="none" w:sz="0" w:space="0" w:color="auto"/>
        <w:left w:val="none" w:sz="0" w:space="0" w:color="auto"/>
        <w:bottom w:val="none" w:sz="0" w:space="0" w:color="auto"/>
        <w:right w:val="none" w:sz="0" w:space="0" w:color="auto"/>
      </w:divBdr>
    </w:div>
    <w:div w:id="1887333332">
      <w:bodyDiv w:val="1"/>
      <w:marLeft w:val="0"/>
      <w:marRight w:val="0"/>
      <w:marTop w:val="0"/>
      <w:marBottom w:val="0"/>
      <w:divBdr>
        <w:top w:val="none" w:sz="0" w:space="0" w:color="auto"/>
        <w:left w:val="none" w:sz="0" w:space="0" w:color="auto"/>
        <w:bottom w:val="none" w:sz="0" w:space="0" w:color="auto"/>
        <w:right w:val="none" w:sz="0" w:space="0" w:color="auto"/>
      </w:divBdr>
    </w:div>
    <w:div w:id="1897738210">
      <w:bodyDiv w:val="1"/>
      <w:marLeft w:val="0"/>
      <w:marRight w:val="0"/>
      <w:marTop w:val="0"/>
      <w:marBottom w:val="0"/>
      <w:divBdr>
        <w:top w:val="none" w:sz="0" w:space="0" w:color="auto"/>
        <w:left w:val="none" w:sz="0" w:space="0" w:color="auto"/>
        <w:bottom w:val="none" w:sz="0" w:space="0" w:color="auto"/>
        <w:right w:val="none" w:sz="0" w:space="0" w:color="auto"/>
      </w:divBdr>
    </w:div>
    <w:div w:id="1902981361">
      <w:bodyDiv w:val="1"/>
      <w:marLeft w:val="0"/>
      <w:marRight w:val="0"/>
      <w:marTop w:val="0"/>
      <w:marBottom w:val="0"/>
      <w:divBdr>
        <w:top w:val="none" w:sz="0" w:space="0" w:color="auto"/>
        <w:left w:val="none" w:sz="0" w:space="0" w:color="auto"/>
        <w:bottom w:val="none" w:sz="0" w:space="0" w:color="auto"/>
        <w:right w:val="none" w:sz="0" w:space="0" w:color="auto"/>
      </w:divBdr>
    </w:div>
    <w:div w:id="1915357298">
      <w:bodyDiv w:val="1"/>
      <w:marLeft w:val="0"/>
      <w:marRight w:val="0"/>
      <w:marTop w:val="0"/>
      <w:marBottom w:val="0"/>
      <w:divBdr>
        <w:top w:val="none" w:sz="0" w:space="0" w:color="auto"/>
        <w:left w:val="none" w:sz="0" w:space="0" w:color="auto"/>
        <w:bottom w:val="none" w:sz="0" w:space="0" w:color="auto"/>
        <w:right w:val="none" w:sz="0" w:space="0" w:color="auto"/>
      </w:divBdr>
    </w:div>
    <w:div w:id="1923104157">
      <w:bodyDiv w:val="1"/>
      <w:marLeft w:val="0"/>
      <w:marRight w:val="0"/>
      <w:marTop w:val="0"/>
      <w:marBottom w:val="0"/>
      <w:divBdr>
        <w:top w:val="none" w:sz="0" w:space="0" w:color="auto"/>
        <w:left w:val="none" w:sz="0" w:space="0" w:color="auto"/>
        <w:bottom w:val="none" w:sz="0" w:space="0" w:color="auto"/>
        <w:right w:val="none" w:sz="0" w:space="0" w:color="auto"/>
      </w:divBdr>
    </w:div>
    <w:div w:id="1924336611">
      <w:bodyDiv w:val="1"/>
      <w:marLeft w:val="0"/>
      <w:marRight w:val="0"/>
      <w:marTop w:val="0"/>
      <w:marBottom w:val="0"/>
      <w:divBdr>
        <w:top w:val="none" w:sz="0" w:space="0" w:color="auto"/>
        <w:left w:val="none" w:sz="0" w:space="0" w:color="auto"/>
        <w:bottom w:val="none" w:sz="0" w:space="0" w:color="auto"/>
        <w:right w:val="none" w:sz="0" w:space="0" w:color="auto"/>
      </w:divBdr>
    </w:div>
    <w:div w:id="1927378502">
      <w:bodyDiv w:val="1"/>
      <w:marLeft w:val="0"/>
      <w:marRight w:val="0"/>
      <w:marTop w:val="0"/>
      <w:marBottom w:val="0"/>
      <w:divBdr>
        <w:top w:val="none" w:sz="0" w:space="0" w:color="auto"/>
        <w:left w:val="none" w:sz="0" w:space="0" w:color="auto"/>
        <w:bottom w:val="none" w:sz="0" w:space="0" w:color="auto"/>
        <w:right w:val="none" w:sz="0" w:space="0" w:color="auto"/>
      </w:divBdr>
    </w:div>
    <w:div w:id="1933077448">
      <w:bodyDiv w:val="1"/>
      <w:marLeft w:val="0"/>
      <w:marRight w:val="0"/>
      <w:marTop w:val="0"/>
      <w:marBottom w:val="0"/>
      <w:divBdr>
        <w:top w:val="none" w:sz="0" w:space="0" w:color="auto"/>
        <w:left w:val="none" w:sz="0" w:space="0" w:color="auto"/>
        <w:bottom w:val="none" w:sz="0" w:space="0" w:color="auto"/>
        <w:right w:val="none" w:sz="0" w:space="0" w:color="auto"/>
      </w:divBdr>
    </w:div>
    <w:div w:id="1939171370">
      <w:bodyDiv w:val="1"/>
      <w:marLeft w:val="0"/>
      <w:marRight w:val="0"/>
      <w:marTop w:val="0"/>
      <w:marBottom w:val="0"/>
      <w:divBdr>
        <w:top w:val="none" w:sz="0" w:space="0" w:color="auto"/>
        <w:left w:val="none" w:sz="0" w:space="0" w:color="auto"/>
        <w:bottom w:val="none" w:sz="0" w:space="0" w:color="auto"/>
        <w:right w:val="none" w:sz="0" w:space="0" w:color="auto"/>
      </w:divBdr>
    </w:div>
    <w:div w:id="1941833634">
      <w:bodyDiv w:val="1"/>
      <w:marLeft w:val="0"/>
      <w:marRight w:val="0"/>
      <w:marTop w:val="0"/>
      <w:marBottom w:val="0"/>
      <w:divBdr>
        <w:top w:val="none" w:sz="0" w:space="0" w:color="auto"/>
        <w:left w:val="none" w:sz="0" w:space="0" w:color="auto"/>
        <w:bottom w:val="none" w:sz="0" w:space="0" w:color="auto"/>
        <w:right w:val="none" w:sz="0" w:space="0" w:color="auto"/>
      </w:divBdr>
    </w:div>
    <w:div w:id="1945261696">
      <w:bodyDiv w:val="1"/>
      <w:marLeft w:val="0"/>
      <w:marRight w:val="0"/>
      <w:marTop w:val="0"/>
      <w:marBottom w:val="0"/>
      <w:divBdr>
        <w:top w:val="none" w:sz="0" w:space="0" w:color="auto"/>
        <w:left w:val="none" w:sz="0" w:space="0" w:color="auto"/>
        <w:bottom w:val="none" w:sz="0" w:space="0" w:color="auto"/>
        <w:right w:val="none" w:sz="0" w:space="0" w:color="auto"/>
      </w:divBdr>
    </w:div>
    <w:div w:id="1947348472">
      <w:bodyDiv w:val="1"/>
      <w:marLeft w:val="0"/>
      <w:marRight w:val="0"/>
      <w:marTop w:val="0"/>
      <w:marBottom w:val="0"/>
      <w:divBdr>
        <w:top w:val="none" w:sz="0" w:space="0" w:color="auto"/>
        <w:left w:val="none" w:sz="0" w:space="0" w:color="auto"/>
        <w:bottom w:val="none" w:sz="0" w:space="0" w:color="auto"/>
        <w:right w:val="none" w:sz="0" w:space="0" w:color="auto"/>
      </w:divBdr>
    </w:div>
    <w:div w:id="1952400075">
      <w:bodyDiv w:val="1"/>
      <w:marLeft w:val="0"/>
      <w:marRight w:val="0"/>
      <w:marTop w:val="0"/>
      <w:marBottom w:val="0"/>
      <w:divBdr>
        <w:top w:val="none" w:sz="0" w:space="0" w:color="auto"/>
        <w:left w:val="none" w:sz="0" w:space="0" w:color="auto"/>
        <w:bottom w:val="none" w:sz="0" w:space="0" w:color="auto"/>
        <w:right w:val="none" w:sz="0" w:space="0" w:color="auto"/>
      </w:divBdr>
    </w:div>
    <w:div w:id="1956055764">
      <w:bodyDiv w:val="1"/>
      <w:marLeft w:val="0"/>
      <w:marRight w:val="0"/>
      <w:marTop w:val="0"/>
      <w:marBottom w:val="0"/>
      <w:divBdr>
        <w:top w:val="none" w:sz="0" w:space="0" w:color="auto"/>
        <w:left w:val="none" w:sz="0" w:space="0" w:color="auto"/>
        <w:bottom w:val="none" w:sz="0" w:space="0" w:color="auto"/>
        <w:right w:val="none" w:sz="0" w:space="0" w:color="auto"/>
      </w:divBdr>
    </w:div>
    <w:div w:id="1958175133">
      <w:bodyDiv w:val="1"/>
      <w:marLeft w:val="0"/>
      <w:marRight w:val="0"/>
      <w:marTop w:val="0"/>
      <w:marBottom w:val="0"/>
      <w:divBdr>
        <w:top w:val="none" w:sz="0" w:space="0" w:color="auto"/>
        <w:left w:val="none" w:sz="0" w:space="0" w:color="auto"/>
        <w:bottom w:val="none" w:sz="0" w:space="0" w:color="auto"/>
        <w:right w:val="none" w:sz="0" w:space="0" w:color="auto"/>
      </w:divBdr>
    </w:div>
    <w:div w:id="1960331155">
      <w:bodyDiv w:val="1"/>
      <w:marLeft w:val="0"/>
      <w:marRight w:val="0"/>
      <w:marTop w:val="0"/>
      <w:marBottom w:val="0"/>
      <w:divBdr>
        <w:top w:val="none" w:sz="0" w:space="0" w:color="auto"/>
        <w:left w:val="none" w:sz="0" w:space="0" w:color="auto"/>
        <w:bottom w:val="none" w:sz="0" w:space="0" w:color="auto"/>
        <w:right w:val="none" w:sz="0" w:space="0" w:color="auto"/>
      </w:divBdr>
    </w:div>
    <w:div w:id="1962682821">
      <w:bodyDiv w:val="1"/>
      <w:marLeft w:val="0"/>
      <w:marRight w:val="0"/>
      <w:marTop w:val="0"/>
      <w:marBottom w:val="0"/>
      <w:divBdr>
        <w:top w:val="none" w:sz="0" w:space="0" w:color="auto"/>
        <w:left w:val="none" w:sz="0" w:space="0" w:color="auto"/>
        <w:bottom w:val="none" w:sz="0" w:space="0" w:color="auto"/>
        <w:right w:val="none" w:sz="0" w:space="0" w:color="auto"/>
      </w:divBdr>
    </w:div>
    <w:div w:id="1967199228">
      <w:bodyDiv w:val="1"/>
      <w:marLeft w:val="0"/>
      <w:marRight w:val="0"/>
      <w:marTop w:val="0"/>
      <w:marBottom w:val="0"/>
      <w:divBdr>
        <w:top w:val="none" w:sz="0" w:space="0" w:color="auto"/>
        <w:left w:val="none" w:sz="0" w:space="0" w:color="auto"/>
        <w:bottom w:val="none" w:sz="0" w:space="0" w:color="auto"/>
        <w:right w:val="none" w:sz="0" w:space="0" w:color="auto"/>
      </w:divBdr>
    </w:div>
    <w:div w:id="1967542674">
      <w:bodyDiv w:val="1"/>
      <w:marLeft w:val="0"/>
      <w:marRight w:val="0"/>
      <w:marTop w:val="0"/>
      <w:marBottom w:val="0"/>
      <w:divBdr>
        <w:top w:val="none" w:sz="0" w:space="0" w:color="auto"/>
        <w:left w:val="none" w:sz="0" w:space="0" w:color="auto"/>
        <w:bottom w:val="none" w:sz="0" w:space="0" w:color="auto"/>
        <w:right w:val="none" w:sz="0" w:space="0" w:color="auto"/>
      </w:divBdr>
    </w:div>
    <w:div w:id="1977374301">
      <w:bodyDiv w:val="1"/>
      <w:marLeft w:val="0"/>
      <w:marRight w:val="0"/>
      <w:marTop w:val="0"/>
      <w:marBottom w:val="0"/>
      <w:divBdr>
        <w:top w:val="none" w:sz="0" w:space="0" w:color="auto"/>
        <w:left w:val="none" w:sz="0" w:space="0" w:color="auto"/>
        <w:bottom w:val="none" w:sz="0" w:space="0" w:color="auto"/>
        <w:right w:val="none" w:sz="0" w:space="0" w:color="auto"/>
      </w:divBdr>
    </w:div>
    <w:div w:id="1979719912">
      <w:bodyDiv w:val="1"/>
      <w:marLeft w:val="0"/>
      <w:marRight w:val="0"/>
      <w:marTop w:val="0"/>
      <w:marBottom w:val="0"/>
      <w:divBdr>
        <w:top w:val="none" w:sz="0" w:space="0" w:color="auto"/>
        <w:left w:val="none" w:sz="0" w:space="0" w:color="auto"/>
        <w:bottom w:val="none" w:sz="0" w:space="0" w:color="auto"/>
        <w:right w:val="none" w:sz="0" w:space="0" w:color="auto"/>
      </w:divBdr>
    </w:div>
    <w:div w:id="1980260552">
      <w:bodyDiv w:val="1"/>
      <w:marLeft w:val="0"/>
      <w:marRight w:val="0"/>
      <w:marTop w:val="0"/>
      <w:marBottom w:val="0"/>
      <w:divBdr>
        <w:top w:val="none" w:sz="0" w:space="0" w:color="auto"/>
        <w:left w:val="none" w:sz="0" w:space="0" w:color="auto"/>
        <w:bottom w:val="none" w:sz="0" w:space="0" w:color="auto"/>
        <w:right w:val="none" w:sz="0" w:space="0" w:color="auto"/>
      </w:divBdr>
    </w:div>
    <w:div w:id="1990595030">
      <w:bodyDiv w:val="1"/>
      <w:marLeft w:val="0"/>
      <w:marRight w:val="0"/>
      <w:marTop w:val="0"/>
      <w:marBottom w:val="0"/>
      <w:divBdr>
        <w:top w:val="none" w:sz="0" w:space="0" w:color="auto"/>
        <w:left w:val="none" w:sz="0" w:space="0" w:color="auto"/>
        <w:bottom w:val="none" w:sz="0" w:space="0" w:color="auto"/>
        <w:right w:val="none" w:sz="0" w:space="0" w:color="auto"/>
      </w:divBdr>
    </w:div>
    <w:div w:id="1994332882">
      <w:bodyDiv w:val="1"/>
      <w:marLeft w:val="0"/>
      <w:marRight w:val="0"/>
      <w:marTop w:val="0"/>
      <w:marBottom w:val="0"/>
      <w:divBdr>
        <w:top w:val="none" w:sz="0" w:space="0" w:color="auto"/>
        <w:left w:val="none" w:sz="0" w:space="0" w:color="auto"/>
        <w:bottom w:val="none" w:sz="0" w:space="0" w:color="auto"/>
        <w:right w:val="none" w:sz="0" w:space="0" w:color="auto"/>
      </w:divBdr>
    </w:div>
    <w:div w:id="1994526185">
      <w:bodyDiv w:val="1"/>
      <w:marLeft w:val="0"/>
      <w:marRight w:val="0"/>
      <w:marTop w:val="0"/>
      <w:marBottom w:val="0"/>
      <w:divBdr>
        <w:top w:val="none" w:sz="0" w:space="0" w:color="auto"/>
        <w:left w:val="none" w:sz="0" w:space="0" w:color="auto"/>
        <w:bottom w:val="none" w:sz="0" w:space="0" w:color="auto"/>
        <w:right w:val="none" w:sz="0" w:space="0" w:color="auto"/>
      </w:divBdr>
    </w:div>
    <w:div w:id="1999843275">
      <w:bodyDiv w:val="1"/>
      <w:marLeft w:val="0"/>
      <w:marRight w:val="0"/>
      <w:marTop w:val="0"/>
      <w:marBottom w:val="0"/>
      <w:divBdr>
        <w:top w:val="none" w:sz="0" w:space="0" w:color="auto"/>
        <w:left w:val="none" w:sz="0" w:space="0" w:color="auto"/>
        <w:bottom w:val="none" w:sz="0" w:space="0" w:color="auto"/>
        <w:right w:val="none" w:sz="0" w:space="0" w:color="auto"/>
      </w:divBdr>
    </w:div>
    <w:div w:id="2006739814">
      <w:bodyDiv w:val="1"/>
      <w:marLeft w:val="0"/>
      <w:marRight w:val="0"/>
      <w:marTop w:val="0"/>
      <w:marBottom w:val="0"/>
      <w:divBdr>
        <w:top w:val="none" w:sz="0" w:space="0" w:color="auto"/>
        <w:left w:val="none" w:sz="0" w:space="0" w:color="auto"/>
        <w:bottom w:val="none" w:sz="0" w:space="0" w:color="auto"/>
        <w:right w:val="none" w:sz="0" w:space="0" w:color="auto"/>
      </w:divBdr>
    </w:div>
    <w:div w:id="2010324590">
      <w:bodyDiv w:val="1"/>
      <w:marLeft w:val="0"/>
      <w:marRight w:val="0"/>
      <w:marTop w:val="0"/>
      <w:marBottom w:val="0"/>
      <w:divBdr>
        <w:top w:val="none" w:sz="0" w:space="0" w:color="auto"/>
        <w:left w:val="none" w:sz="0" w:space="0" w:color="auto"/>
        <w:bottom w:val="none" w:sz="0" w:space="0" w:color="auto"/>
        <w:right w:val="none" w:sz="0" w:space="0" w:color="auto"/>
      </w:divBdr>
    </w:div>
    <w:div w:id="2017608194">
      <w:bodyDiv w:val="1"/>
      <w:marLeft w:val="0"/>
      <w:marRight w:val="0"/>
      <w:marTop w:val="0"/>
      <w:marBottom w:val="0"/>
      <w:divBdr>
        <w:top w:val="none" w:sz="0" w:space="0" w:color="auto"/>
        <w:left w:val="none" w:sz="0" w:space="0" w:color="auto"/>
        <w:bottom w:val="none" w:sz="0" w:space="0" w:color="auto"/>
        <w:right w:val="none" w:sz="0" w:space="0" w:color="auto"/>
      </w:divBdr>
    </w:div>
    <w:div w:id="2031026667">
      <w:bodyDiv w:val="1"/>
      <w:marLeft w:val="0"/>
      <w:marRight w:val="0"/>
      <w:marTop w:val="0"/>
      <w:marBottom w:val="0"/>
      <w:divBdr>
        <w:top w:val="none" w:sz="0" w:space="0" w:color="auto"/>
        <w:left w:val="none" w:sz="0" w:space="0" w:color="auto"/>
        <w:bottom w:val="none" w:sz="0" w:space="0" w:color="auto"/>
        <w:right w:val="none" w:sz="0" w:space="0" w:color="auto"/>
      </w:divBdr>
    </w:div>
    <w:div w:id="2031027058">
      <w:bodyDiv w:val="1"/>
      <w:marLeft w:val="0"/>
      <w:marRight w:val="0"/>
      <w:marTop w:val="0"/>
      <w:marBottom w:val="0"/>
      <w:divBdr>
        <w:top w:val="none" w:sz="0" w:space="0" w:color="auto"/>
        <w:left w:val="none" w:sz="0" w:space="0" w:color="auto"/>
        <w:bottom w:val="none" w:sz="0" w:space="0" w:color="auto"/>
        <w:right w:val="none" w:sz="0" w:space="0" w:color="auto"/>
      </w:divBdr>
    </w:div>
    <w:div w:id="2036536643">
      <w:bodyDiv w:val="1"/>
      <w:marLeft w:val="0"/>
      <w:marRight w:val="0"/>
      <w:marTop w:val="0"/>
      <w:marBottom w:val="0"/>
      <w:divBdr>
        <w:top w:val="none" w:sz="0" w:space="0" w:color="auto"/>
        <w:left w:val="none" w:sz="0" w:space="0" w:color="auto"/>
        <w:bottom w:val="none" w:sz="0" w:space="0" w:color="auto"/>
        <w:right w:val="none" w:sz="0" w:space="0" w:color="auto"/>
      </w:divBdr>
    </w:div>
    <w:div w:id="2038966589">
      <w:bodyDiv w:val="1"/>
      <w:marLeft w:val="0"/>
      <w:marRight w:val="0"/>
      <w:marTop w:val="0"/>
      <w:marBottom w:val="0"/>
      <w:divBdr>
        <w:top w:val="none" w:sz="0" w:space="0" w:color="auto"/>
        <w:left w:val="none" w:sz="0" w:space="0" w:color="auto"/>
        <w:bottom w:val="none" w:sz="0" w:space="0" w:color="auto"/>
        <w:right w:val="none" w:sz="0" w:space="0" w:color="auto"/>
      </w:divBdr>
    </w:div>
    <w:div w:id="2041083041">
      <w:bodyDiv w:val="1"/>
      <w:marLeft w:val="0"/>
      <w:marRight w:val="0"/>
      <w:marTop w:val="0"/>
      <w:marBottom w:val="0"/>
      <w:divBdr>
        <w:top w:val="none" w:sz="0" w:space="0" w:color="auto"/>
        <w:left w:val="none" w:sz="0" w:space="0" w:color="auto"/>
        <w:bottom w:val="none" w:sz="0" w:space="0" w:color="auto"/>
        <w:right w:val="none" w:sz="0" w:space="0" w:color="auto"/>
      </w:divBdr>
    </w:div>
    <w:div w:id="2050639511">
      <w:bodyDiv w:val="1"/>
      <w:marLeft w:val="0"/>
      <w:marRight w:val="0"/>
      <w:marTop w:val="0"/>
      <w:marBottom w:val="0"/>
      <w:divBdr>
        <w:top w:val="none" w:sz="0" w:space="0" w:color="auto"/>
        <w:left w:val="none" w:sz="0" w:space="0" w:color="auto"/>
        <w:bottom w:val="none" w:sz="0" w:space="0" w:color="auto"/>
        <w:right w:val="none" w:sz="0" w:space="0" w:color="auto"/>
      </w:divBdr>
    </w:div>
    <w:div w:id="2052220577">
      <w:bodyDiv w:val="1"/>
      <w:marLeft w:val="0"/>
      <w:marRight w:val="0"/>
      <w:marTop w:val="0"/>
      <w:marBottom w:val="0"/>
      <w:divBdr>
        <w:top w:val="none" w:sz="0" w:space="0" w:color="auto"/>
        <w:left w:val="none" w:sz="0" w:space="0" w:color="auto"/>
        <w:bottom w:val="none" w:sz="0" w:space="0" w:color="auto"/>
        <w:right w:val="none" w:sz="0" w:space="0" w:color="auto"/>
      </w:divBdr>
    </w:div>
    <w:div w:id="2055999163">
      <w:bodyDiv w:val="1"/>
      <w:marLeft w:val="0"/>
      <w:marRight w:val="0"/>
      <w:marTop w:val="0"/>
      <w:marBottom w:val="0"/>
      <w:divBdr>
        <w:top w:val="none" w:sz="0" w:space="0" w:color="auto"/>
        <w:left w:val="none" w:sz="0" w:space="0" w:color="auto"/>
        <w:bottom w:val="none" w:sz="0" w:space="0" w:color="auto"/>
        <w:right w:val="none" w:sz="0" w:space="0" w:color="auto"/>
      </w:divBdr>
    </w:div>
    <w:div w:id="2056469357">
      <w:bodyDiv w:val="1"/>
      <w:marLeft w:val="0"/>
      <w:marRight w:val="0"/>
      <w:marTop w:val="0"/>
      <w:marBottom w:val="0"/>
      <w:divBdr>
        <w:top w:val="none" w:sz="0" w:space="0" w:color="auto"/>
        <w:left w:val="none" w:sz="0" w:space="0" w:color="auto"/>
        <w:bottom w:val="none" w:sz="0" w:space="0" w:color="auto"/>
        <w:right w:val="none" w:sz="0" w:space="0" w:color="auto"/>
      </w:divBdr>
    </w:div>
    <w:div w:id="2057655583">
      <w:bodyDiv w:val="1"/>
      <w:marLeft w:val="0"/>
      <w:marRight w:val="0"/>
      <w:marTop w:val="0"/>
      <w:marBottom w:val="0"/>
      <w:divBdr>
        <w:top w:val="none" w:sz="0" w:space="0" w:color="auto"/>
        <w:left w:val="none" w:sz="0" w:space="0" w:color="auto"/>
        <w:bottom w:val="none" w:sz="0" w:space="0" w:color="auto"/>
        <w:right w:val="none" w:sz="0" w:space="0" w:color="auto"/>
      </w:divBdr>
    </w:div>
    <w:div w:id="2058818942">
      <w:bodyDiv w:val="1"/>
      <w:marLeft w:val="0"/>
      <w:marRight w:val="0"/>
      <w:marTop w:val="0"/>
      <w:marBottom w:val="0"/>
      <w:divBdr>
        <w:top w:val="none" w:sz="0" w:space="0" w:color="auto"/>
        <w:left w:val="none" w:sz="0" w:space="0" w:color="auto"/>
        <w:bottom w:val="none" w:sz="0" w:space="0" w:color="auto"/>
        <w:right w:val="none" w:sz="0" w:space="0" w:color="auto"/>
      </w:divBdr>
    </w:div>
    <w:div w:id="2059281350">
      <w:bodyDiv w:val="1"/>
      <w:marLeft w:val="0"/>
      <w:marRight w:val="0"/>
      <w:marTop w:val="0"/>
      <w:marBottom w:val="0"/>
      <w:divBdr>
        <w:top w:val="none" w:sz="0" w:space="0" w:color="auto"/>
        <w:left w:val="none" w:sz="0" w:space="0" w:color="auto"/>
        <w:bottom w:val="none" w:sz="0" w:space="0" w:color="auto"/>
        <w:right w:val="none" w:sz="0" w:space="0" w:color="auto"/>
      </w:divBdr>
    </w:div>
    <w:div w:id="2063408918">
      <w:bodyDiv w:val="1"/>
      <w:marLeft w:val="0"/>
      <w:marRight w:val="0"/>
      <w:marTop w:val="0"/>
      <w:marBottom w:val="0"/>
      <w:divBdr>
        <w:top w:val="none" w:sz="0" w:space="0" w:color="auto"/>
        <w:left w:val="none" w:sz="0" w:space="0" w:color="auto"/>
        <w:bottom w:val="none" w:sz="0" w:space="0" w:color="auto"/>
        <w:right w:val="none" w:sz="0" w:space="0" w:color="auto"/>
      </w:divBdr>
    </w:div>
    <w:div w:id="2067606982">
      <w:bodyDiv w:val="1"/>
      <w:marLeft w:val="0"/>
      <w:marRight w:val="0"/>
      <w:marTop w:val="0"/>
      <w:marBottom w:val="0"/>
      <w:divBdr>
        <w:top w:val="none" w:sz="0" w:space="0" w:color="auto"/>
        <w:left w:val="none" w:sz="0" w:space="0" w:color="auto"/>
        <w:bottom w:val="none" w:sz="0" w:space="0" w:color="auto"/>
        <w:right w:val="none" w:sz="0" w:space="0" w:color="auto"/>
      </w:divBdr>
    </w:div>
    <w:div w:id="2069722224">
      <w:bodyDiv w:val="1"/>
      <w:marLeft w:val="0"/>
      <w:marRight w:val="0"/>
      <w:marTop w:val="0"/>
      <w:marBottom w:val="0"/>
      <w:divBdr>
        <w:top w:val="none" w:sz="0" w:space="0" w:color="auto"/>
        <w:left w:val="none" w:sz="0" w:space="0" w:color="auto"/>
        <w:bottom w:val="none" w:sz="0" w:space="0" w:color="auto"/>
        <w:right w:val="none" w:sz="0" w:space="0" w:color="auto"/>
      </w:divBdr>
    </w:div>
    <w:div w:id="2069916907">
      <w:bodyDiv w:val="1"/>
      <w:marLeft w:val="0"/>
      <w:marRight w:val="0"/>
      <w:marTop w:val="0"/>
      <w:marBottom w:val="0"/>
      <w:divBdr>
        <w:top w:val="none" w:sz="0" w:space="0" w:color="auto"/>
        <w:left w:val="none" w:sz="0" w:space="0" w:color="auto"/>
        <w:bottom w:val="none" w:sz="0" w:space="0" w:color="auto"/>
        <w:right w:val="none" w:sz="0" w:space="0" w:color="auto"/>
      </w:divBdr>
    </w:div>
    <w:div w:id="2082411999">
      <w:bodyDiv w:val="1"/>
      <w:marLeft w:val="0"/>
      <w:marRight w:val="0"/>
      <w:marTop w:val="0"/>
      <w:marBottom w:val="0"/>
      <w:divBdr>
        <w:top w:val="none" w:sz="0" w:space="0" w:color="auto"/>
        <w:left w:val="none" w:sz="0" w:space="0" w:color="auto"/>
        <w:bottom w:val="none" w:sz="0" w:space="0" w:color="auto"/>
        <w:right w:val="none" w:sz="0" w:space="0" w:color="auto"/>
      </w:divBdr>
    </w:div>
    <w:div w:id="2086492417">
      <w:bodyDiv w:val="1"/>
      <w:marLeft w:val="0"/>
      <w:marRight w:val="0"/>
      <w:marTop w:val="0"/>
      <w:marBottom w:val="0"/>
      <w:divBdr>
        <w:top w:val="none" w:sz="0" w:space="0" w:color="auto"/>
        <w:left w:val="none" w:sz="0" w:space="0" w:color="auto"/>
        <w:bottom w:val="none" w:sz="0" w:space="0" w:color="auto"/>
        <w:right w:val="none" w:sz="0" w:space="0" w:color="auto"/>
      </w:divBdr>
    </w:div>
    <w:div w:id="2088841750">
      <w:bodyDiv w:val="1"/>
      <w:marLeft w:val="0"/>
      <w:marRight w:val="0"/>
      <w:marTop w:val="0"/>
      <w:marBottom w:val="0"/>
      <w:divBdr>
        <w:top w:val="none" w:sz="0" w:space="0" w:color="auto"/>
        <w:left w:val="none" w:sz="0" w:space="0" w:color="auto"/>
        <w:bottom w:val="none" w:sz="0" w:space="0" w:color="auto"/>
        <w:right w:val="none" w:sz="0" w:space="0" w:color="auto"/>
      </w:divBdr>
    </w:div>
    <w:div w:id="2089885412">
      <w:bodyDiv w:val="1"/>
      <w:marLeft w:val="0"/>
      <w:marRight w:val="0"/>
      <w:marTop w:val="0"/>
      <w:marBottom w:val="0"/>
      <w:divBdr>
        <w:top w:val="none" w:sz="0" w:space="0" w:color="auto"/>
        <w:left w:val="none" w:sz="0" w:space="0" w:color="auto"/>
        <w:bottom w:val="none" w:sz="0" w:space="0" w:color="auto"/>
        <w:right w:val="none" w:sz="0" w:space="0" w:color="auto"/>
      </w:divBdr>
    </w:div>
    <w:div w:id="2096396545">
      <w:bodyDiv w:val="1"/>
      <w:marLeft w:val="0"/>
      <w:marRight w:val="0"/>
      <w:marTop w:val="0"/>
      <w:marBottom w:val="0"/>
      <w:divBdr>
        <w:top w:val="none" w:sz="0" w:space="0" w:color="auto"/>
        <w:left w:val="none" w:sz="0" w:space="0" w:color="auto"/>
        <w:bottom w:val="none" w:sz="0" w:space="0" w:color="auto"/>
        <w:right w:val="none" w:sz="0" w:space="0" w:color="auto"/>
      </w:divBdr>
    </w:div>
    <w:div w:id="2105572127">
      <w:bodyDiv w:val="1"/>
      <w:marLeft w:val="0"/>
      <w:marRight w:val="0"/>
      <w:marTop w:val="0"/>
      <w:marBottom w:val="0"/>
      <w:divBdr>
        <w:top w:val="none" w:sz="0" w:space="0" w:color="auto"/>
        <w:left w:val="none" w:sz="0" w:space="0" w:color="auto"/>
        <w:bottom w:val="none" w:sz="0" w:space="0" w:color="auto"/>
        <w:right w:val="none" w:sz="0" w:space="0" w:color="auto"/>
      </w:divBdr>
    </w:div>
    <w:div w:id="2110079980">
      <w:bodyDiv w:val="1"/>
      <w:marLeft w:val="0"/>
      <w:marRight w:val="0"/>
      <w:marTop w:val="0"/>
      <w:marBottom w:val="0"/>
      <w:divBdr>
        <w:top w:val="none" w:sz="0" w:space="0" w:color="auto"/>
        <w:left w:val="none" w:sz="0" w:space="0" w:color="auto"/>
        <w:bottom w:val="none" w:sz="0" w:space="0" w:color="auto"/>
        <w:right w:val="none" w:sz="0" w:space="0" w:color="auto"/>
      </w:divBdr>
    </w:div>
    <w:div w:id="2115515904">
      <w:bodyDiv w:val="1"/>
      <w:marLeft w:val="0"/>
      <w:marRight w:val="0"/>
      <w:marTop w:val="0"/>
      <w:marBottom w:val="0"/>
      <w:divBdr>
        <w:top w:val="none" w:sz="0" w:space="0" w:color="auto"/>
        <w:left w:val="none" w:sz="0" w:space="0" w:color="auto"/>
        <w:bottom w:val="none" w:sz="0" w:space="0" w:color="auto"/>
        <w:right w:val="none" w:sz="0" w:space="0" w:color="auto"/>
      </w:divBdr>
    </w:div>
    <w:div w:id="2118744467">
      <w:bodyDiv w:val="1"/>
      <w:marLeft w:val="0"/>
      <w:marRight w:val="0"/>
      <w:marTop w:val="0"/>
      <w:marBottom w:val="0"/>
      <w:divBdr>
        <w:top w:val="none" w:sz="0" w:space="0" w:color="auto"/>
        <w:left w:val="none" w:sz="0" w:space="0" w:color="auto"/>
        <w:bottom w:val="none" w:sz="0" w:space="0" w:color="auto"/>
        <w:right w:val="none" w:sz="0" w:space="0" w:color="auto"/>
      </w:divBdr>
    </w:div>
    <w:div w:id="2132938137">
      <w:bodyDiv w:val="1"/>
      <w:marLeft w:val="0"/>
      <w:marRight w:val="0"/>
      <w:marTop w:val="0"/>
      <w:marBottom w:val="0"/>
      <w:divBdr>
        <w:top w:val="none" w:sz="0" w:space="0" w:color="auto"/>
        <w:left w:val="none" w:sz="0" w:space="0" w:color="auto"/>
        <w:bottom w:val="none" w:sz="0" w:space="0" w:color="auto"/>
        <w:right w:val="none" w:sz="0" w:space="0" w:color="auto"/>
      </w:divBdr>
    </w:div>
    <w:div w:id="2136410372">
      <w:bodyDiv w:val="1"/>
      <w:marLeft w:val="0"/>
      <w:marRight w:val="0"/>
      <w:marTop w:val="0"/>
      <w:marBottom w:val="0"/>
      <w:divBdr>
        <w:top w:val="none" w:sz="0" w:space="0" w:color="auto"/>
        <w:left w:val="none" w:sz="0" w:space="0" w:color="auto"/>
        <w:bottom w:val="none" w:sz="0" w:space="0" w:color="auto"/>
        <w:right w:val="none" w:sz="0" w:space="0" w:color="auto"/>
      </w:divBdr>
    </w:div>
    <w:div w:id="214226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3.emf"/><Relationship Id="rId21" Type="http://schemas.openxmlformats.org/officeDocument/2006/relationships/image" Target="media/image9.emf"/><Relationship Id="rId42" Type="http://schemas.openxmlformats.org/officeDocument/2006/relationships/image" Target="media/image30.emf"/><Relationship Id="rId63" Type="http://schemas.openxmlformats.org/officeDocument/2006/relationships/image" Target="media/image51.emf"/><Relationship Id="rId84" Type="http://schemas.openxmlformats.org/officeDocument/2006/relationships/image" Target="media/image72.emf"/><Relationship Id="rId138" Type="http://schemas.openxmlformats.org/officeDocument/2006/relationships/image" Target="media/image124.emf"/><Relationship Id="rId159" Type="http://schemas.openxmlformats.org/officeDocument/2006/relationships/image" Target="media/image145.emf"/><Relationship Id="rId170" Type="http://schemas.openxmlformats.org/officeDocument/2006/relationships/image" Target="media/image156.emf"/><Relationship Id="rId107" Type="http://schemas.openxmlformats.org/officeDocument/2006/relationships/image" Target="media/image95.emf"/><Relationship Id="rId11" Type="http://schemas.openxmlformats.org/officeDocument/2006/relationships/header" Target="header1.xml"/><Relationship Id="rId32" Type="http://schemas.openxmlformats.org/officeDocument/2006/relationships/image" Target="media/image20.emf"/><Relationship Id="rId53" Type="http://schemas.openxmlformats.org/officeDocument/2006/relationships/image" Target="media/image41.emf"/><Relationship Id="rId74" Type="http://schemas.openxmlformats.org/officeDocument/2006/relationships/image" Target="media/image62.emf"/><Relationship Id="rId128" Type="http://schemas.openxmlformats.org/officeDocument/2006/relationships/image" Target="media/image114.emf"/><Relationship Id="rId149" Type="http://schemas.openxmlformats.org/officeDocument/2006/relationships/image" Target="media/image135.emf"/><Relationship Id="rId5" Type="http://schemas.openxmlformats.org/officeDocument/2006/relationships/webSettings" Target="webSettings.xml"/><Relationship Id="rId95" Type="http://schemas.openxmlformats.org/officeDocument/2006/relationships/image" Target="media/image83.emf"/><Relationship Id="rId160" Type="http://schemas.openxmlformats.org/officeDocument/2006/relationships/image" Target="media/image146.emf"/><Relationship Id="rId181" Type="http://schemas.openxmlformats.org/officeDocument/2006/relationships/image" Target="media/image167.emf"/><Relationship Id="rId22" Type="http://schemas.openxmlformats.org/officeDocument/2006/relationships/image" Target="media/image10.emf"/><Relationship Id="rId43" Type="http://schemas.openxmlformats.org/officeDocument/2006/relationships/image" Target="media/image31.emf"/><Relationship Id="rId64" Type="http://schemas.openxmlformats.org/officeDocument/2006/relationships/image" Target="media/image52.emf"/><Relationship Id="rId118" Type="http://schemas.openxmlformats.org/officeDocument/2006/relationships/image" Target="media/image104.png"/><Relationship Id="rId139" Type="http://schemas.openxmlformats.org/officeDocument/2006/relationships/image" Target="media/image125.emf"/><Relationship Id="rId85" Type="http://schemas.openxmlformats.org/officeDocument/2006/relationships/image" Target="media/image73.emf"/><Relationship Id="rId150" Type="http://schemas.openxmlformats.org/officeDocument/2006/relationships/image" Target="media/image136.emf"/><Relationship Id="rId171" Type="http://schemas.openxmlformats.org/officeDocument/2006/relationships/image" Target="media/image157.emf"/><Relationship Id="rId12" Type="http://schemas.openxmlformats.org/officeDocument/2006/relationships/footer" Target="footer3.xml"/><Relationship Id="rId33" Type="http://schemas.openxmlformats.org/officeDocument/2006/relationships/image" Target="media/image21.emf"/><Relationship Id="rId108" Type="http://schemas.openxmlformats.org/officeDocument/2006/relationships/image" Target="media/image96.emf"/><Relationship Id="rId129" Type="http://schemas.openxmlformats.org/officeDocument/2006/relationships/image" Target="media/image115.emf"/><Relationship Id="rId54" Type="http://schemas.openxmlformats.org/officeDocument/2006/relationships/image" Target="media/image42.emf"/><Relationship Id="rId75" Type="http://schemas.openxmlformats.org/officeDocument/2006/relationships/image" Target="media/image63.emf"/><Relationship Id="rId96" Type="http://schemas.openxmlformats.org/officeDocument/2006/relationships/image" Target="media/image84.emf"/><Relationship Id="rId140" Type="http://schemas.openxmlformats.org/officeDocument/2006/relationships/image" Target="media/image126.emf"/><Relationship Id="rId161" Type="http://schemas.openxmlformats.org/officeDocument/2006/relationships/image" Target="media/image147.emf"/><Relationship Id="rId182"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image" Target="media/image11.emf"/><Relationship Id="rId119" Type="http://schemas.openxmlformats.org/officeDocument/2006/relationships/image" Target="media/image105.emf"/><Relationship Id="rId44" Type="http://schemas.openxmlformats.org/officeDocument/2006/relationships/image" Target="media/image32.emf"/><Relationship Id="rId60" Type="http://schemas.openxmlformats.org/officeDocument/2006/relationships/image" Target="media/image48.emf"/><Relationship Id="rId65" Type="http://schemas.openxmlformats.org/officeDocument/2006/relationships/image" Target="media/image53.emf"/><Relationship Id="rId81" Type="http://schemas.openxmlformats.org/officeDocument/2006/relationships/image" Target="media/image69.emf"/><Relationship Id="rId86" Type="http://schemas.openxmlformats.org/officeDocument/2006/relationships/image" Target="media/image74.emf"/><Relationship Id="rId130" Type="http://schemas.openxmlformats.org/officeDocument/2006/relationships/image" Target="media/image116.emf"/><Relationship Id="rId135" Type="http://schemas.openxmlformats.org/officeDocument/2006/relationships/image" Target="media/image121.emf"/><Relationship Id="rId151" Type="http://schemas.openxmlformats.org/officeDocument/2006/relationships/image" Target="media/image137.emf"/><Relationship Id="rId156" Type="http://schemas.openxmlformats.org/officeDocument/2006/relationships/image" Target="media/image142.emf"/><Relationship Id="rId177" Type="http://schemas.openxmlformats.org/officeDocument/2006/relationships/image" Target="media/image163.emf"/><Relationship Id="rId172" Type="http://schemas.openxmlformats.org/officeDocument/2006/relationships/image" Target="media/image158.emf"/><Relationship Id="rId13" Type="http://schemas.openxmlformats.org/officeDocument/2006/relationships/image" Target="media/image2.png"/><Relationship Id="rId18" Type="http://schemas.openxmlformats.org/officeDocument/2006/relationships/image" Target="media/image6.emf"/><Relationship Id="rId39" Type="http://schemas.openxmlformats.org/officeDocument/2006/relationships/image" Target="media/image27.png"/><Relationship Id="rId109" Type="http://schemas.openxmlformats.org/officeDocument/2006/relationships/image" Target="media/image97.emf"/><Relationship Id="rId34" Type="http://schemas.openxmlformats.org/officeDocument/2006/relationships/image" Target="media/image22.emf"/><Relationship Id="rId50" Type="http://schemas.openxmlformats.org/officeDocument/2006/relationships/image" Target="media/image38.emf"/><Relationship Id="rId55" Type="http://schemas.openxmlformats.org/officeDocument/2006/relationships/image" Target="media/image43.emf"/><Relationship Id="rId76" Type="http://schemas.openxmlformats.org/officeDocument/2006/relationships/image" Target="media/image64.emf"/><Relationship Id="rId97" Type="http://schemas.openxmlformats.org/officeDocument/2006/relationships/image" Target="media/image85.emf"/><Relationship Id="rId104" Type="http://schemas.openxmlformats.org/officeDocument/2006/relationships/image" Target="media/image92.emf"/><Relationship Id="rId120" Type="http://schemas.openxmlformats.org/officeDocument/2006/relationships/image" Target="media/image106.emf"/><Relationship Id="rId125" Type="http://schemas.openxmlformats.org/officeDocument/2006/relationships/image" Target="media/image111.emf"/><Relationship Id="rId141" Type="http://schemas.openxmlformats.org/officeDocument/2006/relationships/image" Target="media/image127.emf"/><Relationship Id="rId146" Type="http://schemas.openxmlformats.org/officeDocument/2006/relationships/image" Target="media/image132.emf"/><Relationship Id="rId167" Type="http://schemas.openxmlformats.org/officeDocument/2006/relationships/image" Target="media/image153.emf"/><Relationship Id="rId7" Type="http://schemas.openxmlformats.org/officeDocument/2006/relationships/endnotes" Target="endnotes.xml"/><Relationship Id="rId71" Type="http://schemas.openxmlformats.org/officeDocument/2006/relationships/image" Target="media/image59.emf"/><Relationship Id="rId92" Type="http://schemas.openxmlformats.org/officeDocument/2006/relationships/image" Target="media/image80.emf"/><Relationship Id="rId162" Type="http://schemas.openxmlformats.org/officeDocument/2006/relationships/image" Target="media/image148.emf"/><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7.emf"/><Relationship Id="rId24" Type="http://schemas.openxmlformats.org/officeDocument/2006/relationships/image" Target="media/image12.emf"/><Relationship Id="rId40" Type="http://schemas.openxmlformats.org/officeDocument/2006/relationships/image" Target="media/image28.emf"/><Relationship Id="rId45" Type="http://schemas.openxmlformats.org/officeDocument/2006/relationships/image" Target="media/image33.emf"/><Relationship Id="rId66" Type="http://schemas.openxmlformats.org/officeDocument/2006/relationships/image" Target="media/image54.emf"/><Relationship Id="rId87" Type="http://schemas.openxmlformats.org/officeDocument/2006/relationships/image" Target="media/image75.emf"/><Relationship Id="rId110" Type="http://schemas.openxmlformats.org/officeDocument/2006/relationships/image" Target="media/image98.emf"/><Relationship Id="rId115" Type="http://schemas.openxmlformats.org/officeDocument/2006/relationships/image" Target="media/image102.emf"/><Relationship Id="rId131" Type="http://schemas.openxmlformats.org/officeDocument/2006/relationships/image" Target="media/image117.emf"/><Relationship Id="rId136" Type="http://schemas.openxmlformats.org/officeDocument/2006/relationships/image" Target="media/image122.emf"/><Relationship Id="rId157" Type="http://schemas.openxmlformats.org/officeDocument/2006/relationships/image" Target="media/image143.emf"/><Relationship Id="rId178" Type="http://schemas.openxmlformats.org/officeDocument/2006/relationships/image" Target="media/image164.emf"/><Relationship Id="rId61" Type="http://schemas.openxmlformats.org/officeDocument/2006/relationships/image" Target="media/image49.emf"/><Relationship Id="rId82" Type="http://schemas.openxmlformats.org/officeDocument/2006/relationships/image" Target="media/image70.emf"/><Relationship Id="rId152" Type="http://schemas.openxmlformats.org/officeDocument/2006/relationships/image" Target="media/image138.emf"/><Relationship Id="rId173" Type="http://schemas.openxmlformats.org/officeDocument/2006/relationships/image" Target="media/image159.emf"/><Relationship Id="rId19" Type="http://schemas.openxmlformats.org/officeDocument/2006/relationships/image" Target="media/image7.emf"/><Relationship Id="rId14" Type="http://schemas.openxmlformats.org/officeDocument/2006/relationships/header" Target="header2.xml"/><Relationship Id="rId30" Type="http://schemas.openxmlformats.org/officeDocument/2006/relationships/image" Target="media/image18.emf"/><Relationship Id="rId35" Type="http://schemas.openxmlformats.org/officeDocument/2006/relationships/image" Target="media/image23.emf"/><Relationship Id="rId56" Type="http://schemas.openxmlformats.org/officeDocument/2006/relationships/image" Target="media/image44.emf"/><Relationship Id="rId77" Type="http://schemas.openxmlformats.org/officeDocument/2006/relationships/image" Target="media/image65.emf"/><Relationship Id="rId100" Type="http://schemas.openxmlformats.org/officeDocument/2006/relationships/image" Target="media/image88.emf"/><Relationship Id="rId105" Type="http://schemas.openxmlformats.org/officeDocument/2006/relationships/image" Target="media/image93.emf"/><Relationship Id="rId126" Type="http://schemas.openxmlformats.org/officeDocument/2006/relationships/image" Target="media/image112.emf"/><Relationship Id="rId147" Type="http://schemas.openxmlformats.org/officeDocument/2006/relationships/image" Target="media/image133.emf"/><Relationship Id="rId168" Type="http://schemas.openxmlformats.org/officeDocument/2006/relationships/image" Target="media/image154.emf"/><Relationship Id="rId8" Type="http://schemas.openxmlformats.org/officeDocument/2006/relationships/image" Target="media/image1.png"/><Relationship Id="rId51" Type="http://schemas.openxmlformats.org/officeDocument/2006/relationships/image" Target="media/image39.emf"/><Relationship Id="rId72" Type="http://schemas.openxmlformats.org/officeDocument/2006/relationships/image" Target="media/image60.emf"/><Relationship Id="rId93" Type="http://schemas.openxmlformats.org/officeDocument/2006/relationships/image" Target="media/image81.emf"/><Relationship Id="rId98" Type="http://schemas.openxmlformats.org/officeDocument/2006/relationships/image" Target="media/image86.emf"/><Relationship Id="rId121" Type="http://schemas.openxmlformats.org/officeDocument/2006/relationships/image" Target="media/image107.emf"/><Relationship Id="rId142" Type="http://schemas.openxmlformats.org/officeDocument/2006/relationships/image" Target="media/image128.emf"/><Relationship Id="rId163" Type="http://schemas.openxmlformats.org/officeDocument/2006/relationships/image" Target="media/image149.emf"/><Relationship Id="rId3" Type="http://schemas.openxmlformats.org/officeDocument/2006/relationships/styles" Target="styles.xml"/><Relationship Id="rId25" Type="http://schemas.openxmlformats.org/officeDocument/2006/relationships/image" Target="media/image13.emf"/><Relationship Id="rId46" Type="http://schemas.openxmlformats.org/officeDocument/2006/relationships/image" Target="media/image34.emf"/><Relationship Id="rId67" Type="http://schemas.openxmlformats.org/officeDocument/2006/relationships/image" Target="media/image55.emf"/><Relationship Id="rId116" Type="http://schemas.openxmlformats.org/officeDocument/2006/relationships/header" Target="header4.xml"/><Relationship Id="rId137" Type="http://schemas.openxmlformats.org/officeDocument/2006/relationships/image" Target="media/image123.emf"/><Relationship Id="rId158" Type="http://schemas.openxmlformats.org/officeDocument/2006/relationships/image" Target="media/image144.emf"/><Relationship Id="rId20" Type="http://schemas.openxmlformats.org/officeDocument/2006/relationships/image" Target="media/image8.emf"/><Relationship Id="rId41" Type="http://schemas.openxmlformats.org/officeDocument/2006/relationships/image" Target="media/image29.emf"/><Relationship Id="rId62" Type="http://schemas.openxmlformats.org/officeDocument/2006/relationships/image" Target="media/image50.emf"/><Relationship Id="rId83" Type="http://schemas.openxmlformats.org/officeDocument/2006/relationships/image" Target="media/image71.emf"/><Relationship Id="rId88" Type="http://schemas.openxmlformats.org/officeDocument/2006/relationships/image" Target="media/image76.emf"/><Relationship Id="rId111" Type="http://schemas.openxmlformats.org/officeDocument/2006/relationships/image" Target="media/image99.emf"/><Relationship Id="rId132" Type="http://schemas.openxmlformats.org/officeDocument/2006/relationships/image" Target="media/image118.emf"/><Relationship Id="rId153" Type="http://schemas.openxmlformats.org/officeDocument/2006/relationships/image" Target="media/image139.emf"/><Relationship Id="rId174" Type="http://schemas.openxmlformats.org/officeDocument/2006/relationships/image" Target="media/image160.emf"/><Relationship Id="rId179" Type="http://schemas.openxmlformats.org/officeDocument/2006/relationships/image" Target="media/image165.emf"/><Relationship Id="rId15" Type="http://schemas.openxmlformats.org/officeDocument/2006/relationships/image" Target="media/image3.emf"/><Relationship Id="rId36" Type="http://schemas.openxmlformats.org/officeDocument/2006/relationships/image" Target="media/image24.emf"/><Relationship Id="rId57" Type="http://schemas.openxmlformats.org/officeDocument/2006/relationships/image" Target="media/image45.emf"/><Relationship Id="rId106" Type="http://schemas.openxmlformats.org/officeDocument/2006/relationships/image" Target="media/image94.emf"/><Relationship Id="rId127" Type="http://schemas.openxmlformats.org/officeDocument/2006/relationships/image" Target="media/image113.emf"/><Relationship Id="rId10" Type="http://schemas.openxmlformats.org/officeDocument/2006/relationships/footer" Target="footer2.xml"/><Relationship Id="rId31" Type="http://schemas.openxmlformats.org/officeDocument/2006/relationships/image" Target="media/image19.emf"/><Relationship Id="rId52" Type="http://schemas.openxmlformats.org/officeDocument/2006/relationships/image" Target="media/image40.emf"/><Relationship Id="rId73" Type="http://schemas.openxmlformats.org/officeDocument/2006/relationships/image" Target="media/image61.emf"/><Relationship Id="rId78" Type="http://schemas.openxmlformats.org/officeDocument/2006/relationships/image" Target="media/image66.emf"/><Relationship Id="rId94" Type="http://schemas.openxmlformats.org/officeDocument/2006/relationships/image" Target="media/image82.emf"/><Relationship Id="rId99" Type="http://schemas.openxmlformats.org/officeDocument/2006/relationships/image" Target="media/image87.emf"/><Relationship Id="rId101" Type="http://schemas.openxmlformats.org/officeDocument/2006/relationships/image" Target="media/image89.emf"/><Relationship Id="rId122" Type="http://schemas.openxmlformats.org/officeDocument/2006/relationships/image" Target="media/image108.emf"/><Relationship Id="rId143" Type="http://schemas.openxmlformats.org/officeDocument/2006/relationships/image" Target="media/image129.emf"/><Relationship Id="rId148" Type="http://schemas.openxmlformats.org/officeDocument/2006/relationships/image" Target="media/image134.emf"/><Relationship Id="rId164" Type="http://schemas.openxmlformats.org/officeDocument/2006/relationships/image" Target="media/image150.emf"/><Relationship Id="rId169" Type="http://schemas.openxmlformats.org/officeDocument/2006/relationships/image" Target="media/image155.emf"/><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image" Target="media/image166.emf"/><Relationship Id="rId26" Type="http://schemas.openxmlformats.org/officeDocument/2006/relationships/image" Target="media/image14.emf"/><Relationship Id="rId47" Type="http://schemas.openxmlformats.org/officeDocument/2006/relationships/image" Target="media/image35.emf"/><Relationship Id="rId68" Type="http://schemas.openxmlformats.org/officeDocument/2006/relationships/image" Target="media/image56.emf"/><Relationship Id="rId89" Type="http://schemas.openxmlformats.org/officeDocument/2006/relationships/image" Target="media/image77.emf"/><Relationship Id="rId112" Type="http://schemas.openxmlformats.org/officeDocument/2006/relationships/header" Target="header3.xml"/><Relationship Id="rId133" Type="http://schemas.openxmlformats.org/officeDocument/2006/relationships/image" Target="media/image119.emf"/><Relationship Id="rId154" Type="http://schemas.openxmlformats.org/officeDocument/2006/relationships/image" Target="media/image140.emf"/><Relationship Id="rId175" Type="http://schemas.openxmlformats.org/officeDocument/2006/relationships/image" Target="media/image161.emf"/><Relationship Id="rId16" Type="http://schemas.openxmlformats.org/officeDocument/2006/relationships/image" Target="media/image4.emf"/><Relationship Id="rId37" Type="http://schemas.openxmlformats.org/officeDocument/2006/relationships/image" Target="media/image25.emf"/><Relationship Id="rId58" Type="http://schemas.openxmlformats.org/officeDocument/2006/relationships/image" Target="media/image46.emf"/><Relationship Id="rId79" Type="http://schemas.openxmlformats.org/officeDocument/2006/relationships/image" Target="media/image67.emf"/><Relationship Id="rId102" Type="http://schemas.openxmlformats.org/officeDocument/2006/relationships/image" Target="media/image90.emf"/><Relationship Id="rId123" Type="http://schemas.openxmlformats.org/officeDocument/2006/relationships/image" Target="media/image109.emf"/><Relationship Id="rId144" Type="http://schemas.openxmlformats.org/officeDocument/2006/relationships/image" Target="media/image130.emf"/><Relationship Id="rId90" Type="http://schemas.openxmlformats.org/officeDocument/2006/relationships/image" Target="media/image78.emf"/><Relationship Id="rId165" Type="http://schemas.openxmlformats.org/officeDocument/2006/relationships/image" Target="media/image151.emf"/><Relationship Id="rId27" Type="http://schemas.openxmlformats.org/officeDocument/2006/relationships/image" Target="media/image15.emf"/><Relationship Id="rId48" Type="http://schemas.openxmlformats.org/officeDocument/2006/relationships/image" Target="media/image36.emf"/><Relationship Id="rId69" Type="http://schemas.openxmlformats.org/officeDocument/2006/relationships/image" Target="media/image57.emf"/><Relationship Id="rId113" Type="http://schemas.openxmlformats.org/officeDocument/2006/relationships/image" Target="media/image100.emf"/><Relationship Id="rId134" Type="http://schemas.openxmlformats.org/officeDocument/2006/relationships/image" Target="media/image120.emf"/><Relationship Id="rId80" Type="http://schemas.openxmlformats.org/officeDocument/2006/relationships/image" Target="media/image68.emf"/><Relationship Id="rId155" Type="http://schemas.openxmlformats.org/officeDocument/2006/relationships/image" Target="media/image141.emf"/><Relationship Id="rId176" Type="http://schemas.openxmlformats.org/officeDocument/2006/relationships/image" Target="media/image162.emf"/><Relationship Id="rId17" Type="http://schemas.openxmlformats.org/officeDocument/2006/relationships/image" Target="media/image5.emf"/><Relationship Id="rId38" Type="http://schemas.openxmlformats.org/officeDocument/2006/relationships/image" Target="media/image26.emf"/><Relationship Id="rId59" Type="http://schemas.openxmlformats.org/officeDocument/2006/relationships/image" Target="media/image47.emf"/><Relationship Id="rId103" Type="http://schemas.openxmlformats.org/officeDocument/2006/relationships/image" Target="media/image91.emf"/><Relationship Id="rId124" Type="http://schemas.openxmlformats.org/officeDocument/2006/relationships/image" Target="media/image110.emf"/><Relationship Id="rId70" Type="http://schemas.openxmlformats.org/officeDocument/2006/relationships/image" Target="media/image58.emf"/><Relationship Id="rId91" Type="http://schemas.openxmlformats.org/officeDocument/2006/relationships/image" Target="media/image79.emf"/><Relationship Id="rId145" Type="http://schemas.openxmlformats.org/officeDocument/2006/relationships/image" Target="media/image131.emf"/><Relationship Id="rId166" Type="http://schemas.openxmlformats.org/officeDocument/2006/relationships/image" Target="media/image152.emf"/><Relationship Id="rId1" Type="http://schemas.openxmlformats.org/officeDocument/2006/relationships/customXml" Target="../customXml/item1.xml"/><Relationship Id="rId28" Type="http://schemas.openxmlformats.org/officeDocument/2006/relationships/image" Target="media/image16.emf"/><Relationship Id="rId49" Type="http://schemas.openxmlformats.org/officeDocument/2006/relationships/image" Target="media/image37.emf"/><Relationship Id="rId114" Type="http://schemas.openxmlformats.org/officeDocument/2006/relationships/image" Target="media/image10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E2110-BDCC-47C2-85E2-9336450A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268</Pages>
  <Words>51783</Words>
  <Characters>286019</Characters>
  <Application>Microsoft Office Word</Application>
  <DocSecurity>2</DocSecurity>
  <Lines>2383</Lines>
  <Paragraphs>674</Paragraphs>
  <ScaleCrop>false</ScaleCrop>
  <HeadingPairs>
    <vt:vector size="2" baseType="variant">
      <vt:variant>
        <vt:lpstr>Title</vt:lpstr>
      </vt:variant>
      <vt:variant>
        <vt:i4>1</vt:i4>
      </vt:variant>
    </vt:vector>
  </HeadingPairs>
  <TitlesOfParts>
    <vt:vector size="1" baseType="lpstr">
      <vt:lpstr>The Greater Manchester Combined Authority</vt:lpstr>
    </vt:vector>
  </TitlesOfParts>
  <Company>Manchester City Council</Company>
  <LinksUpToDate>false</LinksUpToDate>
  <CharactersWithSpaces>337128</CharactersWithSpaces>
  <SharedDoc>false</SharedDoc>
  <HLinks>
    <vt:vector size="24" baseType="variant">
      <vt:variant>
        <vt:i4>5570586</vt:i4>
      </vt:variant>
      <vt:variant>
        <vt:i4>9</vt:i4>
      </vt:variant>
      <vt:variant>
        <vt:i4>0</vt:i4>
      </vt:variant>
      <vt:variant>
        <vt:i4>5</vt:i4>
      </vt:variant>
      <vt:variant>
        <vt:lpwstr>http://www.tfgmc.com/</vt:lpwstr>
      </vt:variant>
      <vt:variant>
        <vt:lpwstr/>
      </vt:variant>
      <vt:variant>
        <vt:i4>2687091</vt:i4>
      </vt:variant>
      <vt:variant>
        <vt:i4>6</vt:i4>
      </vt:variant>
      <vt:variant>
        <vt:i4>0</vt:i4>
      </vt:variant>
      <vt:variant>
        <vt:i4>5</vt:i4>
      </vt:variant>
      <vt:variant>
        <vt:lpwstr>http://www.greatermanchester-ca.gov.uk/</vt:lpwstr>
      </vt:variant>
      <vt:variant>
        <vt:lpwstr/>
      </vt:variant>
      <vt:variant>
        <vt:i4>8060984</vt:i4>
      </vt:variant>
      <vt:variant>
        <vt:i4>3</vt:i4>
      </vt:variant>
      <vt:variant>
        <vt:i4>0</vt:i4>
      </vt:variant>
      <vt:variant>
        <vt:i4>5</vt:i4>
      </vt:variant>
      <vt:variant>
        <vt:lpwstr>http://www.transformationinformation.co.uk/transformation/2nd-city-crossing</vt:lpwstr>
      </vt:variant>
      <vt:variant>
        <vt:lpwstr/>
      </vt:variant>
      <vt:variant>
        <vt:i4>6160478</vt:i4>
      </vt:variant>
      <vt:variant>
        <vt:i4>0</vt:i4>
      </vt:variant>
      <vt:variant>
        <vt:i4>0</vt:i4>
      </vt:variant>
      <vt:variant>
        <vt:i4>5</vt:i4>
      </vt:variant>
      <vt:variant>
        <vt:lpwstr>http://www.tfgm.com/GMLES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Greater Manchester Combined Authority</dc:title>
  <dc:subject/>
  <dc:creator>foxa</dc:creator>
  <cp:keywords/>
  <dc:description/>
  <cp:lastModifiedBy>Hambley, Jessica</cp:lastModifiedBy>
  <cp:revision>3</cp:revision>
  <cp:lastPrinted>2023-07-11T10:07:00Z</cp:lastPrinted>
  <dcterms:created xsi:type="dcterms:W3CDTF">2024-08-08T16:03:00Z</dcterms:created>
  <dcterms:modified xsi:type="dcterms:W3CDTF">2024-08-09T08:35:00Z</dcterms:modified>
</cp:coreProperties>
</file>