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BD194A" w14:textId="49C3694A" w:rsidR="007D121A" w:rsidRDefault="00AB4AC0" w:rsidP="007D121A">
      <w:pPr>
        <w:rPr>
          <w:rFonts w:ascii="Calibri" w:eastAsia="Calibri" w:hAnsi="Calibri" w:cs="Times New Roman"/>
          <w:b/>
          <w:bCs/>
          <w:kern w:val="0"/>
          <w:u w:val="single"/>
          <w:lang w:val="en-US"/>
          <w14:ligatures w14:val="none"/>
        </w:rPr>
      </w:pPr>
      <w:r w:rsidRPr="004F05FA">
        <w:rPr>
          <w:rFonts w:ascii="Arial" w:eastAsia="Times New Roman" w:hAnsi="Arial" w:cs="Times New Roman"/>
          <w:b/>
          <w:bCs/>
          <w:noProof/>
          <w:color w:val="262626"/>
          <w:kern w:val="0"/>
          <w:sz w:val="20"/>
          <w:szCs w:val="20"/>
          <w:u w:val="single"/>
          <w:lang w:eastAsia="en-GB"/>
          <w14:ligatures w14:val="none"/>
        </w:rPr>
        <w:drawing>
          <wp:anchor distT="0" distB="0" distL="114300" distR="114300" simplePos="0" relativeHeight="251659264" behindDoc="1" locked="0" layoutInCell="1" allowOverlap="1" wp14:anchorId="0E7CEFAC" wp14:editId="244044FF">
            <wp:simplePos x="0" y="0"/>
            <wp:positionH relativeFrom="margin">
              <wp:posOffset>3111500</wp:posOffset>
            </wp:positionH>
            <wp:positionV relativeFrom="margin">
              <wp:posOffset>-412750</wp:posOffset>
            </wp:positionV>
            <wp:extent cx="3004185" cy="1085850"/>
            <wp:effectExtent l="0" t="0" r="0" b="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004185" cy="10858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71A988" w14:textId="77777777" w:rsidR="007D121A" w:rsidRDefault="007D121A" w:rsidP="007D121A">
      <w:pPr>
        <w:rPr>
          <w:rFonts w:ascii="Calibri" w:eastAsia="Calibri" w:hAnsi="Calibri" w:cs="Times New Roman"/>
          <w:b/>
          <w:bCs/>
          <w:kern w:val="0"/>
          <w:u w:val="single"/>
          <w:lang w:val="en-US"/>
          <w14:ligatures w14:val="none"/>
        </w:rPr>
      </w:pPr>
    </w:p>
    <w:p w14:paraId="456648A3" w14:textId="77777777" w:rsidR="007D121A" w:rsidRDefault="007D121A" w:rsidP="007D121A">
      <w:pPr>
        <w:rPr>
          <w:rFonts w:ascii="Calibri" w:eastAsia="Calibri" w:hAnsi="Calibri" w:cs="Times New Roman"/>
          <w:b/>
          <w:bCs/>
          <w:kern w:val="0"/>
          <w:u w:val="single"/>
          <w:lang w:val="en-US"/>
          <w14:ligatures w14:val="none"/>
        </w:rPr>
      </w:pPr>
    </w:p>
    <w:p w14:paraId="35EE0BC6" w14:textId="5E10E8E4" w:rsidR="004F05FA" w:rsidRPr="00ED7620" w:rsidRDefault="004F05FA" w:rsidP="00F05F95">
      <w:pPr>
        <w:pStyle w:val="Heading1"/>
        <w:rPr>
          <w:rFonts w:ascii="Arial" w:eastAsia="Calibri" w:hAnsi="Arial" w:cs="Arial"/>
          <w:sz w:val="24"/>
          <w:szCs w:val="24"/>
          <w:lang w:val="en-US"/>
        </w:rPr>
      </w:pPr>
      <w:r w:rsidRPr="00ED7620">
        <w:rPr>
          <w:rFonts w:ascii="Arial" w:eastAsia="Calibri" w:hAnsi="Arial" w:cs="Arial"/>
          <w:sz w:val="24"/>
          <w:szCs w:val="24"/>
          <w:lang w:val="en-US"/>
        </w:rPr>
        <w:t>The Greater Manchester Pledge for workforce stability in children’s social care</w:t>
      </w:r>
    </w:p>
    <w:p w14:paraId="084679E8" w14:textId="67709C00" w:rsidR="004F05FA" w:rsidRPr="00ED7620" w:rsidRDefault="004F05FA" w:rsidP="00F05F95">
      <w:pPr>
        <w:pStyle w:val="Heading2"/>
        <w:numPr>
          <w:ilvl w:val="0"/>
          <w:numId w:val="23"/>
        </w:numPr>
        <w:rPr>
          <w:rFonts w:ascii="Arial" w:eastAsia="Calibri" w:hAnsi="Arial" w:cs="Arial"/>
          <w:sz w:val="24"/>
          <w:szCs w:val="24"/>
          <w:lang w:val="en-US"/>
        </w:rPr>
      </w:pPr>
      <w:r w:rsidRPr="00ED7620">
        <w:rPr>
          <w:rFonts w:ascii="Arial" w:eastAsia="Calibri" w:hAnsi="Arial" w:cs="Arial"/>
          <w:sz w:val="24"/>
          <w:szCs w:val="24"/>
          <w:lang w:val="en-US"/>
        </w:rPr>
        <w:t xml:space="preserve">Introduction </w:t>
      </w:r>
    </w:p>
    <w:p w14:paraId="12BF7DFE" w14:textId="3890F3B2" w:rsidR="004F05FA" w:rsidRPr="00ED7620" w:rsidRDefault="004F05FA" w:rsidP="004F05FA">
      <w:pPr>
        <w:ind w:left="720"/>
        <w:rPr>
          <w:rFonts w:ascii="Arial" w:eastAsia="Calibri" w:hAnsi="Arial" w:cs="Arial"/>
          <w:kern w:val="0"/>
          <w:sz w:val="24"/>
          <w:szCs w:val="24"/>
          <w:lang w:val="en-US"/>
          <w14:ligatures w14:val="none"/>
        </w:rPr>
      </w:pPr>
      <w:r w:rsidRPr="00ED7620">
        <w:rPr>
          <w:rFonts w:ascii="Arial" w:eastAsia="Calibri" w:hAnsi="Arial" w:cs="Arial"/>
          <w:kern w:val="0"/>
          <w:sz w:val="24"/>
          <w:szCs w:val="24"/>
          <w:lang w:val="en-US"/>
          <w14:ligatures w14:val="none"/>
        </w:rPr>
        <w:t xml:space="preserve">This Greater Manchester Pledge (“GM Pledge”) is designed to address challenges related to the workforce of Children’s Social Work Professionals with </w:t>
      </w:r>
      <w:r w:rsidR="0001187F" w:rsidRPr="00ED7620">
        <w:rPr>
          <w:rFonts w:ascii="Arial" w:eastAsia="Calibri" w:hAnsi="Arial" w:cs="Arial"/>
          <w:kern w:val="0"/>
          <w:sz w:val="24"/>
          <w:szCs w:val="24"/>
          <w:lang w:val="en-US"/>
          <w14:ligatures w14:val="none"/>
        </w:rPr>
        <w:t xml:space="preserve">a </w:t>
      </w:r>
      <w:r w:rsidRPr="00ED7620">
        <w:rPr>
          <w:rFonts w:ascii="Arial" w:eastAsia="Calibri" w:hAnsi="Arial" w:cs="Arial"/>
          <w:kern w:val="0"/>
          <w:sz w:val="24"/>
          <w:szCs w:val="24"/>
          <w:lang w:val="en-US"/>
          <w14:ligatures w14:val="none"/>
        </w:rPr>
        <w:t xml:space="preserve">focus on the supply and quality of agency workers through evidenced protocols, adopted by other regions over many years, and a commitment to transparent and co-operative working. </w:t>
      </w:r>
    </w:p>
    <w:p w14:paraId="57514267" w14:textId="77777777" w:rsidR="004F05FA" w:rsidRPr="00ED7620" w:rsidRDefault="004F05FA" w:rsidP="004F05FA">
      <w:pPr>
        <w:ind w:left="720"/>
        <w:rPr>
          <w:rFonts w:ascii="Arial" w:eastAsia="Calibri" w:hAnsi="Arial" w:cs="Arial"/>
          <w:kern w:val="0"/>
          <w:sz w:val="24"/>
          <w:szCs w:val="24"/>
          <w:lang w:val="en-US"/>
          <w14:ligatures w14:val="none"/>
        </w:rPr>
      </w:pPr>
      <w:r w:rsidRPr="00ED7620">
        <w:rPr>
          <w:rFonts w:ascii="Arial" w:eastAsia="Calibri" w:hAnsi="Arial" w:cs="Arial"/>
          <w:kern w:val="0"/>
          <w:sz w:val="24"/>
          <w:szCs w:val="24"/>
          <w:lang w:val="en-US"/>
          <w14:ligatures w14:val="none"/>
        </w:rPr>
        <w:t xml:space="preserve">On 31 </w:t>
      </w:r>
      <w:proofErr w:type="gramStart"/>
      <w:r w:rsidRPr="00ED7620">
        <w:rPr>
          <w:rFonts w:ascii="Arial" w:eastAsia="Calibri" w:hAnsi="Arial" w:cs="Arial"/>
          <w:kern w:val="0"/>
          <w:sz w:val="24"/>
          <w:szCs w:val="24"/>
          <w:lang w:val="en-US"/>
          <w14:ligatures w14:val="none"/>
        </w:rPr>
        <w:t>October,</w:t>
      </w:r>
      <w:proofErr w:type="gramEnd"/>
      <w:r w:rsidRPr="00ED7620">
        <w:rPr>
          <w:rFonts w:ascii="Arial" w:eastAsia="Calibri" w:hAnsi="Arial" w:cs="Arial"/>
          <w:kern w:val="0"/>
          <w:sz w:val="24"/>
          <w:szCs w:val="24"/>
          <w:lang w:val="en-US"/>
          <w14:ligatures w14:val="none"/>
        </w:rPr>
        <w:t xml:space="preserve"> 2024 new national guidance on the use of agency child and family social workers comes into effect. </w:t>
      </w:r>
      <w:hyperlink r:id="rId6" w:history="1">
        <w:r w:rsidRPr="00ED7620">
          <w:rPr>
            <w:rFonts w:ascii="Arial" w:eastAsia="Calibri" w:hAnsi="Arial" w:cs="Arial"/>
            <w:kern w:val="0"/>
            <w:sz w:val="24"/>
            <w:szCs w:val="24"/>
            <w:u w:val="single"/>
            <w14:ligatures w14:val="none"/>
          </w:rPr>
          <w:t>Agency rules statutory guidance for local authorities on the use of agency child and family social workers (publishing.service.gov.uk)</w:t>
        </w:r>
      </w:hyperlink>
    </w:p>
    <w:p w14:paraId="636D4E0B" w14:textId="77777777" w:rsidR="004F05FA" w:rsidRPr="00ED7620" w:rsidRDefault="004F05FA" w:rsidP="009E3C45">
      <w:pPr>
        <w:ind w:left="720"/>
        <w:rPr>
          <w:rFonts w:ascii="Arial" w:eastAsia="Calibri" w:hAnsi="Arial" w:cs="Arial"/>
          <w:kern w:val="0"/>
          <w:sz w:val="24"/>
          <w:szCs w:val="24"/>
          <w:lang w:val="en-US"/>
          <w14:ligatures w14:val="none"/>
        </w:rPr>
      </w:pPr>
      <w:r w:rsidRPr="00ED7620">
        <w:rPr>
          <w:rFonts w:ascii="Arial" w:eastAsia="Calibri" w:hAnsi="Arial" w:cs="Arial"/>
          <w:kern w:val="0"/>
          <w:sz w:val="24"/>
          <w:szCs w:val="24"/>
          <w:lang w:val="en-US"/>
          <w14:ligatures w14:val="none"/>
        </w:rPr>
        <w:t xml:space="preserve">This document has been reviewed and updated to reflect the required changes. </w:t>
      </w:r>
    </w:p>
    <w:p w14:paraId="7357FA06" w14:textId="77777777" w:rsidR="004F05FA" w:rsidRPr="00ED7620" w:rsidRDefault="004F05FA" w:rsidP="004F05FA">
      <w:pPr>
        <w:ind w:left="720"/>
        <w:rPr>
          <w:rFonts w:ascii="Arial" w:eastAsia="Calibri" w:hAnsi="Arial" w:cs="Arial"/>
          <w:kern w:val="0"/>
          <w:sz w:val="24"/>
          <w:szCs w:val="24"/>
          <w:lang w:val="en-US"/>
          <w14:ligatures w14:val="none"/>
        </w:rPr>
      </w:pPr>
      <w:r w:rsidRPr="00ED7620">
        <w:rPr>
          <w:rFonts w:ascii="Arial" w:eastAsia="Calibri" w:hAnsi="Arial" w:cs="Arial"/>
          <w:kern w:val="0"/>
          <w:sz w:val="24"/>
          <w:szCs w:val="24"/>
          <w:lang w:val="en-US"/>
          <w14:ligatures w14:val="none"/>
        </w:rPr>
        <w:t xml:space="preserve">The data collection section of the guidance is a legal requirement for local authorities  </w:t>
      </w:r>
      <w:hyperlink r:id="rId7" w:history="1">
        <w:r w:rsidRPr="00ED7620">
          <w:rPr>
            <w:rFonts w:ascii="Arial" w:eastAsia="Times New Roman" w:hAnsi="Arial" w:cs="Arial"/>
            <w:kern w:val="0"/>
            <w:sz w:val="24"/>
            <w:szCs w:val="24"/>
            <w:u w:val="single"/>
            <w:lang w:eastAsia="en-GB"/>
            <w14:ligatures w14:val="none"/>
          </w:rPr>
          <w:t>Agency child and family social workers: data and price caps operational guidance (publishing.service.gov.uk)</w:t>
        </w:r>
      </w:hyperlink>
      <w:r w:rsidRPr="00ED7620">
        <w:rPr>
          <w:rFonts w:ascii="Arial" w:eastAsia="Calibri" w:hAnsi="Arial" w:cs="Arial"/>
          <w:kern w:val="0"/>
          <w:sz w:val="24"/>
          <w:szCs w:val="24"/>
          <w:lang w:val="en-US"/>
          <w14:ligatures w14:val="none"/>
        </w:rPr>
        <w:t xml:space="preserve"> . The rest of the statutory guidance should be complied with unless exceptional circumstances arise.</w:t>
      </w:r>
    </w:p>
    <w:p w14:paraId="111FA5F4" w14:textId="4EA9855D" w:rsidR="004F05FA" w:rsidRPr="00ED7620" w:rsidRDefault="004F05FA" w:rsidP="00ED7620">
      <w:pPr>
        <w:pStyle w:val="Heading2"/>
        <w:numPr>
          <w:ilvl w:val="0"/>
          <w:numId w:val="23"/>
        </w:numPr>
        <w:rPr>
          <w:rFonts w:ascii="Arial" w:eastAsia="Calibri" w:hAnsi="Arial" w:cs="Arial"/>
          <w:sz w:val="24"/>
          <w:szCs w:val="24"/>
          <w:lang w:val="en-US"/>
        </w:rPr>
      </w:pPr>
      <w:r w:rsidRPr="00ED7620">
        <w:rPr>
          <w:rFonts w:ascii="Arial" w:eastAsia="Calibri" w:hAnsi="Arial" w:cs="Arial"/>
          <w:sz w:val="24"/>
          <w:szCs w:val="24"/>
          <w:lang w:val="en-US"/>
        </w:rPr>
        <w:t>Objectives of the Pledge</w:t>
      </w:r>
    </w:p>
    <w:p w14:paraId="062E392B" w14:textId="77777777" w:rsidR="004F05FA" w:rsidRPr="00ED7620" w:rsidRDefault="004F05FA" w:rsidP="004F05FA">
      <w:pPr>
        <w:ind w:left="360"/>
        <w:contextualSpacing/>
        <w:rPr>
          <w:rFonts w:ascii="Arial" w:eastAsia="Calibri" w:hAnsi="Arial" w:cs="Arial"/>
          <w:kern w:val="0"/>
          <w:sz w:val="24"/>
          <w:szCs w:val="24"/>
          <w:lang w:val="en-US"/>
          <w14:ligatures w14:val="none"/>
        </w:rPr>
      </w:pPr>
    </w:p>
    <w:p w14:paraId="3653CA96" w14:textId="4F6BBD31" w:rsidR="004F05FA" w:rsidRPr="00ED7620" w:rsidRDefault="004F05FA" w:rsidP="00ED7620">
      <w:pPr>
        <w:ind w:left="720"/>
        <w:contextualSpacing/>
        <w:rPr>
          <w:rFonts w:ascii="Arial" w:eastAsia="Calibri" w:hAnsi="Arial" w:cs="Arial"/>
          <w:color w:val="FF0000"/>
          <w:kern w:val="0"/>
          <w:sz w:val="24"/>
          <w:szCs w:val="24"/>
          <w:lang w:val="en-US"/>
          <w14:ligatures w14:val="none"/>
        </w:rPr>
      </w:pPr>
      <w:r w:rsidRPr="00ED7620">
        <w:rPr>
          <w:rFonts w:ascii="Arial" w:eastAsia="Calibri" w:hAnsi="Arial" w:cs="Arial"/>
          <w:kern w:val="0"/>
          <w:sz w:val="24"/>
          <w:szCs w:val="24"/>
          <w:lang w:val="en-US"/>
          <w14:ligatures w14:val="none"/>
        </w:rPr>
        <w:t>The GM Pledge complies with statutory guidance on the use of agency child and family social workers.</w:t>
      </w:r>
    </w:p>
    <w:p w14:paraId="478FBD86" w14:textId="77777777" w:rsidR="004F05FA" w:rsidRPr="00ED7620" w:rsidRDefault="004F05FA" w:rsidP="004F05FA">
      <w:pPr>
        <w:ind w:left="360"/>
        <w:contextualSpacing/>
        <w:rPr>
          <w:rFonts w:ascii="Arial" w:eastAsia="Calibri" w:hAnsi="Arial" w:cs="Arial"/>
          <w:kern w:val="0"/>
          <w:sz w:val="24"/>
          <w:szCs w:val="24"/>
          <w:lang w:val="en-US"/>
          <w14:ligatures w14:val="none"/>
        </w:rPr>
      </w:pPr>
    </w:p>
    <w:p w14:paraId="7066A022" w14:textId="77777777" w:rsidR="004F05FA" w:rsidRPr="00ED7620" w:rsidRDefault="004F05FA" w:rsidP="004F05FA">
      <w:pPr>
        <w:ind w:left="720"/>
        <w:contextualSpacing/>
        <w:rPr>
          <w:rFonts w:ascii="Arial" w:eastAsia="Calibri" w:hAnsi="Arial" w:cs="Arial"/>
          <w:kern w:val="0"/>
          <w:sz w:val="24"/>
          <w:szCs w:val="24"/>
          <w:lang w:val="en-US"/>
          <w14:ligatures w14:val="none"/>
        </w:rPr>
      </w:pPr>
      <w:r w:rsidRPr="00ED7620">
        <w:rPr>
          <w:rFonts w:ascii="Arial" w:eastAsia="Calibri" w:hAnsi="Arial" w:cs="Arial"/>
          <w:kern w:val="0"/>
          <w:sz w:val="24"/>
          <w:szCs w:val="24"/>
          <w:lang w:val="en-US"/>
          <w14:ligatures w14:val="none"/>
        </w:rPr>
        <w:t xml:space="preserve">Across the region we have significant numbers of children who are experiencing changes of social worker, it is our collective ambition to improve the experience and lives of our children and families by providing a stable workforce. This, in turn, will support the Local Authorities by reducing the costs associated with staff turnover and high numbers of agency staff. The GM Pledge also contributes towards tackling children’s social care budget pressures caused by the high cost of agency staff. </w:t>
      </w:r>
    </w:p>
    <w:p w14:paraId="2C1A2C1E" w14:textId="77777777" w:rsidR="004F05FA" w:rsidRPr="00ED7620" w:rsidRDefault="004F05FA" w:rsidP="004F05FA">
      <w:pPr>
        <w:ind w:left="720"/>
        <w:contextualSpacing/>
        <w:rPr>
          <w:rFonts w:ascii="Arial" w:eastAsia="Calibri" w:hAnsi="Arial" w:cs="Arial"/>
          <w:b/>
          <w:bCs/>
          <w:kern w:val="0"/>
          <w:sz w:val="24"/>
          <w:szCs w:val="24"/>
          <w:lang w:val="en-US"/>
          <w14:ligatures w14:val="none"/>
        </w:rPr>
      </w:pPr>
    </w:p>
    <w:p w14:paraId="031B46CE" w14:textId="77777777" w:rsidR="004F05FA" w:rsidRPr="00ED7620" w:rsidRDefault="004F05FA" w:rsidP="004F05FA">
      <w:pPr>
        <w:ind w:left="720"/>
        <w:rPr>
          <w:rFonts w:ascii="Arial" w:eastAsia="Calibri" w:hAnsi="Arial" w:cs="Arial"/>
          <w:kern w:val="0"/>
          <w:sz w:val="24"/>
          <w:szCs w:val="24"/>
          <w:lang w:val="en-US"/>
          <w14:ligatures w14:val="none"/>
        </w:rPr>
      </w:pPr>
      <w:r w:rsidRPr="00ED7620">
        <w:rPr>
          <w:rFonts w:ascii="Arial" w:eastAsia="Calibri" w:hAnsi="Arial" w:cs="Arial"/>
          <w:kern w:val="0"/>
          <w:sz w:val="24"/>
          <w:szCs w:val="24"/>
          <w:lang w:val="en-US"/>
          <w14:ligatures w14:val="none"/>
        </w:rPr>
        <w:t xml:space="preserve">The GM Pledge </w:t>
      </w:r>
      <w:proofErr w:type="spellStart"/>
      <w:r w:rsidRPr="00ED7620">
        <w:rPr>
          <w:rFonts w:ascii="Arial" w:eastAsia="Calibri" w:hAnsi="Arial" w:cs="Arial"/>
          <w:kern w:val="0"/>
          <w:sz w:val="24"/>
          <w:szCs w:val="24"/>
          <w:lang w:val="en-US"/>
          <w14:ligatures w14:val="none"/>
        </w:rPr>
        <w:t>recognises</w:t>
      </w:r>
      <w:proofErr w:type="spellEnd"/>
      <w:r w:rsidRPr="00ED7620">
        <w:rPr>
          <w:rFonts w:ascii="Arial" w:eastAsia="Calibri" w:hAnsi="Arial" w:cs="Arial"/>
          <w:kern w:val="0"/>
          <w:sz w:val="24"/>
          <w:szCs w:val="24"/>
          <w:lang w:val="en-US"/>
          <w14:ligatures w14:val="none"/>
        </w:rPr>
        <w:t xml:space="preserve"> the need to respond to these challenges collectively and in co-operation, providing clear protocols and mechanism of control.</w:t>
      </w:r>
    </w:p>
    <w:p w14:paraId="48780063" w14:textId="1B24B41E" w:rsidR="004F05FA" w:rsidRPr="00760ED9" w:rsidRDefault="004F05FA" w:rsidP="00760ED9">
      <w:pPr>
        <w:pStyle w:val="Heading2"/>
        <w:numPr>
          <w:ilvl w:val="0"/>
          <w:numId w:val="23"/>
        </w:numPr>
        <w:rPr>
          <w:rFonts w:ascii="Arial" w:eastAsia="Calibri" w:hAnsi="Arial" w:cs="Arial"/>
          <w:sz w:val="24"/>
          <w:szCs w:val="24"/>
          <w:lang w:val="en-US"/>
        </w:rPr>
      </w:pPr>
      <w:r w:rsidRPr="00760ED9">
        <w:rPr>
          <w:rFonts w:ascii="Arial" w:eastAsia="Calibri" w:hAnsi="Arial" w:cs="Arial"/>
          <w:sz w:val="24"/>
          <w:szCs w:val="24"/>
          <w:lang w:val="en-US"/>
        </w:rPr>
        <w:t xml:space="preserve">Scope </w:t>
      </w:r>
    </w:p>
    <w:p w14:paraId="3EB3AE9C" w14:textId="7742EB28" w:rsidR="004F05FA" w:rsidRPr="00ED7620" w:rsidRDefault="004F05FA" w:rsidP="004F05FA">
      <w:pPr>
        <w:ind w:left="720"/>
        <w:rPr>
          <w:rFonts w:ascii="Arial" w:eastAsia="Calibri" w:hAnsi="Arial" w:cs="Arial"/>
          <w:kern w:val="0"/>
          <w:sz w:val="24"/>
          <w:szCs w:val="24"/>
          <w:lang w:val="en-US"/>
          <w14:ligatures w14:val="none"/>
        </w:rPr>
      </w:pPr>
      <w:r w:rsidRPr="00ED7620">
        <w:rPr>
          <w:rFonts w:ascii="Arial" w:eastAsia="Calibri" w:hAnsi="Arial" w:cs="Arial"/>
          <w:kern w:val="0"/>
          <w:sz w:val="24"/>
          <w:szCs w:val="24"/>
          <w:lang w:val="en-US"/>
          <w14:ligatures w14:val="none"/>
        </w:rPr>
        <w:t xml:space="preserve">The GM Pledge covers agency staff within the Children’s Social Work Professional Workforce, including Children’s Social Workers, Senior Social Workers, Advanced Practitioners, Independent Reviewing </w:t>
      </w:r>
      <w:r w:rsidRPr="00ED7620">
        <w:rPr>
          <w:rFonts w:ascii="Arial" w:eastAsia="Calibri" w:hAnsi="Arial" w:cs="Arial"/>
          <w:kern w:val="0"/>
          <w:sz w:val="24"/>
          <w:szCs w:val="24"/>
          <w:lang w:val="en-US"/>
          <w14:ligatures w14:val="none"/>
        </w:rPr>
        <w:lastRenderedPageBreak/>
        <w:t xml:space="preserve">Officers/Conference Chairs, and Team Manager roles (or equivalent) within the following Local Authorities:  </w:t>
      </w:r>
    </w:p>
    <w:p w14:paraId="0E3E5C95" w14:textId="77777777" w:rsidR="004F05FA" w:rsidRPr="00ED7620" w:rsidRDefault="004F05FA" w:rsidP="004F05FA">
      <w:pPr>
        <w:numPr>
          <w:ilvl w:val="0"/>
          <w:numId w:val="4"/>
        </w:numPr>
        <w:spacing w:before="119" w:after="119" w:line="360" w:lineRule="auto"/>
        <w:contextualSpacing/>
        <w:rPr>
          <w:rFonts w:ascii="Arial" w:eastAsia="Calibri" w:hAnsi="Arial" w:cs="Arial"/>
          <w:kern w:val="0"/>
          <w:sz w:val="24"/>
          <w:szCs w:val="24"/>
          <w:lang w:val="en-US"/>
          <w14:ligatures w14:val="none"/>
        </w:rPr>
      </w:pPr>
      <w:r w:rsidRPr="00ED7620">
        <w:rPr>
          <w:rFonts w:ascii="Arial" w:eastAsia="Calibri" w:hAnsi="Arial" w:cs="Arial"/>
          <w:kern w:val="0"/>
          <w:sz w:val="24"/>
          <w:szCs w:val="24"/>
          <w:lang w:val="en-US"/>
          <w14:ligatures w14:val="none"/>
        </w:rPr>
        <w:t>Bolton</w:t>
      </w:r>
    </w:p>
    <w:p w14:paraId="097285AB" w14:textId="77777777" w:rsidR="004F05FA" w:rsidRPr="00ED7620" w:rsidRDefault="004F05FA" w:rsidP="004F05FA">
      <w:pPr>
        <w:numPr>
          <w:ilvl w:val="0"/>
          <w:numId w:val="4"/>
        </w:numPr>
        <w:spacing w:before="119" w:after="119" w:line="360" w:lineRule="auto"/>
        <w:contextualSpacing/>
        <w:rPr>
          <w:rFonts w:ascii="Arial" w:eastAsia="Calibri" w:hAnsi="Arial" w:cs="Arial"/>
          <w:kern w:val="0"/>
          <w:sz w:val="24"/>
          <w:szCs w:val="24"/>
          <w:lang w:val="en-US"/>
          <w14:ligatures w14:val="none"/>
        </w:rPr>
      </w:pPr>
      <w:r w:rsidRPr="00ED7620">
        <w:rPr>
          <w:rFonts w:ascii="Arial" w:eastAsia="Calibri" w:hAnsi="Arial" w:cs="Arial"/>
          <w:kern w:val="0"/>
          <w:sz w:val="24"/>
          <w:szCs w:val="24"/>
          <w:lang w:val="en-US"/>
          <w14:ligatures w14:val="none"/>
        </w:rPr>
        <w:t>Bury</w:t>
      </w:r>
    </w:p>
    <w:p w14:paraId="097E93D1" w14:textId="77777777" w:rsidR="004F05FA" w:rsidRPr="00ED7620" w:rsidRDefault="004F05FA" w:rsidP="004F05FA">
      <w:pPr>
        <w:numPr>
          <w:ilvl w:val="0"/>
          <w:numId w:val="4"/>
        </w:numPr>
        <w:spacing w:before="119" w:after="119" w:line="360" w:lineRule="auto"/>
        <w:contextualSpacing/>
        <w:rPr>
          <w:rFonts w:ascii="Arial" w:eastAsia="Calibri" w:hAnsi="Arial" w:cs="Arial"/>
          <w:kern w:val="0"/>
          <w:sz w:val="24"/>
          <w:szCs w:val="24"/>
          <w:lang w:val="en-US"/>
          <w14:ligatures w14:val="none"/>
        </w:rPr>
      </w:pPr>
      <w:r w:rsidRPr="00ED7620">
        <w:rPr>
          <w:rFonts w:ascii="Arial" w:eastAsia="Calibri" w:hAnsi="Arial" w:cs="Arial"/>
          <w:kern w:val="0"/>
          <w:sz w:val="24"/>
          <w:szCs w:val="24"/>
          <w:lang w:val="en-US"/>
          <w14:ligatures w14:val="none"/>
        </w:rPr>
        <w:t>Manchester</w:t>
      </w:r>
    </w:p>
    <w:p w14:paraId="57F97039" w14:textId="77777777" w:rsidR="004F05FA" w:rsidRPr="00ED7620" w:rsidRDefault="004F05FA" w:rsidP="004F05FA">
      <w:pPr>
        <w:numPr>
          <w:ilvl w:val="0"/>
          <w:numId w:val="4"/>
        </w:numPr>
        <w:spacing w:before="119" w:after="119" w:line="360" w:lineRule="auto"/>
        <w:contextualSpacing/>
        <w:rPr>
          <w:rFonts w:ascii="Arial" w:eastAsia="Calibri" w:hAnsi="Arial" w:cs="Arial"/>
          <w:kern w:val="0"/>
          <w:sz w:val="24"/>
          <w:szCs w:val="24"/>
          <w:lang w:val="en-US"/>
          <w14:ligatures w14:val="none"/>
        </w:rPr>
      </w:pPr>
      <w:r w:rsidRPr="00ED7620">
        <w:rPr>
          <w:rFonts w:ascii="Arial" w:eastAsia="Calibri" w:hAnsi="Arial" w:cs="Arial"/>
          <w:kern w:val="0"/>
          <w:sz w:val="24"/>
          <w:szCs w:val="24"/>
          <w:lang w:val="en-US"/>
          <w14:ligatures w14:val="none"/>
        </w:rPr>
        <w:t xml:space="preserve">Oldham </w:t>
      </w:r>
    </w:p>
    <w:p w14:paraId="1753167F" w14:textId="77777777" w:rsidR="004F05FA" w:rsidRPr="00ED7620" w:rsidRDefault="004F05FA" w:rsidP="004F05FA">
      <w:pPr>
        <w:numPr>
          <w:ilvl w:val="0"/>
          <w:numId w:val="4"/>
        </w:numPr>
        <w:spacing w:before="119" w:after="119" w:line="360" w:lineRule="auto"/>
        <w:contextualSpacing/>
        <w:rPr>
          <w:rFonts w:ascii="Arial" w:eastAsia="Calibri" w:hAnsi="Arial" w:cs="Arial"/>
          <w:kern w:val="0"/>
          <w:sz w:val="24"/>
          <w:szCs w:val="24"/>
          <w:lang w:val="en-US"/>
          <w14:ligatures w14:val="none"/>
        </w:rPr>
      </w:pPr>
      <w:r w:rsidRPr="00ED7620">
        <w:rPr>
          <w:rFonts w:ascii="Arial" w:eastAsia="Calibri" w:hAnsi="Arial" w:cs="Arial"/>
          <w:kern w:val="0"/>
          <w:sz w:val="24"/>
          <w:szCs w:val="24"/>
          <w:lang w:val="en-US"/>
          <w14:ligatures w14:val="none"/>
        </w:rPr>
        <w:t>Rochdale</w:t>
      </w:r>
    </w:p>
    <w:p w14:paraId="6992CD2B" w14:textId="77777777" w:rsidR="004F05FA" w:rsidRPr="00ED7620" w:rsidRDefault="004F05FA" w:rsidP="004F05FA">
      <w:pPr>
        <w:numPr>
          <w:ilvl w:val="0"/>
          <w:numId w:val="4"/>
        </w:numPr>
        <w:spacing w:before="119" w:after="119" w:line="360" w:lineRule="auto"/>
        <w:contextualSpacing/>
        <w:rPr>
          <w:rFonts w:ascii="Arial" w:eastAsia="Calibri" w:hAnsi="Arial" w:cs="Arial"/>
          <w:kern w:val="0"/>
          <w:sz w:val="24"/>
          <w:szCs w:val="24"/>
          <w:lang w:val="en-US"/>
          <w14:ligatures w14:val="none"/>
        </w:rPr>
      </w:pPr>
      <w:r w:rsidRPr="00ED7620">
        <w:rPr>
          <w:rFonts w:ascii="Arial" w:eastAsia="Calibri" w:hAnsi="Arial" w:cs="Arial"/>
          <w:kern w:val="0"/>
          <w:sz w:val="24"/>
          <w:szCs w:val="24"/>
          <w:lang w:val="en-US"/>
          <w14:ligatures w14:val="none"/>
        </w:rPr>
        <w:t>Salford</w:t>
      </w:r>
    </w:p>
    <w:p w14:paraId="3FD5CBF4" w14:textId="77777777" w:rsidR="004F05FA" w:rsidRPr="00ED7620" w:rsidRDefault="004F05FA" w:rsidP="004F05FA">
      <w:pPr>
        <w:numPr>
          <w:ilvl w:val="0"/>
          <w:numId w:val="4"/>
        </w:numPr>
        <w:spacing w:before="119" w:after="119" w:line="360" w:lineRule="auto"/>
        <w:contextualSpacing/>
        <w:rPr>
          <w:rFonts w:ascii="Arial" w:eastAsia="Calibri" w:hAnsi="Arial" w:cs="Arial"/>
          <w:kern w:val="0"/>
          <w:sz w:val="24"/>
          <w:szCs w:val="24"/>
          <w:lang w:val="en-US"/>
          <w14:ligatures w14:val="none"/>
        </w:rPr>
      </w:pPr>
      <w:r w:rsidRPr="00ED7620">
        <w:rPr>
          <w:rFonts w:ascii="Arial" w:eastAsia="Calibri" w:hAnsi="Arial" w:cs="Arial"/>
          <w:kern w:val="0"/>
          <w:sz w:val="24"/>
          <w:szCs w:val="24"/>
          <w:lang w:val="en-US"/>
          <w14:ligatures w14:val="none"/>
        </w:rPr>
        <w:t>Stockport</w:t>
      </w:r>
    </w:p>
    <w:p w14:paraId="07FE279C" w14:textId="77777777" w:rsidR="004F05FA" w:rsidRPr="00ED7620" w:rsidRDefault="004F05FA" w:rsidP="004F05FA">
      <w:pPr>
        <w:numPr>
          <w:ilvl w:val="0"/>
          <w:numId w:val="4"/>
        </w:numPr>
        <w:spacing w:before="119" w:after="119" w:line="360" w:lineRule="auto"/>
        <w:contextualSpacing/>
        <w:rPr>
          <w:rFonts w:ascii="Arial" w:eastAsia="Calibri" w:hAnsi="Arial" w:cs="Arial"/>
          <w:kern w:val="0"/>
          <w:sz w:val="24"/>
          <w:szCs w:val="24"/>
          <w:lang w:val="en-US"/>
          <w14:ligatures w14:val="none"/>
        </w:rPr>
      </w:pPr>
      <w:r w:rsidRPr="00ED7620">
        <w:rPr>
          <w:rFonts w:ascii="Arial" w:eastAsia="Calibri" w:hAnsi="Arial" w:cs="Arial"/>
          <w:kern w:val="0"/>
          <w:sz w:val="24"/>
          <w:szCs w:val="24"/>
          <w:lang w:val="en-US"/>
          <w14:ligatures w14:val="none"/>
        </w:rPr>
        <w:t>Tameside</w:t>
      </w:r>
    </w:p>
    <w:p w14:paraId="3C424897" w14:textId="77777777" w:rsidR="004F05FA" w:rsidRPr="00ED7620" w:rsidRDefault="004F05FA" w:rsidP="004F05FA">
      <w:pPr>
        <w:numPr>
          <w:ilvl w:val="0"/>
          <w:numId w:val="4"/>
        </w:numPr>
        <w:spacing w:before="119" w:after="119" w:line="360" w:lineRule="auto"/>
        <w:contextualSpacing/>
        <w:rPr>
          <w:rFonts w:ascii="Arial" w:eastAsia="Calibri" w:hAnsi="Arial" w:cs="Arial"/>
          <w:kern w:val="0"/>
          <w:sz w:val="24"/>
          <w:szCs w:val="24"/>
          <w:lang w:val="en-US"/>
          <w14:ligatures w14:val="none"/>
        </w:rPr>
      </w:pPr>
      <w:r w:rsidRPr="00ED7620">
        <w:rPr>
          <w:rFonts w:ascii="Arial" w:eastAsia="Calibri" w:hAnsi="Arial" w:cs="Arial"/>
          <w:kern w:val="0"/>
          <w:sz w:val="24"/>
          <w:szCs w:val="24"/>
          <w:lang w:val="en-US"/>
          <w14:ligatures w14:val="none"/>
        </w:rPr>
        <w:t>Trafford</w:t>
      </w:r>
    </w:p>
    <w:p w14:paraId="55E7962E" w14:textId="77777777" w:rsidR="004F05FA" w:rsidRPr="00ED7620" w:rsidRDefault="004F05FA" w:rsidP="004F05FA">
      <w:pPr>
        <w:numPr>
          <w:ilvl w:val="0"/>
          <w:numId w:val="4"/>
        </w:numPr>
        <w:spacing w:before="119" w:after="119" w:line="360" w:lineRule="auto"/>
        <w:contextualSpacing/>
        <w:rPr>
          <w:rFonts w:ascii="Arial" w:eastAsia="Calibri" w:hAnsi="Arial" w:cs="Arial"/>
          <w:kern w:val="0"/>
          <w:sz w:val="24"/>
          <w:szCs w:val="24"/>
          <w:lang w:val="en-US"/>
          <w14:ligatures w14:val="none"/>
        </w:rPr>
      </w:pPr>
      <w:r w:rsidRPr="00ED7620">
        <w:rPr>
          <w:rFonts w:ascii="Arial" w:eastAsia="Calibri" w:hAnsi="Arial" w:cs="Arial"/>
          <w:kern w:val="0"/>
          <w:sz w:val="24"/>
          <w:szCs w:val="24"/>
          <w:lang w:val="en-US"/>
          <w14:ligatures w14:val="none"/>
        </w:rPr>
        <w:t>Wigan</w:t>
      </w:r>
    </w:p>
    <w:p w14:paraId="30794DEF" w14:textId="77777777" w:rsidR="004F05FA" w:rsidRPr="00ED7620" w:rsidRDefault="004F05FA" w:rsidP="004F05FA">
      <w:pPr>
        <w:ind w:firstLine="360"/>
        <w:rPr>
          <w:rFonts w:ascii="Arial" w:eastAsia="Calibri" w:hAnsi="Arial" w:cs="Arial"/>
          <w:kern w:val="0"/>
          <w:sz w:val="24"/>
          <w:szCs w:val="24"/>
          <w:lang w:val="en-US"/>
          <w14:ligatures w14:val="none"/>
        </w:rPr>
      </w:pPr>
      <w:r w:rsidRPr="00ED7620">
        <w:rPr>
          <w:rFonts w:ascii="Arial" w:eastAsia="Calibri" w:hAnsi="Arial" w:cs="Arial"/>
          <w:kern w:val="0"/>
          <w:sz w:val="24"/>
          <w:szCs w:val="24"/>
          <w:lang w:val="en-US"/>
          <w14:ligatures w14:val="none"/>
        </w:rPr>
        <w:t xml:space="preserve"> (“the Local Authorities”)</w:t>
      </w:r>
    </w:p>
    <w:p w14:paraId="38AFA0E4" w14:textId="2FD02757" w:rsidR="004F05FA" w:rsidRPr="00602009" w:rsidRDefault="004F05FA" w:rsidP="00602009">
      <w:pPr>
        <w:pStyle w:val="Heading2"/>
        <w:numPr>
          <w:ilvl w:val="0"/>
          <w:numId w:val="23"/>
        </w:numPr>
        <w:rPr>
          <w:rFonts w:ascii="Arial" w:eastAsia="Calibri" w:hAnsi="Arial" w:cs="Arial"/>
          <w:sz w:val="24"/>
          <w:szCs w:val="24"/>
          <w:lang w:val="en-US"/>
        </w:rPr>
      </w:pPr>
      <w:r w:rsidRPr="00602009">
        <w:rPr>
          <w:rFonts w:ascii="Arial" w:eastAsia="Calibri" w:hAnsi="Arial" w:cs="Arial"/>
          <w:sz w:val="24"/>
          <w:szCs w:val="24"/>
          <w:lang w:val="en-US"/>
        </w:rPr>
        <w:t xml:space="preserve">Effective Date </w:t>
      </w:r>
    </w:p>
    <w:p w14:paraId="44BC2737" w14:textId="38078825" w:rsidR="004F05FA" w:rsidRPr="00ED7620" w:rsidRDefault="004F05FA" w:rsidP="004F05FA">
      <w:pPr>
        <w:ind w:left="720"/>
        <w:contextualSpacing/>
        <w:rPr>
          <w:rFonts w:ascii="Arial" w:eastAsia="Calibri" w:hAnsi="Arial" w:cs="Arial"/>
          <w:kern w:val="0"/>
          <w:sz w:val="24"/>
          <w:szCs w:val="24"/>
          <w:lang w:val="en-US"/>
          <w14:ligatures w14:val="none"/>
        </w:rPr>
      </w:pPr>
      <w:r w:rsidRPr="00ED7620">
        <w:rPr>
          <w:rFonts w:ascii="Arial" w:eastAsia="Calibri" w:hAnsi="Arial" w:cs="Arial"/>
          <w:kern w:val="0"/>
          <w:sz w:val="24"/>
          <w:szCs w:val="24"/>
          <w:lang w:val="en-US"/>
          <w14:ligatures w14:val="none"/>
        </w:rPr>
        <w:t>The GM Pledge first came into effect on 1</w:t>
      </w:r>
      <w:r w:rsidRPr="00ED7620">
        <w:rPr>
          <w:rFonts w:ascii="Arial" w:eastAsia="Calibri" w:hAnsi="Arial" w:cs="Arial"/>
          <w:kern w:val="0"/>
          <w:sz w:val="24"/>
          <w:szCs w:val="24"/>
          <w:vertAlign w:val="superscript"/>
          <w:lang w:val="en-US"/>
          <w14:ligatures w14:val="none"/>
        </w:rPr>
        <w:t>st</w:t>
      </w:r>
      <w:r w:rsidRPr="00ED7620">
        <w:rPr>
          <w:rFonts w:ascii="Arial" w:eastAsia="Calibri" w:hAnsi="Arial" w:cs="Arial"/>
          <w:kern w:val="0"/>
          <w:sz w:val="24"/>
          <w:szCs w:val="24"/>
          <w:lang w:val="en-US"/>
          <w14:ligatures w14:val="none"/>
        </w:rPr>
        <w:t xml:space="preserve"> November 2023. The Pledge was then updated to meet the requirements of new </w:t>
      </w:r>
      <w:r w:rsidR="002B33FC" w:rsidRPr="00ED7620">
        <w:rPr>
          <w:rFonts w:ascii="Arial" w:eastAsia="Calibri" w:hAnsi="Arial" w:cs="Arial"/>
          <w:kern w:val="0"/>
          <w:sz w:val="24"/>
          <w:szCs w:val="24"/>
          <w:lang w:val="en-US"/>
          <w14:ligatures w14:val="none"/>
        </w:rPr>
        <w:t xml:space="preserve">DfE </w:t>
      </w:r>
      <w:r w:rsidRPr="00ED7620">
        <w:rPr>
          <w:rFonts w:ascii="Arial" w:eastAsia="Calibri" w:hAnsi="Arial" w:cs="Arial"/>
          <w:kern w:val="0"/>
          <w:sz w:val="24"/>
          <w:szCs w:val="24"/>
          <w:lang w:val="en-US"/>
          <w14:ligatures w14:val="none"/>
        </w:rPr>
        <w:t>statutory guidance which comes into effect on 31 October 2024.</w:t>
      </w:r>
    </w:p>
    <w:p w14:paraId="01394166" w14:textId="3C5ED9E1" w:rsidR="004F05FA" w:rsidRPr="00602009" w:rsidRDefault="004F05FA" w:rsidP="00602009">
      <w:pPr>
        <w:pStyle w:val="Heading2"/>
        <w:numPr>
          <w:ilvl w:val="0"/>
          <w:numId w:val="23"/>
        </w:numPr>
        <w:rPr>
          <w:rFonts w:ascii="Arial" w:eastAsia="Calibri" w:hAnsi="Arial" w:cs="Arial"/>
          <w:sz w:val="24"/>
          <w:szCs w:val="24"/>
          <w:lang w:val="en-US"/>
        </w:rPr>
      </w:pPr>
      <w:r w:rsidRPr="00602009">
        <w:rPr>
          <w:rFonts w:ascii="Arial" w:eastAsia="Calibri" w:hAnsi="Arial" w:cs="Arial"/>
          <w:sz w:val="24"/>
          <w:szCs w:val="24"/>
          <w:lang w:val="en-US"/>
        </w:rPr>
        <w:t xml:space="preserve">Governance &amp; Resources </w:t>
      </w:r>
    </w:p>
    <w:p w14:paraId="0C8EA66C" w14:textId="77777777" w:rsidR="004F05FA" w:rsidRPr="00ED7620" w:rsidRDefault="004F05FA" w:rsidP="004F05FA">
      <w:pPr>
        <w:ind w:left="720"/>
        <w:contextualSpacing/>
        <w:rPr>
          <w:rFonts w:ascii="Arial" w:eastAsia="Calibri" w:hAnsi="Arial" w:cs="Arial"/>
          <w:kern w:val="0"/>
          <w:sz w:val="24"/>
          <w:szCs w:val="24"/>
          <w:lang w:val="en-US"/>
          <w14:ligatures w14:val="none"/>
        </w:rPr>
      </w:pPr>
      <w:r w:rsidRPr="00ED7620">
        <w:rPr>
          <w:rFonts w:ascii="Arial" w:eastAsia="Calibri" w:hAnsi="Arial" w:cs="Arial"/>
          <w:kern w:val="0"/>
          <w:sz w:val="24"/>
          <w:szCs w:val="24"/>
          <w:lang w:val="en-US"/>
          <w14:ligatures w14:val="none"/>
        </w:rPr>
        <w:t xml:space="preserve">The GM Pledge is overseen by Directors of Children’s Services who are responsible and accountable for ensuring that their service managers, HR, Managed Service Providers and agency suppliers implement the GM Pledge in a timely manner within each of the Local Authorities. </w:t>
      </w:r>
    </w:p>
    <w:p w14:paraId="579331D6" w14:textId="77777777" w:rsidR="004F05FA" w:rsidRPr="00ED7620" w:rsidRDefault="004F05FA" w:rsidP="004F05FA">
      <w:pPr>
        <w:ind w:left="720"/>
        <w:rPr>
          <w:rFonts w:ascii="Arial" w:eastAsia="Calibri" w:hAnsi="Arial" w:cs="Arial"/>
          <w:kern w:val="0"/>
          <w:sz w:val="24"/>
          <w:szCs w:val="24"/>
          <w:lang w:val="en-US"/>
          <w14:ligatures w14:val="none"/>
        </w:rPr>
      </w:pPr>
      <w:r w:rsidRPr="00ED7620">
        <w:rPr>
          <w:rFonts w:ascii="Arial" w:eastAsia="Calibri" w:hAnsi="Arial" w:cs="Arial"/>
          <w:kern w:val="0"/>
          <w:sz w:val="24"/>
          <w:szCs w:val="24"/>
          <w:lang w:val="en-US"/>
          <w14:ligatures w14:val="none"/>
        </w:rPr>
        <w:t xml:space="preserve">Directors of Children’s Services will be supported by Assistant Directors of Children’s Services, Principal Social Workers, Workforce Leads and Senior HR representatives from across the region. </w:t>
      </w:r>
    </w:p>
    <w:p w14:paraId="44EBB15A" w14:textId="77777777" w:rsidR="004F05FA" w:rsidRPr="00ED7620" w:rsidRDefault="004F05FA" w:rsidP="004F05FA">
      <w:pPr>
        <w:ind w:left="720"/>
        <w:rPr>
          <w:rFonts w:ascii="Arial" w:eastAsia="Calibri" w:hAnsi="Arial" w:cs="Arial"/>
          <w:kern w:val="0"/>
          <w:sz w:val="24"/>
          <w:szCs w:val="24"/>
          <w:lang w:val="en-US"/>
          <w14:ligatures w14:val="none"/>
        </w:rPr>
      </w:pPr>
      <w:r w:rsidRPr="00ED7620">
        <w:rPr>
          <w:rFonts w:ascii="Arial" w:eastAsia="Calibri" w:hAnsi="Arial" w:cs="Arial"/>
          <w:kern w:val="0"/>
          <w:sz w:val="24"/>
          <w:szCs w:val="24"/>
          <w:lang w:val="en-US"/>
          <w14:ligatures w14:val="none"/>
        </w:rPr>
        <w:t>Progress updates will be shared with GM DCS and GM HR Directors Groups on a quarterly basis and discussed sub-regionally. A HR Director will attend for the performance monitoring report item at the Quarterly DCS session and vice versa. Resources to support communication and consistent messaging across the key stakeholder groups, the supply chain and candidates will be made available in a central repository (GMCA).</w:t>
      </w:r>
    </w:p>
    <w:p w14:paraId="20FF9A52" w14:textId="440344AA" w:rsidR="004F05FA" w:rsidRPr="00602009" w:rsidRDefault="004F05FA" w:rsidP="00602009">
      <w:pPr>
        <w:pStyle w:val="Heading2"/>
        <w:numPr>
          <w:ilvl w:val="0"/>
          <w:numId w:val="23"/>
        </w:numPr>
        <w:rPr>
          <w:rFonts w:ascii="Arial" w:eastAsia="Calibri" w:hAnsi="Arial" w:cs="Arial"/>
          <w:sz w:val="24"/>
          <w:szCs w:val="24"/>
          <w:lang w:val="en-US"/>
        </w:rPr>
      </w:pPr>
      <w:r w:rsidRPr="00602009">
        <w:rPr>
          <w:rFonts w:ascii="Arial" w:eastAsia="Calibri" w:hAnsi="Arial" w:cs="Arial"/>
          <w:sz w:val="24"/>
          <w:szCs w:val="24"/>
          <w:lang w:val="en-US"/>
        </w:rPr>
        <w:t xml:space="preserve">Adoption of The GM Pledge </w:t>
      </w:r>
    </w:p>
    <w:p w14:paraId="08D0005A" w14:textId="77777777" w:rsidR="004F05FA" w:rsidRPr="00ED7620" w:rsidRDefault="004F05FA" w:rsidP="004F05FA">
      <w:pPr>
        <w:ind w:left="720"/>
        <w:rPr>
          <w:rFonts w:ascii="Arial" w:eastAsia="Calibri" w:hAnsi="Arial" w:cs="Arial"/>
          <w:kern w:val="0"/>
          <w:sz w:val="24"/>
          <w:szCs w:val="24"/>
          <w:lang w:val="en-US"/>
          <w14:ligatures w14:val="none"/>
        </w:rPr>
      </w:pPr>
      <w:r w:rsidRPr="00ED7620">
        <w:rPr>
          <w:rFonts w:ascii="Arial" w:eastAsia="Calibri" w:hAnsi="Arial" w:cs="Arial"/>
          <w:kern w:val="0"/>
          <w:sz w:val="24"/>
          <w:szCs w:val="24"/>
          <w:lang w:val="en-US"/>
          <w14:ligatures w14:val="none"/>
        </w:rPr>
        <w:t xml:space="preserve">Every Local Authority will include the GM Pledge in the terms of contracts and other documents to support the delivery of its objectives, working with Reed and other agencies to fully represent its terms throughout the supply chain. </w:t>
      </w:r>
    </w:p>
    <w:p w14:paraId="2EAA37E4" w14:textId="77777777" w:rsidR="004F05FA" w:rsidRPr="00ED7620" w:rsidRDefault="004F05FA" w:rsidP="004F05FA">
      <w:pPr>
        <w:ind w:left="720"/>
        <w:rPr>
          <w:rFonts w:ascii="Arial" w:eastAsia="Calibri" w:hAnsi="Arial" w:cs="Arial"/>
          <w:kern w:val="0"/>
          <w:sz w:val="24"/>
          <w:szCs w:val="24"/>
          <w:lang w:val="en-US"/>
          <w14:ligatures w14:val="none"/>
        </w:rPr>
      </w:pPr>
      <w:r w:rsidRPr="00ED7620">
        <w:rPr>
          <w:rFonts w:ascii="Arial" w:eastAsia="Calibri" w:hAnsi="Arial" w:cs="Arial"/>
          <w:kern w:val="0"/>
          <w:sz w:val="24"/>
          <w:szCs w:val="24"/>
          <w:lang w:val="en-US"/>
          <w14:ligatures w14:val="none"/>
        </w:rPr>
        <w:t>The Directors of Children’s Services commit to implementing the GM Pledge in their own service holding one another to account. The Local Authorities agree to:</w:t>
      </w:r>
    </w:p>
    <w:p w14:paraId="532EEC56" w14:textId="77777777" w:rsidR="004F05FA" w:rsidRPr="00ED7620" w:rsidRDefault="004F05FA" w:rsidP="004F05FA">
      <w:pPr>
        <w:numPr>
          <w:ilvl w:val="0"/>
          <w:numId w:val="13"/>
        </w:numPr>
        <w:spacing w:before="119" w:after="119" w:line="360" w:lineRule="auto"/>
        <w:contextualSpacing/>
        <w:rPr>
          <w:rFonts w:ascii="Arial" w:eastAsia="Calibri" w:hAnsi="Arial" w:cs="Arial"/>
          <w:kern w:val="0"/>
          <w:sz w:val="24"/>
          <w:szCs w:val="24"/>
          <w:lang w:val="en-US"/>
          <w14:ligatures w14:val="none"/>
        </w:rPr>
      </w:pPr>
      <w:r w:rsidRPr="00ED7620">
        <w:rPr>
          <w:rFonts w:ascii="Arial" w:eastAsia="Calibri" w:hAnsi="Arial" w:cs="Arial"/>
          <w:kern w:val="0"/>
          <w:sz w:val="24"/>
          <w:szCs w:val="24"/>
          <w:lang w:val="en-US"/>
          <w14:ligatures w14:val="none"/>
        </w:rPr>
        <w:lastRenderedPageBreak/>
        <w:t xml:space="preserve">communicate within the Local Authority and hold Heads of Service and managers to account locally for adherence to the GM Pledge </w:t>
      </w:r>
    </w:p>
    <w:p w14:paraId="4A2D7629" w14:textId="77777777" w:rsidR="004F05FA" w:rsidRPr="00ED7620" w:rsidRDefault="004F05FA" w:rsidP="004F05FA">
      <w:pPr>
        <w:numPr>
          <w:ilvl w:val="0"/>
          <w:numId w:val="13"/>
        </w:numPr>
        <w:spacing w:before="119" w:after="119" w:line="360" w:lineRule="auto"/>
        <w:contextualSpacing/>
        <w:rPr>
          <w:rFonts w:ascii="Arial" w:eastAsia="Calibri" w:hAnsi="Arial" w:cs="Arial"/>
          <w:kern w:val="0"/>
          <w:sz w:val="24"/>
          <w:szCs w:val="24"/>
          <w:lang w:val="en-US"/>
          <w14:ligatures w14:val="none"/>
        </w:rPr>
      </w:pPr>
      <w:r w:rsidRPr="00ED7620">
        <w:rPr>
          <w:rFonts w:ascii="Arial" w:eastAsia="Calibri" w:hAnsi="Arial" w:cs="Arial"/>
          <w:kern w:val="0"/>
          <w:sz w:val="24"/>
          <w:szCs w:val="24"/>
          <w:lang w:val="en-US"/>
          <w14:ligatures w14:val="none"/>
        </w:rPr>
        <w:t xml:space="preserve">adopt the protocols for agency CSW recruitment and </w:t>
      </w:r>
    </w:p>
    <w:p w14:paraId="4D1AD158" w14:textId="77777777" w:rsidR="004F05FA" w:rsidRPr="00ED7620" w:rsidRDefault="004F05FA" w:rsidP="004F05FA">
      <w:pPr>
        <w:numPr>
          <w:ilvl w:val="0"/>
          <w:numId w:val="13"/>
        </w:numPr>
        <w:spacing w:before="119" w:after="119" w:line="360" w:lineRule="auto"/>
        <w:contextualSpacing/>
        <w:rPr>
          <w:rFonts w:ascii="Arial" w:eastAsia="Calibri" w:hAnsi="Arial" w:cs="Arial"/>
          <w:kern w:val="0"/>
          <w:sz w:val="24"/>
          <w:szCs w:val="24"/>
          <w:lang w:val="en-US"/>
          <w14:ligatures w14:val="none"/>
        </w:rPr>
      </w:pPr>
      <w:r w:rsidRPr="00ED7620">
        <w:rPr>
          <w:rFonts w:ascii="Arial" w:eastAsia="Calibri" w:hAnsi="Arial" w:cs="Arial"/>
          <w:kern w:val="0"/>
          <w:sz w:val="24"/>
          <w:szCs w:val="24"/>
          <w:lang w:val="en-US"/>
          <w14:ligatures w14:val="none"/>
        </w:rPr>
        <w:t>hold one another accountable through agreed processes of control and transparency.</w:t>
      </w:r>
    </w:p>
    <w:p w14:paraId="1757C91B" w14:textId="7FE8E4E0" w:rsidR="004F05FA" w:rsidRPr="00602009" w:rsidRDefault="004F05FA" w:rsidP="00602009">
      <w:pPr>
        <w:pStyle w:val="Heading2"/>
        <w:numPr>
          <w:ilvl w:val="0"/>
          <w:numId w:val="23"/>
        </w:numPr>
        <w:rPr>
          <w:rFonts w:ascii="Arial" w:eastAsia="Calibri" w:hAnsi="Arial" w:cs="Arial"/>
          <w:sz w:val="24"/>
          <w:szCs w:val="24"/>
          <w:lang w:val="en-US"/>
        </w:rPr>
      </w:pPr>
      <w:r w:rsidRPr="00602009">
        <w:rPr>
          <w:rFonts w:ascii="Arial" w:eastAsia="Calibri" w:hAnsi="Arial" w:cs="Arial"/>
          <w:sz w:val="24"/>
          <w:szCs w:val="24"/>
          <w:lang w:val="en-US"/>
        </w:rPr>
        <w:t xml:space="preserve">Commitment to The GM Pledge </w:t>
      </w:r>
    </w:p>
    <w:p w14:paraId="1DCACC74" w14:textId="77777777" w:rsidR="004F05FA" w:rsidRPr="00ED7620" w:rsidRDefault="004F05FA" w:rsidP="004F05FA">
      <w:pPr>
        <w:ind w:left="720"/>
        <w:rPr>
          <w:rFonts w:ascii="Arial" w:eastAsia="Calibri" w:hAnsi="Arial" w:cs="Arial"/>
          <w:kern w:val="0"/>
          <w:sz w:val="24"/>
          <w:szCs w:val="24"/>
          <w:lang w:val="en-US"/>
          <w14:ligatures w14:val="none"/>
        </w:rPr>
      </w:pPr>
      <w:r w:rsidRPr="00ED7620">
        <w:rPr>
          <w:rFonts w:ascii="Arial" w:eastAsia="Calibri" w:hAnsi="Arial" w:cs="Arial"/>
          <w:kern w:val="0"/>
          <w:sz w:val="24"/>
          <w:szCs w:val="24"/>
          <w:lang w:val="en-US"/>
          <w14:ligatures w14:val="none"/>
        </w:rPr>
        <w:t xml:space="preserve">The Directors of Children’s Services commit to the GM Pledge for a period of 12 months from its original adoption. Following 12 months (or earlier if needed) the rates and process will be reviewed by Directors of Children’s Services and HR Directors. </w:t>
      </w:r>
    </w:p>
    <w:p w14:paraId="08124819" w14:textId="48DAB8BA" w:rsidR="004F05FA" w:rsidRPr="00602009" w:rsidRDefault="00602009" w:rsidP="00760ED9">
      <w:pPr>
        <w:pStyle w:val="Heading2"/>
        <w:rPr>
          <w:rFonts w:ascii="Arial" w:eastAsia="Calibri" w:hAnsi="Arial" w:cs="Arial"/>
          <w:sz w:val="24"/>
          <w:szCs w:val="24"/>
          <w:lang w:val="en-US"/>
        </w:rPr>
      </w:pPr>
      <w:r w:rsidRPr="00602009">
        <w:rPr>
          <w:rFonts w:ascii="Arial" w:eastAsia="Calibri" w:hAnsi="Arial" w:cs="Arial"/>
          <w:sz w:val="24"/>
          <w:szCs w:val="24"/>
          <w:lang w:val="en-US"/>
        </w:rPr>
        <w:t xml:space="preserve">8. </w:t>
      </w:r>
      <w:r w:rsidR="004F05FA" w:rsidRPr="00602009">
        <w:rPr>
          <w:rFonts w:ascii="Arial" w:eastAsia="Calibri" w:hAnsi="Arial" w:cs="Arial"/>
          <w:sz w:val="24"/>
          <w:szCs w:val="24"/>
          <w:lang w:val="en-US"/>
        </w:rPr>
        <w:t xml:space="preserve">Management of agency staffing </w:t>
      </w:r>
    </w:p>
    <w:p w14:paraId="4064A546" w14:textId="4EB677C2" w:rsidR="004F05FA" w:rsidRPr="00ED7620" w:rsidRDefault="004F05FA" w:rsidP="00AC6729">
      <w:pPr>
        <w:ind w:firstLine="720"/>
        <w:rPr>
          <w:rFonts w:ascii="Arial" w:eastAsia="Calibri" w:hAnsi="Arial" w:cs="Arial"/>
          <w:kern w:val="0"/>
          <w:sz w:val="24"/>
          <w:szCs w:val="24"/>
          <w:lang w:val="en-US"/>
          <w14:ligatures w14:val="none"/>
        </w:rPr>
      </w:pPr>
      <w:r w:rsidRPr="00ED7620">
        <w:rPr>
          <w:rFonts w:ascii="Arial" w:eastAsia="Calibri" w:hAnsi="Arial" w:cs="Arial"/>
          <w:kern w:val="0"/>
          <w:sz w:val="24"/>
          <w:szCs w:val="24"/>
          <w:lang w:val="en-US"/>
          <w14:ligatures w14:val="none"/>
        </w:rPr>
        <w:t xml:space="preserve"> Rates of pay based on FTE hours for agency workers (Schedule 1): </w:t>
      </w:r>
    </w:p>
    <w:p w14:paraId="70253F20" w14:textId="77777777" w:rsidR="004F05FA" w:rsidRPr="00ED7620" w:rsidRDefault="004F05FA" w:rsidP="004F05FA">
      <w:pPr>
        <w:ind w:firstLine="720"/>
        <w:rPr>
          <w:rFonts w:ascii="Arial" w:eastAsia="Calibri" w:hAnsi="Arial" w:cs="Arial"/>
          <w:kern w:val="0"/>
          <w:sz w:val="24"/>
          <w:szCs w:val="24"/>
          <w:lang w:val="en-US"/>
          <w14:ligatures w14:val="none"/>
        </w:rPr>
      </w:pPr>
      <w:r w:rsidRPr="00ED7620">
        <w:rPr>
          <w:rFonts w:ascii="Arial" w:eastAsia="Calibri" w:hAnsi="Arial" w:cs="Arial"/>
          <w:kern w:val="0"/>
          <w:sz w:val="24"/>
          <w:szCs w:val="24"/>
          <w:lang w:val="en-US"/>
          <w14:ligatures w14:val="none"/>
        </w:rPr>
        <w:t xml:space="preserve">The Local Authorities agree that they will: </w:t>
      </w:r>
    </w:p>
    <w:p w14:paraId="5FF3A084" w14:textId="778B110D" w:rsidR="004F05FA" w:rsidRPr="00ED7620" w:rsidRDefault="004F05FA" w:rsidP="004F05FA">
      <w:pPr>
        <w:numPr>
          <w:ilvl w:val="0"/>
          <w:numId w:val="11"/>
        </w:numPr>
        <w:spacing w:before="119" w:after="119" w:line="360" w:lineRule="auto"/>
        <w:contextualSpacing/>
        <w:rPr>
          <w:rFonts w:ascii="Arial" w:eastAsia="Calibri" w:hAnsi="Arial" w:cs="Arial"/>
          <w:kern w:val="0"/>
          <w:sz w:val="24"/>
          <w:szCs w:val="24"/>
          <w:lang w:val="en-US"/>
          <w14:ligatures w14:val="none"/>
        </w:rPr>
      </w:pPr>
      <w:r w:rsidRPr="00ED7620">
        <w:rPr>
          <w:rFonts w:ascii="Arial" w:eastAsia="Calibri" w:hAnsi="Arial" w:cs="Arial"/>
          <w:kern w:val="0"/>
          <w:sz w:val="24"/>
          <w:szCs w:val="24"/>
          <w:lang w:val="en-US"/>
          <w14:ligatures w14:val="none"/>
        </w:rPr>
        <w:t xml:space="preserve"> Pay agency social worker staff at pay rates no greater than those set out in Schedule 1 of the GM Pledge, instructing their Managed Service Providers and any agencies who supply each Local Authority of the rates. The pay rates set out should not be supplemented with any additional allowances (such as travel or accommodation) and all Heads of Service/Team Managers are not to go against this without express permission from their DCS. Mil</w:t>
      </w:r>
      <w:r w:rsidR="007400EB" w:rsidRPr="00ED7620">
        <w:rPr>
          <w:rFonts w:ascii="Arial" w:eastAsia="Calibri" w:hAnsi="Arial" w:cs="Arial"/>
          <w:kern w:val="0"/>
          <w:sz w:val="24"/>
          <w:szCs w:val="24"/>
          <w:lang w:val="en-US"/>
          <w14:ligatures w14:val="none"/>
        </w:rPr>
        <w:t>e</w:t>
      </w:r>
      <w:r w:rsidRPr="00ED7620">
        <w:rPr>
          <w:rFonts w:ascii="Arial" w:eastAsia="Calibri" w:hAnsi="Arial" w:cs="Arial"/>
          <w:kern w:val="0"/>
          <w:sz w:val="24"/>
          <w:szCs w:val="24"/>
          <w:lang w:val="en-US"/>
          <w14:ligatures w14:val="none"/>
        </w:rPr>
        <w:t>age payments at the agreed rate will still be made.</w:t>
      </w:r>
    </w:p>
    <w:p w14:paraId="2061C564" w14:textId="77777777" w:rsidR="004F05FA" w:rsidRPr="00ED7620" w:rsidRDefault="004F05FA" w:rsidP="004F05FA">
      <w:pPr>
        <w:numPr>
          <w:ilvl w:val="0"/>
          <w:numId w:val="11"/>
        </w:numPr>
        <w:spacing w:before="119" w:after="119" w:line="360" w:lineRule="auto"/>
        <w:contextualSpacing/>
        <w:rPr>
          <w:rFonts w:ascii="Arial" w:eastAsia="Calibri" w:hAnsi="Arial" w:cs="Arial"/>
          <w:kern w:val="0"/>
          <w:sz w:val="24"/>
          <w:szCs w:val="24"/>
          <w:lang w:val="en-US"/>
          <w14:ligatures w14:val="none"/>
        </w:rPr>
      </w:pPr>
      <w:r w:rsidRPr="00ED7620">
        <w:rPr>
          <w:rFonts w:ascii="Arial" w:eastAsia="Calibri" w:hAnsi="Arial" w:cs="Arial"/>
          <w:kern w:val="0"/>
          <w:sz w:val="24"/>
          <w:szCs w:val="24"/>
          <w:lang w:val="en-US"/>
          <w14:ligatures w14:val="none"/>
        </w:rPr>
        <w:t>Ensure that the relevant Director of Children’s Services and Chief Executive sign-off any assignments above price caps prior to the assignment being agreed and report any price cap breaches to the Department for Education (DfE) through the quarterly data collection.</w:t>
      </w:r>
    </w:p>
    <w:p w14:paraId="61DE5435" w14:textId="77777777" w:rsidR="004F05FA" w:rsidRPr="00ED7620" w:rsidRDefault="004F05FA" w:rsidP="004F05FA">
      <w:pPr>
        <w:numPr>
          <w:ilvl w:val="0"/>
          <w:numId w:val="11"/>
        </w:numPr>
        <w:spacing w:before="119" w:after="119" w:line="360" w:lineRule="auto"/>
        <w:contextualSpacing/>
        <w:rPr>
          <w:rFonts w:ascii="Arial" w:eastAsia="Calibri" w:hAnsi="Arial" w:cs="Arial"/>
          <w:kern w:val="0"/>
          <w:sz w:val="24"/>
          <w:szCs w:val="24"/>
          <w:lang w:val="en-US"/>
          <w14:ligatures w14:val="none"/>
        </w:rPr>
      </w:pPr>
      <w:r w:rsidRPr="00ED7620">
        <w:rPr>
          <w:rFonts w:ascii="Arial" w:eastAsia="Calibri" w:hAnsi="Arial" w:cs="Arial"/>
          <w:kern w:val="0"/>
          <w:sz w:val="24"/>
          <w:szCs w:val="24"/>
          <w:lang w:val="en-US"/>
          <w14:ligatures w14:val="none"/>
        </w:rPr>
        <w:t xml:space="preserve">Work in collaboration with Managed Service Providers to ensure that the assigned role title and pay rate for agency staff appropriately reflects the experience of each worker, aligned to the pay rates outlined in the GM Pledge. </w:t>
      </w:r>
    </w:p>
    <w:p w14:paraId="29516F04" w14:textId="77777777" w:rsidR="004F05FA" w:rsidRPr="00ED7620" w:rsidRDefault="004F05FA" w:rsidP="004F05FA">
      <w:pPr>
        <w:numPr>
          <w:ilvl w:val="0"/>
          <w:numId w:val="11"/>
        </w:numPr>
        <w:spacing w:before="119" w:after="119" w:line="360" w:lineRule="auto"/>
        <w:contextualSpacing/>
        <w:rPr>
          <w:rFonts w:ascii="Arial" w:eastAsia="Calibri" w:hAnsi="Arial" w:cs="Arial"/>
          <w:kern w:val="0"/>
          <w:sz w:val="24"/>
          <w:szCs w:val="24"/>
          <w:lang w:val="en-US"/>
          <w14:ligatures w14:val="none"/>
        </w:rPr>
      </w:pPr>
      <w:r w:rsidRPr="00ED7620">
        <w:rPr>
          <w:rFonts w:ascii="Arial" w:eastAsia="Calibri" w:hAnsi="Arial" w:cs="Arial"/>
          <w:kern w:val="0"/>
          <w:sz w:val="24"/>
          <w:szCs w:val="24"/>
          <w:lang w:val="en-US"/>
          <w14:ligatures w14:val="none"/>
        </w:rPr>
        <w:t>Not advertise any roles above the pay rates outlined within the GM Pledge. Any non-compliant adverts should be reported and removed, with support from the Managed Service Providers where adverts have been posted by agencies.</w:t>
      </w:r>
    </w:p>
    <w:p w14:paraId="341CA64C" w14:textId="77777777" w:rsidR="004F05FA" w:rsidRPr="00ED7620" w:rsidRDefault="004F05FA" w:rsidP="004F05FA">
      <w:pPr>
        <w:numPr>
          <w:ilvl w:val="0"/>
          <w:numId w:val="11"/>
        </w:numPr>
        <w:spacing w:before="119" w:after="119" w:line="360" w:lineRule="auto"/>
        <w:contextualSpacing/>
        <w:rPr>
          <w:rFonts w:ascii="Arial" w:eastAsia="Calibri" w:hAnsi="Arial" w:cs="Arial"/>
          <w:kern w:val="0"/>
          <w:sz w:val="24"/>
          <w:szCs w:val="24"/>
          <w:lang w:val="en-US"/>
          <w14:ligatures w14:val="none"/>
        </w:rPr>
      </w:pPr>
      <w:r w:rsidRPr="00ED7620">
        <w:rPr>
          <w:rFonts w:ascii="Arial" w:eastAsia="Calibri" w:hAnsi="Arial" w:cs="Arial"/>
          <w:kern w:val="0"/>
          <w:sz w:val="24"/>
          <w:szCs w:val="24"/>
          <w:lang w:val="en-US"/>
          <w14:ligatures w14:val="none"/>
        </w:rPr>
        <w:lastRenderedPageBreak/>
        <w:t>Ensure that hours paid to workers reflect the hours worked within their contract.</w:t>
      </w:r>
    </w:p>
    <w:p w14:paraId="4A249424" w14:textId="77777777" w:rsidR="004F05FA" w:rsidRPr="00ED7620" w:rsidRDefault="004F05FA" w:rsidP="004F05FA">
      <w:pPr>
        <w:numPr>
          <w:ilvl w:val="0"/>
          <w:numId w:val="11"/>
        </w:numPr>
        <w:spacing w:before="119" w:after="119" w:line="360" w:lineRule="auto"/>
        <w:contextualSpacing/>
        <w:rPr>
          <w:rFonts w:ascii="Arial" w:eastAsia="Calibri" w:hAnsi="Arial" w:cs="Arial"/>
          <w:kern w:val="0"/>
          <w:sz w:val="24"/>
          <w:szCs w:val="24"/>
          <w:lang w:val="en-US"/>
          <w14:ligatures w14:val="none"/>
        </w:rPr>
      </w:pPr>
      <w:r w:rsidRPr="00ED7620">
        <w:rPr>
          <w:rFonts w:ascii="Arial" w:eastAsia="Calibri" w:hAnsi="Arial" w:cs="Arial"/>
          <w:kern w:val="0"/>
          <w:sz w:val="24"/>
          <w:szCs w:val="24"/>
          <w:lang w:val="en-US"/>
          <w14:ligatures w14:val="none"/>
        </w:rPr>
        <w:t>Not employ case working ‘project’ or ‘parachute’ CSW candidates. The Local Authorities will not use these descriptions or other similar terms to create any case working Children’s Social Worker roles that are deemed to fall outside the pay rates and terms of the GM Pledge.</w:t>
      </w:r>
    </w:p>
    <w:p w14:paraId="492EEC7C" w14:textId="1F64DE2F" w:rsidR="004F05FA" w:rsidRPr="00AC6729" w:rsidRDefault="00AC6729" w:rsidP="00760ED9">
      <w:pPr>
        <w:pStyle w:val="Heading2"/>
        <w:rPr>
          <w:rFonts w:ascii="Arial" w:eastAsia="Calibri" w:hAnsi="Arial" w:cs="Arial"/>
          <w:sz w:val="24"/>
          <w:szCs w:val="24"/>
          <w:lang w:val="en-US"/>
        </w:rPr>
      </w:pPr>
      <w:r w:rsidRPr="00AC6729">
        <w:rPr>
          <w:rFonts w:ascii="Arial" w:eastAsia="Calibri" w:hAnsi="Arial" w:cs="Arial"/>
          <w:sz w:val="24"/>
          <w:szCs w:val="24"/>
          <w:lang w:val="en-US"/>
        </w:rPr>
        <w:t>9.</w:t>
      </w:r>
      <w:r w:rsidR="004F05FA" w:rsidRPr="00AC6729">
        <w:rPr>
          <w:rFonts w:ascii="Arial" w:eastAsia="Calibri" w:hAnsi="Arial" w:cs="Arial"/>
          <w:sz w:val="24"/>
          <w:szCs w:val="24"/>
          <w:lang w:val="en-US"/>
        </w:rPr>
        <w:t xml:space="preserve"> Referencing quality and supply chain engagement </w:t>
      </w:r>
    </w:p>
    <w:p w14:paraId="28332472" w14:textId="77777777" w:rsidR="004F05FA" w:rsidRPr="00ED7620" w:rsidRDefault="004F05FA" w:rsidP="004F05FA">
      <w:pPr>
        <w:ind w:firstLine="720"/>
        <w:rPr>
          <w:rFonts w:ascii="Arial" w:eastAsia="Calibri" w:hAnsi="Arial" w:cs="Arial"/>
          <w:kern w:val="0"/>
          <w:sz w:val="24"/>
          <w:szCs w:val="24"/>
          <w:lang w:val="en-US"/>
          <w14:ligatures w14:val="none"/>
        </w:rPr>
      </w:pPr>
      <w:r w:rsidRPr="00ED7620">
        <w:rPr>
          <w:rFonts w:ascii="Arial" w:eastAsia="Calibri" w:hAnsi="Arial" w:cs="Arial"/>
          <w:kern w:val="0"/>
          <w:sz w:val="24"/>
          <w:szCs w:val="24"/>
          <w:lang w:val="en-US"/>
          <w14:ligatures w14:val="none"/>
        </w:rPr>
        <w:t xml:space="preserve">The Local Authorities agree that they will: </w:t>
      </w:r>
    </w:p>
    <w:p w14:paraId="4D09E342" w14:textId="437528B3" w:rsidR="004F05FA" w:rsidRPr="00ED7620" w:rsidRDefault="004F05FA" w:rsidP="004F05FA">
      <w:pPr>
        <w:numPr>
          <w:ilvl w:val="0"/>
          <w:numId w:val="10"/>
        </w:numPr>
        <w:spacing w:before="119" w:after="119" w:line="360" w:lineRule="auto"/>
        <w:contextualSpacing/>
        <w:rPr>
          <w:rFonts w:ascii="Arial" w:eastAsia="Calibri" w:hAnsi="Arial" w:cs="Arial"/>
          <w:kern w:val="0"/>
          <w:sz w:val="24"/>
          <w:szCs w:val="24"/>
          <w:lang w:val="en-US"/>
          <w14:ligatures w14:val="none"/>
        </w:rPr>
      </w:pPr>
      <w:r w:rsidRPr="00ED7620">
        <w:rPr>
          <w:rFonts w:ascii="Arial" w:eastAsia="Calibri" w:hAnsi="Arial" w:cs="Arial"/>
          <w:kern w:val="0"/>
          <w:sz w:val="24"/>
          <w:szCs w:val="24"/>
          <w:lang w:val="en-US"/>
          <w14:ligatures w14:val="none"/>
        </w:rPr>
        <w:t>Require a detailed practice-based reference using the agency rules standard reference template for all agency child and family social workers before offering an assignment irrespective of the length of assignment.</w:t>
      </w:r>
      <w:r w:rsidR="000F1F5F" w:rsidRPr="00ED7620">
        <w:rPr>
          <w:rFonts w:ascii="Arial" w:eastAsia="Calibri" w:hAnsi="Arial" w:cs="Arial"/>
          <w:kern w:val="0"/>
          <w:sz w:val="24"/>
          <w:szCs w:val="24"/>
          <w:lang w:val="en-US"/>
          <w14:ligatures w14:val="none"/>
        </w:rPr>
        <w:t xml:space="preserve"> </w:t>
      </w:r>
      <w:r w:rsidRPr="00ED7620">
        <w:rPr>
          <w:rFonts w:ascii="Arial" w:eastAsia="Calibri" w:hAnsi="Arial" w:cs="Arial"/>
          <w:kern w:val="0"/>
          <w:sz w:val="24"/>
          <w:szCs w:val="24"/>
          <w:lang w:val="en-US"/>
          <w14:ligatures w14:val="none"/>
        </w:rPr>
        <w:t>(Schedule 2)</w:t>
      </w:r>
    </w:p>
    <w:p w14:paraId="0F603D83" w14:textId="77777777" w:rsidR="004F05FA" w:rsidRPr="00ED7620" w:rsidRDefault="004F05FA" w:rsidP="004F05FA">
      <w:pPr>
        <w:numPr>
          <w:ilvl w:val="0"/>
          <w:numId w:val="10"/>
        </w:numPr>
        <w:spacing w:before="119" w:after="119" w:line="360" w:lineRule="auto"/>
        <w:contextualSpacing/>
        <w:rPr>
          <w:rFonts w:ascii="Arial" w:eastAsia="Calibri" w:hAnsi="Arial" w:cs="Arial"/>
          <w:kern w:val="0"/>
          <w:sz w:val="24"/>
          <w:szCs w:val="24"/>
          <w:lang w:val="en-US"/>
          <w14:ligatures w14:val="none"/>
        </w:rPr>
      </w:pPr>
      <w:r w:rsidRPr="00ED7620">
        <w:rPr>
          <w:rFonts w:ascii="Arial" w:eastAsia="Calibri" w:hAnsi="Arial" w:cs="Arial"/>
          <w:kern w:val="0"/>
          <w:sz w:val="24"/>
          <w:szCs w:val="24"/>
          <w:lang w:val="en-US"/>
          <w14:ligatures w14:val="none"/>
        </w:rPr>
        <w:t>Require at least two detailed practice-based references for all agency child and family social workers before offering an assignment (the agency rules standard reference template should be used for references date on or after 31 October 2024.)</w:t>
      </w:r>
    </w:p>
    <w:p w14:paraId="7A247898" w14:textId="77777777" w:rsidR="004F05FA" w:rsidRPr="00ED7620" w:rsidRDefault="004F05FA" w:rsidP="004F05FA">
      <w:pPr>
        <w:numPr>
          <w:ilvl w:val="0"/>
          <w:numId w:val="10"/>
        </w:numPr>
        <w:spacing w:before="119" w:after="119" w:line="360" w:lineRule="auto"/>
        <w:contextualSpacing/>
        <w:rPr>
          <w:rFonts w:ascii="Arial" w:eastAsia="Calibri" w:hAnsi="Arial" w:cs="Arial"/>
          <w:kern w:val="0"/>
          <w:sz w:val="24"/>
          <w:szCs w:val="24"/>
          <w:lang w:val="en-US"/>
          <w14:ligatures w14:val="none"/>
        </w:rPr>
      </w:pPr>
      <w:r w:rsidRPr="00ED7620">
        <w:rPr>
          <w:rFonts w:ascii="Arial" w:eastAsia="Calibri" w:hAnsi="Arial" w:cs="Arial"/>
          <w:kern w:val="0"/>
          <w:sz w:val="24"/>
          <w:szCs w:val="24"/>
          <w:lang w:val="en-US"/>
          <w14:ligatures w14:val="none"/>
        </w:rPr>
        <w:t>Complete the reference template (Schedule 2) as part of the end of an assignment process for agency workers, supported by the Managed Service Providers.</w:t>
      </w:r>
    </w:p>
    <w:p w14:paraId="64334D49" w14:textId="77777777" w:rsidR="004F05FA" w:rsidRPr="00ED7620" w:rsidRDefault="004F05FA" w:rsidP="004F05FA">
      <w:pPr>
        <w:numPr>
          <w:ilvl w:val="0"/>
          <w:numId w:val="10"/>
        </w:numPr>
        <w:spacing w:before="119" w:after="119" w:line="360" w:lineRule="auto"/>
        <w:contextualSpacing/>
        <w:rPr>
          <w:rFonts w:ascii="Arial" w:eastAsia="Calibri" w:hAnsi="Arial" w:cs="Arial"/>
          <w:kern w:val="0"/>
          <w:sz w:val="24"/>
          <w:szCs w:val="24"/>
          <w:lang w:val="en-US"/>
          <w14:ligatures w14:val="none"/>
        </w:rPr>
      </w:pPr>
      <w:r w:rsidRPr="00ED7620">
        <w:rPr>
          <w:rFonts w:ascii="Arial" w:eastAsia="Calibri" w:hAnsi="Arial" w:cs="Arial"/>
          <w:kern w:val="0"/>
          <w:sz w:val="24"/>
          <w:szCs w:val="24"/>
          <w:lang w:val="en-US"/>
          <w14:ligatures w14:val="none"/>
        </w:rPr>
        <w:t xml:space="preserve">Complete the reference template (Schedule 2) in a timely manner providing detailed feedback on the capabilities and performance of workers alongside confirmation of dates, and not defer to the representing agency to provide a date reference. </w:t>
      </w:r>
    </w:p>
    <w:p w14:paraId="1F28E348" w14:textId="77777777" w:rsidR="004F05FA" w:rsidRPr="00ED7620" w:rsidRDefault="004F05FA" w:rsidP="004F05FA">
      <w:pPr>
        <w:numPr>
          <w:ilvl w:val="0"/>
          <w:numId w:val="10"/>
        </w:numPr>
        <w:spacing w:before="119" w:after="119" w:line="360" w:lineRule="auto"/>
        <w:contextualSpacing/>
        <w:rPr>
          <w:rFonts w:ascii="Arial" w:eastAsia="Calibri" w:hAnsi="Arial" w:cs="Arial"/>
          <w:kern w:val="0"/>
          <w:sz w:val="24"/>
          <w:szCs w:val="24"/>
          <w:lang w:val="en-US"/>
          <w14:ligatures w14:val="none"/>
        </w:rPr>
      </w:pPr>
      <w:r w:rsidRPr="00ED7620">
        <w:rPr>
          <w:rFonts w:ascii="Arial" w:eastAsia="Calibri" w:hAnsi="Arial" w:cs="Arial"/>
          <w:kern w:val="0"/>
          <w:sz w:val="24"/>
          <w:szCs w:val="24"/>
          <w:lang w:val="en-US"/>
          <w14:ligatures w14:val="none"/>
        </w:rPr>
        <w:t>Ensure that the Managed Service Providers embed the template for use in the agency supply chain and ensure its use as part of their typical pre-employment compliance process.</w:t>
      </w:r>
    </w:p>
    <w:p w14:paraId="7EA3FAFF" w14:textId="77777777" w:rsidR="004F05FA" w:rsidRPr="00ED7620" w:rsidRDefault="004F05FA" w:rsidP="004F05FA">
      <w:pPr>
        <w:numPr>
          <w:ilvl w:val="0"/>
          <w:numId w:val="10"/>
        </w:numPr>
        <w:spacing w:before="119" w:after="119" w:line="360" w:lineRule="auto"/>
        <w:contextualSpacing/>
        <w:rPr>
          <w:rFonts w:ascii="Arial" w:eastAsia="Calibri" w:hAnsi="Arial" w:cs="Arial"/>
          <w:kern w:val="0"/>
          <w:sz w:val="24"/>
          <w:szCs w:val="24"/>
          <w:lang w:val="en-US"/>
          <w14:ligatures w14:val="none"/>
        </w:rPr>
      </w:pPr>
      <w:r w:rsidRPr="00ED7620">
        <w:rPr>
          <w:rFonts w:ascii="Arial" w:eastAsia="Calibri" w:hAnsi="Arial" w:cs="Arial"/>
          <w:kern w:val="0"/>
          <w:sz w:val="24"/>
          <w:szCs w:val="24"/>
          <w:lang w:val="en-US"/>
          <w14:ligatures w14:val="none"/>
        </w:rPr>
        <w:t xml:space="preserve">Work with Managed Service Providers to host conference calls with the CSW agency supply chain wherever possible to ensure needs and expectations for roles placed are fully understood. Agencies will be expected to retain and re-train this information with their staff to ensure learnings are captured and </w:t>
      </w:r>
      <w:proofErr w:type="spellStart"/>
      <w:r w:rsidRPr="00ED7620">
        <w:rPr>
          <w:rFonts w:ascii="Arial" w:eastAsia="Calibri" w:hAnsi="Arial" w:cs="Arial"/>
          <w:kern w:val="0"/>
          <w:sz w:val="24"/>
          <w:szCs w:val="24"/>
          <w:lang w:val="en-US"/>
          <w14:ligatures w14:val="none"/>
        </w:rPr>
        <w:t>utilised</w:t>
      </w:r>
      <w:proofErr w:type="spellEnd"/>
      <w:r w:rsidRPr="00ED7620">
        <w:rPr>
          <w:rFonts w:ascii="Arial" w:eastAsia="Calibri" w:hAnsi="Arial" w:cs="Arial"/>
          <w:kern w:val="0"/>
          <w:sz w:val="24"/>
          <w:szCs w:val="24"/>
          <w:lang w:val="en-US"/>
          <w14:ligatures w14:val="none"/>
        </w:rPr>
        <w:t xml:space="preserve"> in future recruitment activities.</w:t>
      </w:r>
    </w:p>
    <w:p w14:paraId="73E11187" w14:textId="2A62BE58" w:rsidR="004F05FA" w:rsidRPr="00ED7620" w:rsidRDefault="004F05FA" w:rsidP="004F05FA">
      <w:pPr>
        <w:numPr>
          <w:ilvl w:val="0"/>
          <w:numId w:val="10"/>
        </w:numPr>
        <w:spacing w:before="119" w:after="119" w:line="360" w:lineRule="auto"/>
        <w:contextualSpacing/>
        <w:rPr>
          <w:rFonts w:ascii="Arial" w:eastAsia="Calibri" w:hAnsi="Arial" w:cs="Arial"/>
          <w:kern w:val="0"/>
          <w:sz w:val="24"/>
          <w:szCs w:val="24"/>
          <w:lang w:val="en-US"/>
          <w14:ligatures w14:val="none"/>
        </w:rPr>
      </w:pPr>
      <w:r w:rsidRPr="00ED7620">
        <w:rPr>
          <w:rFonts w:ascii="Arial" w:eastAsia="Calibri" w:hAnsi="Arial" w:cs="Arial"/>
          <w:kern w:val="0"/>
          <w:sz w:val="24"/>
          <w:szCs w:val="24"/>
          <w:lang w:val="en-US"/>
          <w14:ligatures w14:val="none"/>
        </w:rPr>
        <w:lastRenderedPageBreak/>
        <w:t>Work with the Managed Service Providers to ensure that any persistently non</w:t>
      </w:r>
      <w:r w:rsidR="00342414" w:rsidRPr="00ED7620">
        <w:rPr>
          <w:rFonts w:ascii="Arial" w:eastAsia="Calibri" w:hAnsi="Arial" w:cs="Arial"/>
          <w:kern w:val="0"/>
          <w:sz w:val="24"/>
          <w:szCs w:val="24"/>
          <w:lang w:val="en-US"/>
          <w14:ligatures w14:val="none"/>
        </w:rPr>
        <w:t>-</w:t>
      </w:r>
      <w:r w:rsidRPr="00ED7620">
        <w:rPr>
          <w:rFonts w:ascii="Arial" w:eastAsia="Calibri" w:hAnsi="Arial" w:cs="Arial"/>
          <w:kern w:val="0"/>
          <w:sz w:val="24"/>
          <w:szCs w:val="24"/>
          <w:lang w:val="en-US"/>
          <w14:ligatures w14:val="none"/>
        </w:rPr>
        <w:t>compliant agencies are removed, suspended or demoted from the agency supply chain.</w:t>
      </w:r>
    </w:p>
    <w:p w14:paraId="385F13F2" w14:textId="49685DA8" w:rsidR="004F05FA" w:rsidRPr="00ED7620" w:rsidRDefault="004F05FA" w:rsidP="00E92B52">
      <w:pPr>
        <w:numPr>
          <w:ilvl w:val="0"/>
          <w:numId w:val="10"/>
        </w:numPr>
        <w:spacing w:before="119" w:after="119" w:line="360" w:lineRule="auto"/>
        <w:contextualSpacing/>
        <w:rPr>
          <w:rFonts w:ascii="Arial" w:eastAsia="Calibri" w:hAnsi="Arial" w:cs="Arial"/>
          <w:kern w:val="0"/>
          <w:sz w:val="24"/>
          <w:szCs w:val="24"/>
          <w:lang w:val="en-US"/>
          <w14:ligatures w14:val="none"/>
        </w:rPr>
      </w:pPr>
      <w:proofErr w:type="gramStart"/>
      <w:r w:rsidRPr="00ED7620">
        <w:rPr>
          <w:rFonts w:ascii="Arial" w:eastAsia="Calibri" w:hAnsi="Arial" w:cs="Arial"/>
          <w:kern w:val="0"/>
          <w:sz w:val="24"/>
          <w:szCs w:val="24"/>
          <w:lang w:val="en-US"/>
          <w14:ligatures w14:val="none"/>
        </w:rPr>
        <w:t>In order to</w:t>
      </w:r>
      <w:proofErr w:type="gramEnd"/>
      <w:r w:rsidRPr="00ED7620">
        <w:rPr>
          <w:rFonts w:ascii="Arial" w:eastAsia="Calibri" w:hAnsi="Arial" w:cs="Arial"/>
          <w:kern w:val="0"/>
          <w:sz w:val="24"/>
          <w:szCs w:val="24"/>
          <w:lang w:val="en-US"/>
          <w14:ligatures w14:val="none"/>
        </w:rPr>
        <w:t xml:space="preserve"> qualify for agency appointments, candidates must demonstrate a minimum of 3 years’ post-qualified experience </w:t>
      </w:r>
      <w:r w:rsidR="005A7BDB" w:rsidRPr="00ED7620">
        <w:rPr>
          <w:rFonts w:ascii="Arial" w:eastAsia="Calibri" w:hAnsi="Arial" w:cs="Arial"/>
          <w:kern w:val="0"/>
          <w:sz w:val="24"/>
          <w:szCs w:val="24"/>
          <w:lang w:val="en-US"/>
          <w14:ligatures w14:val="none"/>
        </w:rPr>
        <w:t xml:space="preserve">in direct employment </w:t>
      </w:r>
      <w:r w:rsidR="00FF6E2C" w:rsidRPr="00ED7620">
        <w:rPr>
          <w:rFonts w:ascii="Arial" w:eastAsia="Calibri" w:hAnsi="Arial" w:cs="Arial"/>
          <w:kern w:val="0"/>
          <w:sz w:val="24"/>
          <w:szCs w:val="24"/>
          <w:lang w:val="en-US"/>
          <w14:ligatures w14:val="none"/>
        </w:rPr>
        <w:t xml:space="preserve">of an English local authority </w:t>
      </w:r>
      <w:proofErr w:type="spellStart"/>
      <w:r w:rsidR="00FF6E2C" w:rsidRPr="00ED7620">
        <w:rPr>
          <w:rFonts w:ascii="Arial" w:eastAsia="Calibri" w:hAnsi="Arial" w:cs="Arial"/>
          <w:kern w:val="0"/>
          <w:sz w:val="24"/>
          <w:szCs w:val="24"/>
          <w:lang w:val="en-US"/>
          <w14:ligatures w14:val="none"/>
        </w:rPr>
        <w:t>practi</w:t>
      </w:r>
      <w:r w:rsidR="004B09F4" w:rsidRPr="00ED7620">
        <w:rPr>
          <w:rFonts w:ascii="Arial" w:eastAsia="Calibri" w:hAnsi="Arial" w:cs="Arial"/>
          <w:kern w:val="0"/>
          <w:sz w:val="24"/>
          <w:szCs w:val="24"/>
          <w:lang w:val="en-US"/>
          <w14:ligatures w14:val="none"/>
        </w:rPr>
        <w:t>s</w:t>
      </w:r>
      <w:r w:rsidR="00FF6E2C" w:rsidRPr="00ED7620">
        <w:rPr>
          <w:rFonts w:ascii="Arial" w:eastAsia="Calibri" w:hAnsi="Arial" w:cs="Arial"/>
          <w:kern w:val="0"/>
          <w:sz w:val="24"/>
          <w:szCs w:val="24"/>
          <w:lang w:val="en-US"/>
          <w14:ligatures w14:val="none"/>
        </w:rPr>
        <w:t>ing</w:t>
      </w:r>
      <w:proofErr w:type="spellEnd"/>
      <w:r w:rsidR="00FF6E2C" w:rsidRPr="00ED7620">
        <w:rPr>
          <w:rFonts w:ascii="Arial" w:eastAsia="Calibri" w:hAnsi="Arial" w:cs="Arial"/>
          <w:kern w:val="0"/>
          <w:sz w:val="24"/>
          <w:szCs w:val="24"/>
          <w:lang w:val="en-US"/>
          <w14:ligatures w14:val="none"/>
        </w:rPr>
        <w:t xml:space="preserve"> in a child and family </w:t>
      </w:r>
      <w:r w:rsidR="006B19A9" w:rsidRPr="00ED7620">
        <w:rPr>
          <w:rFonts w:ascii="Arial" w:eastAsia="Calibri" w:hAnsi="Arial" w:cs="Arial"/>
          <w:kern w:val="0"/>
          <w:sz w:val="24"/>
          <w:szCs w:val="24"/>
          <w:lang w:val="en-US"/>
          <w14:ligatures w14:val="none"/>
        </w:rPr>
        <w:t xml:space="preserve">context while registered as a social worker with a UK regulator. </w:t>
      </w:r>
    </w:p>
    <w:p w14:paraId="328D0115" w14:textId="009EBA00" w:rsidR="004F05FA" w:rsidRPr="00AC6729" w:rsidRDefault="00AC6729" w:rsidP="00760ED9">
      <w:pPr>
        <w:pStyle w:val="Heading2"/>
        <w:rPr>
          <w:rFonts w:ascii="Arial" w:eastAsia="Calibri" w:hAnsi="Arial" w:cs="Arial"/>
          <w:sz w:val="24"/>
          <w:szCs w:val="24"/>
          <w:lang w:val="en-US"/>
        </w:rPr>
      </w:pPr>
      <w:r w:rsidRPr="00AC6729">
        <w:rPr>
          <w:rFonts w:ascii="Arial" w:eastAsia="Calibri" w:hAnsi="Arial" w:cs="Arial"/>
          <w:sz w:val="24"/>
          <w:szCs w:val="24"/>
          <w:lang w:val="en-US"/>
        </w:rPr>
        <w:t xml:space="preserve">10. </w:t>
      </w:r>
      <w:r w:rsidR="004F05FA" w:rsidRPr="00AC6729">
        <w:rPr>
          <w:rFonts w:ascii="Arial" w:eastAsia="Calibri" w:hAnsi="Arial" w:cs="Arial"/>
          <w:sz w:val="24"/>
          <w:szCs w:val="24"/>
          <w:lang w:val="en-US"/>
        </w:rPr>
        <w:t xml:space="preserve">Six Month ‘Cool-off’ period for transfer of workers: </w:t>
      </w:r>
    </w:p>
    <w:p w14:paraId="666F581F" w14:textId="77777777" w:rsidR="004F05FA" w:rsidRPr="00ED7620" w:rsidRDefault="004F05FA" w:rsidP="004F05FA">
      <w:pPr>
        <w:ind w:firstLine="720"/>
        <w:rPr>
          <w:rFonts w:ascii="Arial" w:eastAsia="Calibri" w:hAnsi="Arial" w:cs="Arial"/>
          <w:kern w:val="0"/>
          <w:sz w:val="24"/>
          <w:szCs w:val="24"/>
          <w:lang w:val="en-US"/>
          <w14:ligatures w14:val="none"/>
        </w:rPr>
      </w:pPr>
      <w:r w:rsidRPr="00ED7620">
        <w:rPr>
          <w:rFonts w:ascii="Arial" w:eastAsia="Calibri" w:hAnsi="Arial" w:cs="Arial"/>
          <w:kern w:val="0"/>
          <w:sz w:val="24"/>
          <w:szCs w:val="24"/>
          <w:lang w:val="en-US"/>
          <w14:ligatures w14:val="none"/>
        </w:rPr>
        <w:t xml:space="preserve">The Local Authorities agree: </w:t>
      </w:r>
    </w:p>
    <w:p w14:paraId="589480C4" w14:textId="77777777" w:rsidR="004F05FA" w:rsidRPr="00ED7620" w:rsidRDefault="004F05FA" w:rsidP="004F05FA">
      <w:pPr>
        <w:numPr>
          <w:ilvl w:val="0"/>
          <w:numId w:val="9"/>
        </w:numPr>
        <w:spacing w:before="119" w:after="119" w:line="360" w:lineRule="auto"/>
        <w:contextualSpacing/>
        <w:rPr>
          <w:rFonts w:ascii="Arial" w:eastAsia="Calibri" w:hAnsi="Arial" w:cs="Arial"/>
          <w:kern w:val="0"/>
          <w:sz w:val="24"/>
          <w:szCs w:val="24"/>
          <w:lang w:val="en-US"/>
          <w14:ligatures w14:val="none"/>
        </w:rPr>
      </w:pPr>
      <w:r w:rsidRPr="00ED7620">
        <w:rPr>
          <w:rFonts w:ascii="Arial" w:eastAsia="Calibri" w:hAnsi="Arial" w:cs="Arial"/>
          <w:kern w:val="0"/>
          <w:sz w:val="24"/>
          <w:szCs w:val="24"/>
          <w:lang w:val="en-US"/>
          <w14:ligatures w14:val="none"/>
        </w:rPr>
        <w:t xml:space="preserve">Not to engage on an agency contract, candidates leaving a permanent contract with another Local Authority in Greater Manchester for a minimum of 6 months after leaving their permanent post. This does not apply </w:t>
      </w:r>
      <w:proofErr w:type="gramStart"/>
      <w:r w:rsidRPr="00ED7620">
        <w:rPr>
          <w:rFonts w:ascii="Arial" w:eastAsia="Calibri" w:hAnsi="Arial" w:cs="Arial"/>
          <w:kern w:val="0"/>
          <w:sz w:val="24"/>
          <w:szCs w:val="24"/>
          <w:lang w:val="en-US"/>
          <w14:ligatures w14:val="none"/>
        </w:rPr>
        <w:t>to:-</w:t>
      </w:r>
      <w:proofErr w:type="gramEnd"/>
    </w:p>
    <w:p w14:paraId="541CC16F" w14:textId="77777777" w:rsidR="004F05FA" w:rsidRPr="00ED7620" w:rsidRDefault="004F05FA" w:rsidP="004F05FA">
      <w:pPr>
        <w:numPr>
          <w:ilvl w:val="2"/>
          <w:numId w:val="9"/>
        </w:numPr>
        <w:spacing w:before="119" w:after="119" w:line="360" w:lineRule="auto"/>
        <w:contextualSpacing/>
        <w:rPr>
          <w:rFonts w:ascii="Arial" w:eastAsia="Calibri" w:hAnsi="Arial" w:cs="Arial"/>
          <w:kern w:val="0"/>
          <w:sz w:val="24"/>
          <w:szCs w:val="24"/>
          <w:lang w:val="en-US"/>
          <w14:ligatures w14:val="none"/>
        </w:rPr>
      </w:pPr>
      <w:r w:rsidRPr="00ED7620">
        <w:rPr>
          <w:rFonts w:ascii="Arial" w:eastAsia="Calibri" w:hAnsi="Arial" w:cs="Arial"/>
          <w:kern w:val="0"/>
          <w:sz w:val="24"/>
          <w:szCs w:val="24"/>
          <w:lang w:val="en-US"/>
          <w14:ligatures w14:val="none"/>
        </w:rPr>
        <w:t xml:space="preserve"> permanent staff moving to a permanent role in another Greater Manchester Local Authority. </w:t>
      </w:r>
    </w:p>
    <w:p w14:paraId="6E359E2E" w14:textId="77777777" w:rsidR="004F05FA" w:rsidRPr="00ED7620" w:rsidRDefault="004F05FA" w:rsidP="004F05FA">
      <w:pPr>
        <w:numPr>
          <w:ilvl w:val="2"/>
          <w:numId w:val="9"/>
        </w:numPr>
        <w:spacing w:before="119" w:after="119" w:line="360" w:lineRule="auto"/>
        <w:contextualSpacing/>
        <w:rPr>
          <w:rFonts w:ascii="Arial" w:eastAsia="Calibri" w:hAnsi="Arial" w:cs="Arial"/>
          <w:kern w:val="0"/>
          <w:sz w:val="24"/>
          <w:szCs w:val="24"/>
          <w:lang w:val="en-US"/>
          <w14:ligatures w14:val="none"/>
        </w:rPr>
      </w:pPr>
      <w:r w:rsidRPr="00ED7620">
        <w:rPr>
          <w:rFonts w:ascii="Arial" w:eastAsia="Calibri" w:hAnsi="Arial" w:cs="Arial"/>
          <w:kern w:val="0"/>
          <w:sz w:val="24"/>
          <w:szCs w:val="24"/>
          <w:lang w:val="en-US"/>
          <w14:ligatures w14:val="none"/>
        </w:rPr>
        <w:t xml:space="preserve">Child and family social workers who are made redundant from a permanent post. </w:t>
      </w:r>
    </w:p>
    <w:p w14:paraId="1A024944" w14:textId="77777777" w:rsidR="004F05FA" w:rsidRPr="00ED7620" w:rsidRDefault="004F05FA" w:rsidP="004F05FA">
      <w:pPr>
        <w:numPr>
          <w:ilvl w:val="2"/>
          <w:numId w:val="9"/>
        </w:numPr>
        <w:spacing w:before="119" w:after="119" w:line="360" w:lineRule="auto"/>
        <w:contextualSpacing/>
        <w:rPr>
          <w:rFonts w:ascii="Arial" w:eastAsia="Calibri" w:hAnsi="Arial" w:cs="Arial"/>
          <w:kern w:val="0"/>
          <w:sz w:val="24"/>
          <w:szCs w:val="24"/>
          <w:lang w:val="en-US"/>
          <w14:ligatures w14:val="none"/>
        </w:rPr>
      </w:pPr>
      <w:r w:rsidRPr="00ED7620">
        <w:rPr>
          <w:rFonts w:ascii="Arial" w:eastAsia="Calibri" w:hAnsi="Arial" w:cs="Arial"/>
          <w:kern w:val="0"/>
          <w:sz w:val="24"/>
          <w:szCs w:val="24"/>
          <w:lang w:val="en-US"/>
          <w14:ligatures w14:val="none"/>
        </w:rPr>
        <w:t>A social worker who is seeking an agency assignment in a different region from their previous employment</w:t>
      </w:r>
    </w:p>
    <w:p w14:paraId="64C18799" w14:textId="77777777" w:rsidR="004F05FA" w:rsidRPr="00ED7620" w:rsidRDefault="004F05FA" w:rsidP="004F05FA">
      <w:pPr>
        <w:numPr>
          <w:ilvl w:val="2"/>
          <w:numId w:val="9"/>
        </w:numPr>
        <w:spacing w:before="119" w:after="119" w:line="360" w:lineRule="auto"/>
        <w:contextualSpacing/>
        <w:rPr>
          <w:rFonts w:ascii="Arial" w:eastAsia="Calibri" w:hAnsi="Arial" w:cs="Arial"/>
          <w:kern w:val="0"/>
          <w:sz w:val="24"/>
          <w:szCs w:val="24"/>
          <w:lang w:val="en-US"/>
          <w14:ligatures w14:val="none"/>
        </w:rPr>
      </w:pPr>
      <w:r w:rsidRPr="00ED7620">
        <w:rPr>
          <w:rFonts w:ascii="Arial" w:eastAsia="Calibri" w:hAnsi="Arial" w:cs="Arial"/>
          <w:kern w:val="0"/>
          <w:sz w:val="24"/>
          <w:szCs w:val="24"/>
          <w:lang w:val="en-US"/>
          <w14:ligatures w14:val="none"/>
        </w:rPr>
        <w:t>A social worker who has left a permanent role during their probationary period</w:t>
      </w:r>
    </w:p>
    <w:p w14:paraId="6F7BE6E0" w14:textId="77777777" w:rsidR="004F05FA" w:rsidRPr="00ED7620" w:rsidRDefault="004F05FA" w:rsidP="004F05FA">
      <w:pPr>
        <w:contextualSpacing/>
        <w:rPr>
          <w:rFonts w:ascii="Arial" w:eastAsia="Calibri" w:hAnsi="Arial" w:cs="Arial"/>
          <w:kern w:val="0"/>
          <w:sz w:val="24"/>
          <w:szCs w:val="24"/>
          <w:lang w:val="en-US"/>
          <w14:ligatures w14:val="none"/>
        </w:rPr>
      </w:pPr>
    </w:p>
    <w:p w14:paraId="7F550799" w14:textId="77777777" w:rsidR="004F05FA" w:rsidRPr="00ED7620" w:rsidRDefault="004F05FA" w:rsidP="00A61262">
      <w:pPr>
        <w:ind w:left="720"/>
        <w:contextualSpacing/>
        <w:rPr>
          <w:rFonts w:ascii="Arial" w:eastAsia="Calibri" w:hAnsi="Arial" w:cs="Arial"/>
          <w:color w:val="FF0000"/>
          <w:kern w:val="0"/>
          <w:sz w:val="24"/>
          <w:szCs w:val="24"/>
          <w:lang w:val="en-US"/>
          <w14:ligatures w14:val="none"/>
        </w:rPr>
      </w:pPr>
      <w:r w:rsidRPr="00ED7620">
        <w:rPr>
          <w:rFonts w:ascii="Arial" w:eastAsia="Calibri" w:hAnsi="Arial" w:cs="Arial"/>
          <w:kern w:val="0"/>
          <w:sz w:val="24"/>
          <w:szCs w:val="24"/>
          <w:lang w:val="en-US"/>
          <w14:ligatures w14:val="none"/>
        </w:rPr>
        <w:t>Local Authorities may also consider exceptional circumstances on a case-by-case basis.</w:t>
      </w:r>
    </w:p>
    <w:p w14:paraId="7C116BE5" w14:textId="77777777" w:rsidR="004F05FA" w:rsidRPr="00ED7620" w:rsidRDefault="004F05FA" w:rsidP="004F05FA">
      <w:pPr>
        <w:contextualSpacing/>
        <w:rPr>
          <w:rFonts w:ascii="Arial" w:eastAsia="Calibri" w:hAnsi="Arial" w:cs="Arial"/>
          <w:kern w:val="0"/>
          <w:sz w:val="24"/>
          <w:szCs w:val="24"/>
          <w:lang w:val="en-US"/>
          <w14:ligatures w14:val="none"/>
        </w:rPr>
      </w:pPr>
    </w:p>
    <w:p w14:paraId="43651F03" w14:textId="190C482E" w:rsidR="004F05FA" w:rsidRPr="00AC6729" w:rsidRDefault="00AC6729" w:rsidP="00760ED9">
      <w:pPr>
        <w:pStyle w:val="Heading2"/>
        <w:rPr>
          <w:rFonts w:ascii="Arial" w:eastAsia="Calibri" w:hAnsi="Arial" w:cs="Arial"/>
          <w:sz w:val="24"/>
          <w:szCs w:val="24"/>
          <w:lang w:val="en-US"/>
        </w:rPr>
      </w:pPr>
      <w:r w:rsidRPr="00AC6729">
        <w:rPr>
          <w:rFonts w:ascii="Arial" w:eastAsia="Calibri" w:hAnsi="Arial" w:cs="Arial"/>
          <w:sz w:val="24"/>
          <w:szCs w:val="24"/>
          <w:lang w:val="en-US"/>
        </w:rPr>
        <w:t xml:space="preserve">11. </w:t>
      </w:r>
      <w:r w:rsidR="004F05FA" w:rsidRPr="00AC6729">
        <w:rPr>
          <w:rFonts w:ascii="Arial" w:eastAsia="Calibri" w:hAnsi="Arial" w:cs="Arial"/>
          <w:sz w:val="24"/>
          <w:szCs w:val="24"/>
          <w:lang w:val="en-US"/>
        </w:rPr>
        <w:t>Notice Periods</w:t>
      </w:r>
    </w:p>
    <w:p w14:paraId="19638272" w14:textId="77777777" w:rsidR="004F05FA" w:rsidRDefault="004F05FA" w:rsidP="004F05FA">
      <w:pPr>
        <w:ind w:left="720"/>
        <w:rPr>
          <w:rFonts w:ascii="Arial" w:eastAsia="Calibri" w:hAnsi="Arial" w:cs="Arial"/>
          <w:kern w:val="0"/>
          <w:sz w:val="24"/>
          <w:szCs w:val="24"/>
          <w:lang w:val="en-US"/>
          <w14:ligatures w14:val="none"/>
        </w:rPr>
      </w:pPr>
      <w:r w:rsidRPr="00ED7620">
        <w:rPr>
          <w:rFonts w:ascii="Arial" w:eastAsia="Calibri" w:hAnsi="Arial" w:cs="Arial"/>
          <w:kern w:val="0"/>
          <w:sz w:val="24"/>
          <w:szCs w:val="24"/>
          <w:lang w:val="en-US"/>
          <w14:ligatures w14:val="none"/>
        </w:rPr>
        <w:t>The Local Authorities should ensure that all agency assignments have a</w:t>
      </w:r>
      <w:r w:rsidRPr="00ED7620">
        <w:rPr>
          <w:rFonts w:ascii="Arial" w:eastAsia="Calibri" w:hAnsi="Arial" w:cs="Arial"/>
          <w:color w:val="FF0000"/>
          <w:kern w:val="0"/>
          <w:sz w:val="24"/>
          <w:szCs w:val="24"/>
          <w:lang w:val="en-US"/>
          <w14:ligatures w14:val="none"/>
        </w:rPr>
        <w:t xml:space="preserve"> </w:t>
      </w:r>
      <w:r w:rsidRPr="00ED7620">
        <w:rPr>
          <w:rFonts w:ascii="Arial" w:eastAsia="Calibri" w:hAnsi="Arial" w:cs="Arial"/>
          <w:kern w:val="0"/>
          <w:sz w:val="24"/>
          <w:szCs w:val="24"/>
          <w:lang w:val="en-US"/>
          <w14:ligatures w14:val="none"/>
        </w:rPr>
        <w:t xml:space="preserve">4 week notice period (or align the length of the assignment notice periods with that of the local authority’s contractual notice period for substantive staff in the same or equivalent job role where that is less than 4 weeks) and commit to adopting a reciprocal arrangement between agency workers and Local Authorities to </w:t>
      </w:r>
      <w:proofErr w:type="spellStart"/>
      <w:r w:rsidRPr="00ED7620">
        <w:rPr>
          <w:rFonts w:ascii="Arial" w:eastAsia="Calibri" w:hAnsi="Arial" w:cs="Arial"/>
          <w:kern w:val="0"/>
          <w:sz w:val="24"/>
          <w:szCs w:val="24"/>
          <w:lang w:val="en-US"/>
          <w14:ligatures w14:val="none"/>
        </w:rPr>
        <w:t>minimise</w:t>
      </w:r>
      <w:proofErr w:type="spellEnd"/>
      <w:r w:rsidRPr="00ED7620">
        <w:rPr>
          <w:rFonts w:ascii="Arial" w:eastAsia="Calibri" w:hAnsi="Arial" w:cs="Arial"/>
          <w:kern w:val="0"/>
          <w:sz w:val="24"/>
          <w:szCs w:val="24"/>
          <w:lang w:val="en-US"/>
          <w14:ligatures w14:val="none"/>
        </w:rPr>
        <w:t xml:space="preserve"> immediate or quick departures and the associated impact on children and the permanent workforce.</w:t>
      </w:r>
    </w:p>
    <w:p w14:paraId="4F4C04A5" w14:textId="77777777" w:rsidR="00A61262" w:rsidRDefault="00A61262" w:rsidP="004F05FA">
      <w:pPr>
        <w:ind w:left="720"/>
        <w:rPr>
          <w:rFonts w:ascii="Arial" w:eastAsia="Calibri" w:hAnsi="Arial" w:cs="Arial"/>
          <w:kern w:val="0"/>
          <w:sz w:val="24"/>
          <w:szCs w:val="24"/>
          <w:lang w:val="en-US"/>
          <w14:ligatures w14:val="none"/>
        </w:rPr>
      </w:pPr>
    </w:p>
    <w:p w14:paraId="6B45FE4E" w14:textId="77777777" w:rsidR="00A61262" w:rsidRPr="00ED7620" w:rsidRDefault="00A61262" w:rsidP="004F05FA">
      <w:pPr>
        <w:ind w:left="720"/>
        <w:rPr>
          <w:rFonts w:ascii="Arial" w:eastAsia="Calibri" w:hAnsi="Arial" w:cs="Arial"/>
          <w:kern w:val="0"/>
          <w:sz w:val="24"/>
          <w:szCs w:val="24"/>
          <w:lang w:val="en-US"/>
          <w14:ligatures w14:val="none"/>
        </w:rPr>
      </w:pPr>
    </w:p>
    <w:p w14:paraId="1990066A" w14:textId="41DB779A" w:rsidR="004F05FA" w:rsidRPr="00AC6729" w:rsidRDefault="00AC6729" w:rsidP="00760ED9">
      <w:pPr>
        <w:pStyle w:val="Heading2"/>
        <w:rPr>
          <w:rFonts w:ascii="Arial" w:eastAsia="Calibri" w:hAnsi="Arial" w:cs="Arial"/>
          <w:sz w:val="24"/>
          <w:szCs w:val="24"/>
          <w:lang w:val="en-US"/>
        </w:rPr>
      </w:pPr>
      <w:r w:rsidRPr="00AC6729">
        <w:rPr>
          <w:rFonts w:ascii="Arial" w:eastAsia="Calibri" w:hAnsi="Arial" w:cs="Arial"/>
          <w:sz w:val="24"/>
          <w:szCs w:val="24"/>
          <w:lang w:val="en-US"/>
        </w:rPr>
        <w:lastRenderedPageBreak/>
        <w:t xml:space="preserve">12. </w:t>
      </w:r>
      <w:r w:rsidR="004F05FA" w:rsidRPr="00AC6729">
        <w:rPr>
          <w:rFonts w:ascii="Arial" w:eastAsia="Calibri" w:hAnsi="Arial" w:cs="Arial"/>
          <w:sz w:val="24"/>
          <w:szCs w:val="24"/>
          <w:lang w:val="en-US"/>
        </w:rPr>
        <w:t>Management of permanent staffing</w:t>
      </w:r>
    </w:p>
    <w:p w14:paraId="4552D06C" w14:textId="77777777" w:rsidR="004F05FA" w:rsidRPr="00ED7620" w:rsidRDefault="004F05FA" w:rsidP="004F05FA">
      <w:pPr>
        <w:ind w:firstLine="720"/>
        <w:rPr>
          <w:rFonts w:ascii="Arial" w:eastAsia="Calibri" w:hAnsi="Arial" w:cs="Arial"/>
          <w:kern w:val="0"/>
          <w:sz w:val="24"/>
          <w:szCs w:val="24"/>
          <w:lang w:val="en-US"/>
          <w14:ligatures w14:val="none"/>
        </w:rPr>
      </w:pPr>
      <w:r w:rsidRPr="00ED7620">
        <w:rPr>
          <w:rFonts w:ascii="Arial" w:eastAsia="Calibri" w:hAnsi="Arial" w:cs="Arial"/>
          <w:kern w:val="0"/>
          <w:sz w:val="24"/>
          <w:szCs w:val="24"/>
          <w:lang w:val="en-US"/>
          <w14:ligatures w14:val="none"/>
        </w:rPr>
        <w:t xml:space="preserve">The LAs agree that they will: </w:t>
      </w:r>
    </w:p>
    <w:p w14:paraId="151296C1" w14:textId="77777777" w:rsidR="004F05FA" w:rsidRPr="00ED7620" w:rsidRDefault="004F05FA" w:rsidP="004F05FA">
      <w:pPr>
        <w:numPr>
          <w:ilvl w:val="0"/>
          <w:numId w:val="8"/>
        </w:numPr>
        <w:spacing w:before="119" w:after="119" w:line="360" w:lineRule="auto"/>
        <w:contextualSpacing/>
        <w:rPr>
          <w:rFonts w:ascii="Arial" w:eastAsia="Calibri" w:hAnsi="Arial" w:cs="Arial"/>
          <w:kern w:val="0"/>
          <w:sz w:val="24"/>
          <w:szCs w:val="24"/>
          <w:lang w:val="en-US"/>
          <w14:ligatures w14:val="none"/>
        </w:rPr>
      </w:pPr>
      <w:r w:rsidRPr="00ED7620">
        <w:rPr>
          <w:rFonts w:ascii="Arial" w:eastAsia="Calibri" w:hAnsi="Arial" w:cs="Arial"/>
          <w:kern w:val="0"/>
          <w:sz w:val="24"/>
          <w:szCs w:val="24"/>
          <w:lang w:val="en-US"/>
          <w14:ligatures w14:val="none"/>
        </w:rPr>
        <w:t xml:space="preserve">Refrain from proactive headhunting of staff from signatory Local Authorities committed to the GM Pledge directly or through third parties, unless for a promotional role. </w:t>
      </w:r>
    </w:p>
    <w:p w14:paraId="052E2396" w14:textId="77777777" w:rsidR="004F05FA" w:rsidRPr="00ED7620" w:rsidRDefault="004F05FA" w:rsidP="004F05FA">
      <w:pPr>
        <w:numPr>
          <w:ilvl w:val="0"/>
          <w:numId w:val="8"/>
        </w:numPr>
        <w:spacing w:before="119" w:after="119" w:line="360" w:lineRule="auto"/>
        <w:contextualSpacing/>
        <w:rPr>
          <w:rFonts w:ascii="Arial" w:eastAsia="Calibri" w:hAnsi="Arial" w:cs="Arial"/>
          <w:kern w:val="0"/>
          <w:sz w:val="24"/>
          <w:szCs w:val="24"/>
          <w:lang w:val="en-US"/>
          <w14:ligatures w14:val="none"/>
        </w:rPr>
      </w:pPr>
      <w:r w:rsidRPr="00ED7620">
        <w:rPr>
          <w:rFonts w:ascii="Arial" w:eastAsia="Calibri" w:hAnsi="Arial" w:cs="Arial"/>
          <w:kern w:val="0"/>
          <w:sz w:val="24"/>
          <w:szCs w:val="24"/>
          <w:lang w:val="en-US"/>
          <w14:ligatures w14:val="none"/>
        </w:rPr>
        <w:t>Engage in opportunities to work more effectively with the agency supply chain to better enable their support of permanent recruitment activities across the region.</w:t>
      </w:r>
    </w:p>
    <w:p w14:paraId="5617F12E" w14:textId="77777777" w:rsidR="004F05FA" w:rsidRPr="00ED7620" w:rsidRDefault="004F05FA" w:rsidP="004F05FA">
      <w:pPr>
        <w:numPr>
          <w:ilvl w:val="0"/>
          <w:numId w:val="8"/>
        </w:numPr>
        <w:spacing w:before="119" w:after="119" w:line="360" w:lineRule="auto"/>
        <w:contextualSpacing/>
        <w:rPr>
          <w:rFonts w:ascii="Arial" w:eastAsia="Calibri" w:hAnsi="Arial" w:cs="Arial"/>
          <w:color w:val="000000"/>
          <w:kern w:val="0"/>
          <w:sz w:val="24"/>
          <w:szCs w:val="24"/>
          <w:lang w:val="en-US"/>
          <w14:ligatures w14:val="none"/>
        </w:rPr>
      </w:pPr>
      <w:r w:rsidRPr="00ED7620">
        <w:rPr>
          <w:rFonts w:ascii="Arial" w:eastAsia="Calibri" w:hAnsi="Arial" w:cs="Arial"/>
          <w:color w:val="000000"/>
          <w:kern w:val="0"/>
          <w:sz w:val="24"/>
          <w:szCs w:val="24"/>
          <w:lang w:val="en-US"/>
          <w14:ligatures w14:val="none"/>
        </w:rPr>
        <w:t xml:space="preserve">Provide mutual support and assistance to other signatories to the pledge wherever possible, </w:t>
      </w:r>
      <w:proofErr w:type="spellStart"/>
      <w:r w:rsidRPr="00ED7620">
        <w:rPr>
          <w:rFonts w:ascii="Arial" w:eastAsia="Calibri" w:hAnsi="Arial" w:cs="Arial"/>
          <w:color w:val="000000"/>
          <w:kern w:val="0"/>
          <w:sz w:val="24"/>
          <w:szCs w:val="24"/>
          <w:lang w:val="en-US"/>
          <w14:ligatures w14:val="none"/>
        </w:rPr>
        <w:t>recognising</w:t>
      </w:r>
      <w:proofErr w:type="spellEnd"/>
      <w:r w:rsidRPr="00ED7620">
        <w:rPr>
          <w:rFonts w:ascii="Arial" w:eastAsia="Calibri" w:hAnsi="Arial" w:cs="Arial"/>
          <w:color w:val="000000"/>
          <w:kern w:val="0"/>
          <w:sz w:val="24"/>
          <w:szCs w:val="24"/>
          <w:lang w:val="en-US"/>
          <w14:ligatures w14:val="none"/>
        </w:rPr>
        <w:t xml:space="preserve"> that the needs and challenges of each Local Authority will differ but our collective commitment to Greater Manchester children is consistent. The support could, for example, involve the short-term provision of staff or leadership advice and support in specific areas. </w:t>
      </w:r>
    </w:p>
    <w:p w14:paraId="767FD7C5" w14:textId="7DF26ECA" w:rsidR="004F05FA" w:rsidRPr="00AC6729" w:rsidRDefault="004F05FA" w:rsidP="00602009">
      <w:pPr>
        <w:pStyle w:val="Heading2"/>
        <w:rPr>
          <w:rFonts w:ascii="Arial" w:eastAsia="Calibri" w:hAnsi="Arial" w:cs="Arial"/>
          <w:sz w:val="24"/>
          <w:szCs w:val="24"/>
          <w:lang w:val="en-US"/>
        </w:rPr>
      </w:pPr>
      <w:r w:rsidRPr="00AC6729">
        <w:rPr>
          <w:rFonts w:ascii="Arial" w:eastAsia="Calibri" w:hAnsi="Arial" w:cs="Arial"/>
          <w:sz w:val="24"/>
          <w:szCs w:val="24"/>
          <w:lang w:val="en-US"/>
        </w:rPr>
        <w:t>1</w:t>
      </w:r>
      <w:r w:rsidR="00AC6729">
        <w:rPr>
          <w:rFonts w:ascii="Arial" w:eastAsia="Calibri" w:hAnsi="Arial" w:cs="Arial"/>
          <w:sz w:val="24"/>
          <w:szCs w:val="24"/>
          <w:lang w:val="en-US"/>
        </w:rPr>
        <w:t>3</w:t>
      </w:r>
      <w:r w:rsidRPr="00AC6729">
        <w:rPr>
          <w:rFonts w:ascii="Arial" w:eastAsia="Calibri" w:hAnsi="Arial" w:cs="Arial"/>
          <w:sz w:val="24"/>
          <w:szCs w:val="24"/>
          <w:lang w:val="en-US"/>
        </w:rPr>
        <w:t xml:space="preserve">. Data Collection </w:t>
      </w:r>
    </w:p>
    <w:p w14:paraId="2185857F" w14:textId="77777777" w:rsidR="004F05FA" w:rsidRPr="00ED7620" w:rsidRDefault="004F05FA" w:rsidP="00A61262">
      <w:pPr>
        <w:ind w:left="720"/>
        <w:rPr>
          <w:rFonts w:ascii="Arial" w:eastAsia="Calibri" w:hAnsi="Arial" w:cs="Arial"/>
          <w:kern w:val="0"/>
          <w:sz w:val="24"/>
          <w:szCs w:val="24"/>
          <w:lang w:val="en-US"/>
          <w14:ligatures w14:val="none"/>
        </w:rPr>
      </w:pPr>
      <w:r w:rsidRPr="00ED7620">
        <w:rPr>
          <w:rFonts w:ascii="Arial" w:eastAsia="Calibri" w:hAnsi="Arial" w:cs="Arial"/>
          <w:kern w:val="0"/>
          <w:sz w:val="24"/>
          <w:szCs w:val="24"/>
          <w:lang w:val="en-US"/>
          <w14:ligatures w14:val="none"/>
        </w:rPr>
        <w:t>The data collection section of the guidance is a legal requirement for local authorities.</w:t>
      </w:r>
    </w:p>
    <w:p w14:paraId="1A5F2664" w14:textId="77777777" w:rsidR="004F05FA" w:rsidRPr="00ED7620" w:rsidRDefault="004F05FA" w:rsidP="004F05FA">
      <w:pPr>
        <w:ind w:firstLine="720"/>
        <w:rPr>
          <w:rFonts w:ascii="Arial" w:eastAsia="Calibri" w:hAnsi="Arial" w:cs="Arial"/>
          <w:kern w:val="0"/>
          <w:sz w:val="24"/>
          <w:szCs w:val="24"/>
          <w:lang w:val="en-US"/>
          <w14:ligatures w14:val="none"/>
        </w:rPr>
      </w:pPr>
      <w:r w:rsidRPr="00ED7620">
        <w:rPr>
          <w:rFonts w:ascii="Arial" w:eastAsia="Calibri" w:hAnsi="Arial" w:cs="Arial"/>
          <w:kern w:val="0"/>
          <w:sz w:val="24"/>
          <w:szCs w:val="24"/>
          <w:lang w:val="en-US"/>
          <w14:ligatures w14:val="none"/>
        </w:rPr>
        <w:t>Local Authorities must:</w:t>
      </w:r>
    </w:p>
    <w:p w14:paraId="4F508838" w14:textId="77777777" w:rsidR="004F05FA" w:rsidRPr="00ED7620" w:rsidRDefault="004F05FA" w:rsidP="004F05FA">
      <w:pPr>
        <w:numPr>
          <w:ilvl w:val="0"/>
          <w:numId w:val="17"/>
        </w:numPr>
        <w:spacing w:before="119" w:after="119" w:line="360" w:lineRule="auto"/>
        <w:contextualSpacing/>
        <w:rPr>
          <w:rFonts w:ascii="Arial" w:eastAsia="Calibri" w:hAnsi="Arial" w:cs="Arial"/>
          <w:kern w:val="0"/>
          <w:sz w:val="24"/>
          <w:szCs w:val="24"/>
          <w:lang w:val="en-US"/>
          <w14:ligatures w14:val="none"/>
        </w:rPr>
      </w:pPr>
      <w:r w:rsidRPr="00ED7620">
        <w:rPr>
          <w:rFonts w:ascii="Arial" w:eastAsia="Calibri" w:hAnsi="Arial" w:cs="Arial"/>
          <w:kern w:val="0"/>
          <w:sz w:val="24"/>
          <w:szCs w:val="24"/>
          <w:lang w:val="en-US"/>
          <w14:ligatures w14:val="none"/>
        </w:rPr>
        <w:t>Provide the Department for Education with quarterly data on the use and cost of agency child and family social workers, including where supplied via a project team or packaged model</w:t>
      </w:r>
    </w:p>
    <w:p w14:paraId="5F86A788" w14:textId="77777777" w:rsidR="004F05FA" w:rsidRPr="00ED7620" w:rsidRDefault="004F05FA" w:rsidP="004F05FA">
      <w:pPr>
        <w:ind w:firstLine="720"/>
        <w:rPr>
          <w:rFonts w:ascii="Arial" w:eastAsia="Calibri" w:hAnsi="Arial" w:cs="Arial"/>
          <w:kern w:val="0"/>
          <w:sz w:val="24"/>
          <w:szCs w:val="24"/>
          <w:lang w:val="en-US"/>
          <w14:ligatures w14:val="none"/>
        </w:rPr>
      </w:pPr>
      <w:r w:rsidRPr="00ED7620">
        <w:rPr>
          <w:rFonts w:ascii="Arial" w:eastAsia="Calibri" w:hAnsi="Arial" w:cs="Arial"/>
          <w:kern w:val="0"/>
          <w:sz w:val="24"/>
          <w:szCs w:val="24"/>
          <w:lang w:val="en-US"/>
          <w14:ligatures w14:val="none"/>
        </w:rPr>
        <w:t xml:space="preserve">LAs agree that they will also: </w:t>
      </w:r>
    </w:p>
    <w:p w14:paraId="4BD5E86B" w14:textId="77777777" w:rsidR="004F05FA" w:rsidRPr="00ED7620" w:rsidRDefault="004F05FA" w:rsidP="004F05FA">
      <w:pPr>
        <w:numPr>
          <w:ilvl w:val="0"/>
          <w:numId w:val="7"/>
        </w:numPr>
        <w:spacing w:before="119" w:after="119" w:line="360" w:lineRule="auto"/>
        <w:contextualSpacing/>
        <w:rPr>
          <w:rFonts w:ascii="Arial" w:eastAsia="Calibri" w:hAnsi="Arial" w:cs="Arial"/>
          <w:kern w:val="0"/>
          <w:sz w:val="24"/>
          <w:szCs w:val="24"/>
          <w:lang w:val="en-US"/>
          <w14:ligatures w14:val="none"/>
        </w:rPr>
      </w:pPr>
      <w:r w:rsidRPr="00ED7620">
        <w:rPr>
          <w:rFonts w:ascii="Arial" w:eastAsia="Calibri" w:hAnsi="Arial" w:cs="Arial"/>
          <w:kern w:val="0"/>
          <w:sz w:val="24"/>
          <w:szCs w:val="24"/>
          <w:lang w:val="en-US"/>
          <w14:ligatures w14:val="none"/>
        </w:rPr>
        <w:t xml:space="preserve">Participate in surveys and data gathering by providing a timely, accurate and comprehensive response to requests so that accurate and reliable information is available to all signatories. </w:t>
      </w:r>
    </w:p>
    <w:p w14:paraId="68422CCE" w14:textId="55BEF715" w:rsidR="004F05FA" w:rsidRPr="00ED7620" w:rsidRDefault="004F05FA" w:rsidP="004F05FA">
      <w:pPr>
        <w:numPr>
          <w:ilvl w:val="0"/>
          <w:numId w:val="7"/>
        </w:numPr>
        <w:spacing w:before="119" w:after="119" w:line="360" w:lineRule="auto"/>
        <w:contextualSpacing/>
        <w:rPr>
          <w:rFonts w:ascii="Arial" w:eastAsia="Calibri" w:hAnsi="Arial" w:cs="Arial"/>
          <w:kern w:val="0"/>
          <w:sz w:val="24"/>
          <w:szCs w:val="24"/>
          <w:lang w:val="en-US"/>
          <w14:ligatures w14:val="none"/>
        </w:rPr>
      </w:pPr>
      <w:r w:rsidRPr="00ED7620">
        <w:rPr>
          <w:rFonts w:ascii="Arial" w:eastAsia="Calibri" w:hAnsi="Arial" w:cs="Arial"/>
          <w:kern w:val="0"/>
          <w:sz w:val="24"/>
          <w:szCs w:val="24"/>
          <w:lang w:val="en-US"/>
          <w14:ligatures w14:val="none"/>
        </w:rPr>
        <w:t>Provide accurate and complete data to</w:t>
      </w:r>
      <w:r w:rsidR="007444F3" w:rsidRPr="00ED7620">
        <w:rPr>
          <w:rFonts w:ascii="Arial" w:eastAsia="Calibri" w:hAnsi="Arial" w:cs="Arial"/>
          <w:kern w:val="0"/>
          <w:sz w:val="24"/>
          <w:szCs w:val="24"/>
          <w:lang w:val="en-US"/>
          <w14:ligatures w14:val="none"/>
        </w:rPr>
        <w:t xml:space="preserve"> GMCA and </w:t>
      </w:r>
      <w:r w:rsidR="00064700" w:rsidRPr="00ED7620">
        <w:rPr>
          <w:rFonts w:ascii="Arial" w:eastAsia="Calibri" w:hAnsi="Arial" w:cs="Arial"/>
          <w:kern w:val="0"/>
          <w:sz w:val="24"/>
          <w:szCs w:val="24"/>
          <w:lang w:val="en-US"/>
          <w14:ligatures w14:val="none"/>
        </w:rPr>
        <w:t xml:space="preserve">the DfE </w:t>
      </w:r>
      <w:r w:rsidRPr="00ED7620">
        <w:rPr>
          <w:rFonts w:ascii="Arial" w:eastAsia="Calibri" w:hAnsi="Arial" w:cs="Arial"/>
          <w:kern w:val="0"/>
          <w:sz w:val="24"/>
          <w:szCs w:val="24"/>
          <w:lang w:val="en-US"/>
          <w14:ligatures w14:val="none"/>
        </w:rPr>
        <w:t xml:space="preserve">on a quarterly basis (working with Reed and in collaboration with other agencies where applicable). This information will be </w:t>
      </w:r>
      <w:proofErr w:type="spellStart"/>
      <w:r w:rsidRPr="00ED7620">
        <w:rPr>
          <w:rFonts w:ascii="Arial" w:eastAsia="Calibri" w:hAnsi="Arial" w:cs="Arial"/>
          <w:kern w:val="0"/>
          <w:sz w:val="24"/>
          <w:szCs w:val="24"/>
          <w:lang w:val="en-US"/>
          <w14:ligatures w14:val="none"/>
        </w:rPr>
        <w:t>anonymised</w:t>
      </w:r>
      <w:proofErr w:type="spellEnd"/>
      <w:r w:rsidRPr="00ED7620">
        <w:rPr>
          <w:rFonts w:ascii="Arial" w:eastAsia="Calibri" w:hAnsi="Arial" w:cs="Arial"/>
          <w:kern w:val="0"/>
          <w:sz w:val="24"/>
          <w:szCs w:val="24"/>
          <w:lang w:val="en-US"/>
          <w14:ligatures w14:val="none"/>
        </w:rPr>
        <w:t>.</w:t>
      </w:r>
    </w:p>
    <w:p w14:paraId="4DBDD62B" w14:textId="77777777" w:rsidR="004F05FA" w:rsidRPr="00ED7620" w:rsidRDefault="004F05FA" w:rsidP="004F05FA">
      <w:pPr>
        <w:rPr>
          <w:rFonts w:ascii="Arial" w:eastAsia="Calibri" w:hAnsi="Arial" w:cs="Arial"/>
          <w:kern w:val="0"/>
          <w:sz w:val="24"/>
          <w:szCs w:val="24"/>
          <w:lang w:val="en-US"/>
          <w14:ligatures w14:val="none"/>
        </w:rPr>
      </w:pPr>
    </w:p>
    <w:p w14:paraId="06CE08B7" w14:textId="77777777" w:rsidR="004F05FA" w:rsidRPr="00ED7620" w:rsidRDefault="004F05FA" w:rsidP="004F05FA">
      <w:pPr>
        <w:ind w:left="360"/>
        <w:rPr>
          <w:rFonts w:ascii="Arial" w:eastAsia="Calibri" w:hAnsi="Arial" w:cs="Arial"/>
          <w:kern w:val="0"/>
          <w:sz w:val="24"/>
          <w:szCs w:val="24"/>
          <w:lang w:val="en-US"/>
          <w14:ligatures w14:val="none"/>
        </w:rPr>
      </w:pPr>
      <w:r w:rsidRPr="00ED7620">
        <w:rPr>
          <w:rFonts w:ascii="Arial" w:eastAsia="Calibri" w:hAnsi="Arial" w:cs="Arial"/>
          <w:kern w:val="0"/>
          <w:sz w:val="24"/>
          <w:szCs w:val="24"/>
          <w:lang w:val="en-US"/>
          <w14:ligatures w14:val="none"/>
        </w:rPr>
        <w:t>The parties to the GM Pledge will adhere to the following principles and practices and will comply with the UK General Data Protection Regulations, the Data Protection Act 2018 and all applicable law about the processing of personal data and privacy:</w:t>
      </w:r>
    </w:p>
    <w:p w14:paraId="293106D6" w14:textId="77777777" w:rsidR="004F05FA" w:rsidRPr="00ED7620" w:rsidRDefault="004F05FA" w:rsidP="004F05FA">
      <w:pPr>
        <w:numPr>
          <w:ilvl w:val="0"/>
          <w:numId w:val="14"/>
        </w:numPr>
        <w:spacing w:before="119" w:after="119" w:line="360" w:lineRule="auto"/>
        <w:contextualSpacing/>
        <w:rPr>
          <w:rFonts w:ascii="Arial" w:eastAsia="Calibri" w:hAnsi="Arial" w:cs="Arial"/>
          <w:kern w:val="0"/>
          <w:sz w:val="24"/>
          <w:szCs w:val="24"/>
          <w:lang w:val="en-US"/>
          <w14:ligatures w14:val="none"/>
        </w:rPr>
      </w:pPr>
      <w:r w:rsidRPr="00ED7620">
        <w:rPr>
          <w:rFonts w:ascii="Arial" w:eastAsia="Calibri" w:hAnsi="Arial" w:cs="Arial"/>
          <w:kern w:val="0"/>
          <w:sz w:val="24"/>
          <w:szCs w:val="24"/>
          <w:lang w:val="en-US"/>
          <w14:ligatures w14:val="none"/>
        </w:rPr>
        <w:lastRenderedPageBreak/>
        <w:t xml:space="preserve">Where it is necessary for a party to share personal data that cannot be truly </w:t>
      </w:r>
      <w:proofErr w:type="spellStart"/>
      <w:r w:rsidRPr="00ED7620">
        <w:rPr>
          <w:rFonts w:ascii="Arial" w:eastAsia="Calibri" w:hAnsi="Arial" w:cs="Arial"/>
          <w:kern w:val="0"/>
          <w:sz w:val="24"/>
          <w:szCs w:val="24"/>
          <w:lang w:val="en-US"/>
          <w14:ligatures w14:val="none"/>
        </w:rPr>
        <w:t>anonymised</w:t>
      </w:r>
      <w:proofErr w:type="spellEnd"/>
      <w:r w:rsidRPr="00ED7620">
        <w:rPr>
          <w:rFonts w:ascii="Arial" w:eastAsia="Calibri" w:hAnsi="Arial" w:cs="Arial"/>
          <w:kern w:val="0"/>
          <w:sz w:val="24"/>
          <w:szCs w:val="24"/>
          <w:lang w:val="en-US"/>
          <w14:ligatures w14:val="none"/>
        </w:rPr>
        <w:t>, then they shall only share personal data or confidential information/data where an appropriate lawful basis has been established in accordance with data protection legislation</w:t>
      </w:r>
    </w:p>
    <w:p w14:paraId="58DFF59D" w14:textId="77777777" w:rsidR="004F05FA" w:rsidRPr="00ED7620" w:rsidRDefault="004F05FA" w:rsidP="004F05FA">
      <w:pPr>
        <w:numPr>
          <w:ilvl w:val="0"/>
          <w:numId w:val="14"/>
        </w:numPr>
        <w:spacing w:before="119" w:after="119" w:line="360" w:lineRule="auto"/>
        <w:contextualSpacing/>
        <w:rPr>
          <w:rFonts w:ascii="Arial" w:eastAsia="Calibri" w:hAnsi="Arial" w:cs="Arial"/>
          <w:kern w:val="0"/>
          <w:sz w:val="24"/>
          <w:szCs w:val="24"/>
          <w:lang w:val="en-US"/>
          <w14:ligatures w14:val="none"/>
        </w:rPr>
      </w:pPr>
      <w:r w:rsidRPr="00ED7620">
        <w:rPr>
          <w:rFonts w:ascii="Arial" w:eastAsia="Calibri" w:hAnsi="Arial" w:cs="Arial"/>
          <w:kern w:val="0"/>
          <w:sz w:val="24"/>
          <w:szCs w:val="24"/>
          <w:lang w:val="en-US"/>
          <w14:ligatures w14:val="none"/>
        </w:rPr>
        <w:t>They will process all personal data fairly and lawfully for specified and lawful purposes</w:t>
      </w:r>
    </w:p>
    <w:p w14:paraId="22DE78E1" w14:textId="77777777" w:rsidR="004F05FA" w:rsidRPr="00ED7620" w:rsidRDefault="004F05FA" w:rsidP="004F05FA">
      <w:pPr>
        <w:numPr>
          <w:ilvl w:val="0"/>
          <w:numId w:val="14"/>
        </w:numPr>
        <w:spacing w:before="119" w:after="119" w:line="360" w:lineRule="auto"/>
        <w:contextualSpacing/>
        <w:rPr>
          <w:rFonts w:ascii="Arial" w:eastAsia="Calibri" w:hAnsi="Arial" w:cs="Arial"/>
          <w:kern w:val="0"/>
          <w:sz w:val="24"/>
          <w:szCs w:val="24"/>
          <w:lang w:val="en-US"/>
          <w14:ligatures w14:val="none"/>
        </w:rPr>
      </w:pPr>
      <w:r w:rsidRPr="00ED7620">
        <w:rPr>
          <w:rFonts w:ascii="Arial" w:eastAsia="Calibri" w:hAnsi="Arial" w:cs="Arial"/>
          <w:kern w:val="0"/>
          <w:sz w:val="24"/>
          <w:szCs w:val="24"/>
          <w:lang w:val="en-US"/>
          <w14:ligatures w14:val="none"/>
        </w:rPr>
        <w:t xml:space="preserve">They will </w:t>
      </w:r>
      <w:proofErr w:type="spellStart"/>
      <w:r w:rsidRPr="00ED7620">
        <w:rPr>
          <w:rFonts w:ascii="Arial" w:eastAsia="Calibri" w:hAnsi="Arial" w:cs="Arial"/>
          <w:kern w:val="0"/>
          <w:sz w:val="24"/>
          <w:szCs w:val="24"/>
          <w:lang w:val="en-US"/>
          <w14:ligatures w14:val="none"/>
        </w:rPr>
        <w:t>endeavour</w:t>
      </w:r>
      <w:proofErr w:type="spellEnd"/>
      <w:r w:rsidRPr="00ED7620">
        <w:rPr>
          <w:rFonts w:ascii="Arial" w:eastAsia="Calibri" w:hAnsi="Arial" w:cs="Arial"/>
          <w:kern w:val="0"/>
          <w:sz w:val="24"/>
          <w:szCs w:val="24"/>
          <w:lang w:val="en-US"/>
          <w14:ligatures w14:val="none"/>
        </w:rPr>
        <w:t xml:space="preserve"> to hold relevant and accurate data, and where practical, they shall keep it up to date</w:t>
      </w:r>
    </w:p>
    <w:p w14:paraId="4BD01858" w14:textId="77777777" w:rsidR="004F05FA" w:rsidRPr="00ED7620" w:rsidRDefault="004F05FA" w:rsidP="004F05FA">
      <w:pPr>
        <w:numPr>
          <w:ilvl w:val="0"/>
          <w:numId w:val="14"/>
        </w:numPr>
        <w:spacing w:before="119" w:after="119" w:line="360" w:lineRule="auto"/>
        <w:contextualSpacing/>
        <w:rPr>
          <w:rFonts w:ascii="Arial" w:eastAsia="Calibri" w:hAnsi="Arial" w:cs="Arial"/>
          <w:kern w:val="0"/>
          <w:sz w:val="24"/>
          <w:szCs w:val="24"/>
          <w:lang w:val="en-US"/>
          <w14:ligatures w14:val="none"/>
        </w:rPr>
      </w:pPr>
      <w:r w:rsidRPr="00ED7620">
        <w:rPr>
          <w:rFonts w:ascii="Arial" w:eastAsia="Calibri" w:hAnsi="Arial" w:cs="Arial"/>
          <w:kern w:val="0"/>
          <w:sz w:val="24"/>
          <w:szCs w:val="24"/>
          <w:lang w:val="en-US"/>
          <w14:ligatures w14:val="none"/>
        </w:rPr>
        <w:t>They shall not keep personal data for longer than is necessary and shall securely delete the data when no longer required</w:t>
      </w:r>
    </w:p>
    <w:p w14:paraId="0942C230" w14:textId="77777777" w:rsidR="004F05FA" w:rsidRPr="00ED7620" w:rsidRDefault="004F05FA" w:rsidP="004F05FA">
      <w:pPr>
        <w:numPr>
          <w:ilvl w:val="0"/>
          <w:numId w:val="14"/>
        </w:numPr>
        <w:spacing w:before="119" w:after="119" w:line="360" w:lineRule="auto"/>
        <w:contextualSpacing/>
        <w:rPr>
          <w:rFonts w:ascii="Arial" w:eastAsia="Calibri" w:hAnsi="Arial" w:cs="Arial"/>
          <w:kern w:val="0"/>
          <w:sz w:val="24"/>
          <w:szCs w:val="24"/>
          <w:lang w:val="en-US"/>
          <w14:ligatures w14:val="none"/>
        </w:rPr>
      </w:pPr>
      <w:r w:rsidRPr="00ED7620">
        <w:rPr>
          <w:rFonts w:ascii="Arial" w:eastAsia="Calibri" w:hAnsi="Arial" w:cs="Arial"/>
          <w:kern w:val="0"/>
          <w:sz w:val="24"/>
          <w:szCs w:val="24"/>
          <w:lang w:val="en-US"/>
          <w14:ligatures w14:val="none"/>
        </w:rPr>
        <w:t>They shall keep all data secure</w:t>
      </w:r>
    </w:p>
    <w:p w14:paraId="61205339" w14:textId="77777777" w:rsidR="004F05FA" w:rsidRPr="00ED7620" w:rsidRDefault="004F05FA" w:rsidP="004F05FA">
      <w:pPr>
        <w:numPr>
          <w:ilvl w:val="0"/>
          <w:numId w:val="14"/>
        </w:numPr>
        <w:spacing w:before="119" w:after="119" w:line="360" w:lineRule="auto"/>
        <w:contextualSpacing/>
        <w:rPr>
          <w:rFonts w:ascii="Arial" w:eastAsia="Calibri" w:hAnsi="Arial" w:cs="Arial"/>
          <w:kern w:val="0"/>
          <w:sz w:val="24"/>
          <w:szCs w:val="24"/>
          <w:lang w:val="en-US"/>
          <w14:ligatures w14:val="none"/>
        </w:rPr>
      </w:pPr>
      <w:r w:rsidRPr="00ED7620">
        <w:rPr>
          <w:rFonts w:ascii="Arial" w:eastAsia="Calibri" w:hAnsi="Arial" w:cs="Arial"/>
          <w:kern w:val="0"/>
          <w:sz w:val="24"/>
          <w:szCs w:val="24"/>
          <w:lang w:val="en-US"/>
          <w14:ligatures w14:val="none"/>
        </w:rPr>
        <w:t xml:space="preserve">They shall </w:t>
      </w:r>
      <w:proofErr w:type="spellStart"/>
      <w:r w:rsidRPr="00ED7620">
        <w:rPr>
          <w:rFonts w:ascii="Arial" w:eastAsia="Calibri" w:hAnsi="Arial" w:cs="Arial"/>
          <w:kern w:val="0"/>
          <w:sz w:val="24"/>
          <w:szCs w:val="24"/>
          <w:lang w:val="en-US"/>
          <w14:ligatures w14:val="none"/>
        </w:rPr>
        <w:t>endeavour</w:t>
      </w:r>
      <w:proofErr w:type="spellEnd"/>
      <w:r w:rsidRPr="00ED7620">
        <w:rPr>
          <w:rFonts w:ascii="Arial" w:eastAsia="Calibri" w:hAnsi="Arial" w:cs="Arial"/>
          <w:kern w:val="0"/>
          <w:sz w:val="24"/>
          <w:szCs w:val="24"/>
          <w:lang w:val="en-US"/>
          <w14:ligatures w14:val="none"/>
        </w:rPr>
        <w:t xml:space="preserve"> to ensure that personal data is not transferred to countries outside of the European Economic Area (EEA) without adequate protection</w:t>
      </w:r>
    </w:p>
    <w:p w14:paraId="30259CDB" w14:textId="77777777" w:rsidR="004F05FA" w:rsidRPr="00ED7620" w:rsidRDefault="004F05FA" w:rsidP="004F05FA">
      <w:pPr>
        <w:numPr>
          <w:ilvl w:val="0"/>
          <w:numId w:val="14"/>
        </w:numPr>
        <w:spacing w:before="119" w:after="119" w:line="360" w:lineRule="auto"/>
        <w:contextualSpacing/>
        <w:rPr>
          <w:rFonts w:ascii="Arial" w:eastAsia="Calibri" w:hAnsi="Arial" w:cs="Arial"/>
          <w:kern w:val="0"/>
          <w:sz w:val="24"/>
          <w:szCs w:val="24"/>
          <w:lang w:val="en-US"/>
          <w14:ligatures w14:val="none"/>
        </w:rPr>
      </w:pPr>
      <w:r w:rsidRPr="00ED7620">
        <w:rPr>
          <w:rFonts w:ascii="Arial" w:eastAsia="Calibri" w:hAnsi="Arial" w:cs="Arial"/>
          <w:kern w:val="0"/>
          <w:sz w:val="24"/>
          <w:szCs w:val="24"/>
          <w:lang w:val="en-US"/>
          <w14:ligatures w14:val="none"/>
        </w:rPr>
        <w:t>They shall obtain evidence that any third party involved in data processing is compliant with data protection legislation</w:t>
      </w:r>
    </w:p>
    <w:p w14:paraId="2DFF4DA9" w14:textId="77777777" w:rsidR="004F05FA" w:rsidRPr="00ED7620" w:rsidRDefault="004F05FA" w:rsidP="004F05FA">
      <w:pPr>
        <w:numPr>
          <w:ilvl w:val="0"/>
          <w:numId w:val="14"/>
        </w:numPr>
        <w:spacing w:before="119" w:after="119" w:line="360" w:lineRule="auto"/>
        <w:contextualSpacing/>
        <w:rPr>
          <w:rFonts w:ascii="Arial" w:eastAsia="Calibri" w:hAnsi="Arial" w:cs="Arial"/>
          <w:kern w:val="0"/>
          <w:sz w:val="24"/>
          <w:szCs w:val="24"/>
          <w:lang w:val="en-US"/>
          <w14:ligatures w14:val="none"/>
        </w:rPr>
      </w:pPr>
      <w:r w:rsidRPr="00ED7620">
        <w:rPr>
          <w:rFonts w:ascii="Arial" w:eastAsia="Calibri" w:hAnsi="Arial" w:cs="Arial"/>
          <w:kern w:val="0"/>
          <w:sz w:val="24"/>
          <w:szCs w:val="24"/>
          <w:lang w:val="en-US"/>
          <w14:ligatures w14:val="none"/>
        </w:rPr>
        <w:t>They shall regularly review associated internal controls and processes, how data is captured, kept safe and stored; and</w:t>
      </w:r>
    </w:p>
    <w:p w14:paraId="3653068A" w14:textId="77777777" w:rsidR="004F05FA" w:rsidRPr="00ED7620" w:rsidRDefault="004F05FA" w:rsidP="004F05FA">
      <w:pPr>
        <w:numPr>
          <w:ilvl w:val="0"/>
          <w:numId w:val="14"/>
        </w:numPr>
        <w:spacing w:before="119" w:after="119" w:line="360" w:lineRule="auto"/>
        <w:contextualSpacing/>
        <w:rPr>
          <w:rFonts w:ascii="Arial" w:eastAsia="Calibri" w:hAnsi="Arial" w:cs="Arial"/>
          <w:kern w:val="0"/>
          <w:sz w:val="24"/>
          <w:szCs w:val="24"/>
          <w:lang w:val="en-US"/>
          <w14:ligatures w14:val="none"/>
        </w:rPr>
      </w:pPr>
      <w:r w:rsidRPr="00ED7620">
        <w:rPr>
          <w:rFonts w:ascii="Arial" w:eastAsia="Calibri" w:hAnsi="Arial" w:cs="Arial"/>
          <w:kern w:val="0"/>
          <w:sz w:val="24"/>
          <w:szCs w:val="24"/>
          <w:lang w:val="en-US"/>
          <w14:ligatures w14:val="none"/>
        </w:rPr>
        <w:t>They shall periodically review their Privacy Policy and ensure full accessibility to all.</w:t>
      </w:r>
    </w:p>
    <w:p w14:paraId="2A2EB42D" w14:textId="77777777" w:rsidR="004F05FA" w:rsidRPr="00ED7620" w:rsidRDefault="004F05FA" w:rsidP="004F05FA">
      <w:pPr>
        <w:ind w:left="1080"/>
        <w:contextualSpacing/>
        <w:rPr>
          <w:rFonts w:ascii="Arial" w:eastAsia="Calibri" w:hAnsi="Arial" w:cs="Arial"/>
          <w:kern w:val="0"/>
          <w:sz w:val="24"/>
          <w:szCs w:val="24"/>
          <w:lang w:val="en-US"/>
          <w14:ligatures w14:val="none"/>
        </w:rPr>
      </w:pPr>
    </w:p>
    <w:p w14:paraId="5CC2E63B" w14:textId="7CECCF5F" w:rsidR="004F05FA" w:rsidRPr="00AC6729" w:rsidRDefault="00AC6729" w:rsidP="00602009">
      <w:pPr>
        <w:pStyle w:val="Heading2"/>
        <w:rPr>
          <w:rFonts w:ascii="Arial" w:eastAsia="Calibri" w:hAnsi="Arial" w:cs="Arial"/>
          <w:sz w:val="24"/>
          <w:szCs w:val="24"/>
          <w:lang w:val="en-US"/>
        </w:rPr>
      </w:pPr>
      <w:r w:rsidRPr="00AC6729">
        <w:rPr>
          <w:rFonts w:ascii="Arial" w:eastAsia="Calibri" w:hAnsi="Arial" w:cs="Arial"/>
          <w:sz w:val="24"/>
          <w:szCs w:val="24"/>
          <w:lang w:val="en-US"/>
        </w:rPr>
        <w:t xml:space="preserve">14. </w:t>
      </w:r>
      <w:r w:rsidR="0015496B" w:rsidRPr="00AC6729">
        <w:rPr>
          <w:rFonts w:ascii="Arial" w:eastAsia="Calibri" w:hAnsi="Arial" w:cs="Arial"/>
          <w:sz w:val="24"/>
          <w:szCs w:val="24"/>
          <w:lang w:val="en-US"/>
        </w:rPr>
        <w:t xml:space="preserve">Transition </w:t>
      </w:r>
      <w:r w:rsidR="00D46BFD" w:rsidRPr="00AC6729">
        <w:rPr>
          <w:rFonts w:ascii="Arial" w:eastAsia="Calibri" w:hAnsi="Arial" w:cs="Arial"/>
          <w:sz w:val="24"/>
          <w:szCs w:val="24"/>
          <w:lang w:val="en-US"/>
        </w:rPr>
        <w:t xml:space="preserve">to </w:t>
      </w:r>
      <w:r w:rsidR="00B877B1" w:rsidRPr="00AC6729">
        <w:rPr>
          <w:rFonts w:ascii="Arial" w:eastAsia="Calibri" w:hAnsi="Arial" w:cs="Arial"/>
          <w:sz w:val="24"/>
          <w:szCs w:val="24"/>
          <w:lang w:val="en-US"/>
        </w:rPr>
        <w:t xml:space="preserve">GM Pledge and DfE Guidance </w:t>
      </w:r>
    </w:p>
    <w:p w14:paraId="3C075501" w14:textId="77777777" w:rsidR="004F05FA" w:rsidRPr="00ED7620" w:rsidRDefault="004F05FA" w:rsidP="004F05FA">
      <w:pPr>
        <w:ind w:firstLine="720"/>
        <w:rPr>
          <w:rFonts w:ascii="Arial" w:eastAsia="Calibri" w:hAnsi="Arial" w:cs="Arial"/>
          <w:kern w:val="0"/>
          <w:sz w:val="24"/>
          <w:szCs w:val="24"/>
          <w:lang w:val="en-US"/>
          <w14:ligatures w14:val="none"/>
        </w:rPr>
      </w:pPr>
      <w:r w:rsidRPr="00ED7620">
        <w:rPr>
          <w:rFonts w:ascii="Arial" w:eastAsia="Calibri" w:hAnsi="Arial" w:cs="Arial"/>
          <w:kern w:val="0"/>
          <w:sz w:val="24"/>
          <w:szCs w:val="24"/>
          <w:lang w:val="en-US"/>
          <w14:ligatures w14:val="none"/>
        </w:rPr>
        <w:t xml:space="preserve">The Local Authorities agree that they will: </w:t>
      </w:r>
    </w:p>
    <w:p w14:paraId="0054CC9A" w14:textId="77777777" w:rsidR="004F05FA" w:rsidRPr="00ED7620" w:rsidRDefault="004F05FA" w:rsidP="004F05FA">
      <w:pPr>
        <w:numPr>
          <w:ilvl w:val="0"/>
          <w:numId w:val="6"/>
        </w:numPr>
        <w:spacing w:before="119" w:after="119" w:line="360" w:lineRule="auto"/>
        <w:contextualSpacing/>
        <w:rPr>
          <w:rFonts w:ascii="Arial" w:eastAsia="Calibri" w:hAnsi="Arial" w:cs="Arial"/>
          <w:kern w:val="0"/>
          <w:sz w:val="24"/>
          <w:szCs w:val="24"/>
          <w:lang w:val="en-US"/>
          <w14:ligatures w14:val="none"/>
        </w:rPr>
      </w:pPr>
      <w:r w:rsidRPr="00ED7620">
        <w:rPr>
          <w:rFonts w:ascii="Arial" w:eastAsia="Calibri" w:hAnsi="Arial" w:cs="Arial"/>
          <w:kern w:val="0"/>
          <w:sz w:val="24"/>
          <w:szCs w:val="24"/>
          <w:lang w:val="en-US"/>
          <w14:ligatures w14:val="none"/>
        </w:rPr>
        <w:t xml:space="preserve">Commit to working within the pay rates and protocols of the GM Pledge from November 2023. Financial or non-financial bonuses that take a worker over the price cap should not be offered.  Only reasonable expenses should be covered in addition to the hourly rate. </w:t>
      </w:r>
    </w:p>
    <w:p w14:paraId="5039DD20" w14:textId="4AB36F03" w:rsidR="004F05FA" w:rsidRPr="00ED7620" w:rsidRDefault="004F05FA" w:rsidP="004F05FA">
      <w:pPr>
        <w:numPr>
          <w:ilvl w:val="0"/>
          <w:numId w:val="6"/>
        </w:numPr>
        <w:spacing w:before="119" w:after="119" w:line="360" w:lineRule="auto"/>
        <w:contextualSpacing/>
        <w:rPr>
          <w:rFonts w:ascii="Arial" w:eastAsia="Calibri" w:hAnsi="Arial" w:cs="Arial"/>
          <w:kern w:val="0"/>
          <w:sz w:val="24"/>
          <w:szCs w:val="24"/>
          <w:lang w:val="en-US"/>
          <w14:ligatures w14:val="none"/>
        </w:rPr>
      </w:pPr>
      <w:r w:rsidRPr="00ED7620">
        <w:rPr>
          <w:rFonts w:ascii="Arial" w:eastAsia="Calibri" w:hAnsi="Arial" w:cs="Arial"/>
          <w:kern w:val="0"/>
          <w:sz w:val="24"/>
          <w:szCs w:val="24"/>
          <w:lang w:val="en-US"/>
          <w14:ligatures w14:val="none"/>
        </w:rPr>
        <w:t xml:space="preserve">Ensure that any advert placed on behalf of a Local Authority complies with the </w:t>
      </w:r>
      <w:r w:rsidR="00222EE7" w:rsidRPr="00ED7620">
        <w:rPr>
          <w:rFonts w:ascii="Arial" w:eastAsia="Calibri" w:hAnsi="Arial" w:cs="Arial"/>
          <w:kern w:val="0"/>
          <w:sz w:val="24"/>
          <w:szCs w:val="24"/>
          <w:lang w:val="en-US"/>
          <w14:ligatures w14:val="none"/>
        </w:rPr>
        <w:t xml:space="preserve">DfE </w:t>
      </w:r>
      <w:r w:rsidRPr="00ED7620">
        <w:rPr>
          <w:rFonts w:ascii="Arial" w:eastAsia="Calibri" w:hAnsi="Arial" w:cs="Arial"/>
          <w:kern w:val="0"/>
          <w:sz w:val="24"/>
          <w:szCs w:val="24"/>
          <w:lang w:val="en-US"/>
          <w14:ligatures w14:val="none"/>
        </w:rPr>
        <w:t>guidance.  If a supplier seeks to circumvent the caps, local authorities should consider whether it would be appropriate to restrict their access to new vacancies and/or report them to their respective Regional Improvement and Innovation Alliance.</w:t>
      </w:r>
    </w:p>
    <w:p w14:paraId="56E502C5" w14:textId="77777777" w:rsidR="004F05FA" w:rsidRPr="00ED7620" w:rsidRDefault="004F05FA" w:rsidP="004F05FA">
      <w:pPr>
        <w:numPr>
          <w:ilvl w:val="0"/>
          <w:numId w:val="6"/>
        </w:numPr>
        <w:spacing w:before="119" w:after="119" w:line="360" w:lineRule="auto"/>
        <w:contextualSpacing/>
        <w:rPr>
          <w:rFonts w:ascii="Arial" w:eastAsia="Calibri" w:hAnsi="Arial" w:cs="Arial"/>
          <w:kern w:val="0"/>
          <w:sz w:val="24"/>
          <w:szCs w:val="24"/>
          <w:lang w:val="en-US"/>
          <w14:ligatures w14:val="none"/>
        </w:rPr>
      </w:pPr>
      <w:r w:rsidRPr="00ED7620">
        <w:rPr>
          <w:rFonts w:ascii="Arial" w:eastAsia="Calibri" w:hAnsi="Arial" w:cs="Arial"/>
          <w:kern w:val="0"/>
          <w:sz w:val="24"/>
          <w:szCs w:val="24"/>
          <w:lang w:val="en-US"/>
          <w14:ligatures w14:val="none"/>
        </w:rPr>
        <w:lastRenderedPageBreak/>
        <w:t>Bring any existing agency workers who exceed the new GM Pledge pay rates in line with the pay rates within a reasonable time as agreed with each Local Authority.</w:t>
      </w:r>
    </w:p>
    <w:p w14:paraId="101CA2DA" w14:textId="7FEB79C7" w:rsidR="004F05FA" w:rsidRPr="00ED7620" w:rsidRDefault="004F05FA" w:rsidP="004F05FA">
      <w:pPr>
        <w:numPr>
          <w:ilvl w:val="0"/>
          <w:numId w:val="6"/>
        </w:numPr>
        <w:spacing w:before="119" w:after="119" w:line="360" w:lineRule="auto"/>
        <w:contextualSpacing/>
        <w:rPr>
          <w:rFonts w:ascii="Arial" w:eastAsia="Calibri" w:hAnsi="Arial" w:cs="Arial"/>
          <w:kern w:val="0"/>
          <w:sz w:val="24"/>
          <w:szCs w:val="24"/>
          <w:lang w:val="en-US"/>
          <w14:ligatures w14:val="none"/>
        </w:rPr>
      </w:pPr>
      <w:r w:rsidRPr="00ED7620">
        <w:rPr>
          <w:rFonts w:ascii="Arial" w:eastAsia="Calibri" w:hAnsi="Arial" w:cs="Arial"/>
          <w:kern w:val="0"/>
          <w:sz w:val="24"/>
          <w:szCs w:val="24"/>
          <w:lang w:val="en-US"/>
          <w14:ligatures w14:val="none"/>
        </w:rPr>
        <w:t>Commit to bring any existing project or managed teams to an end as soon as possible</w:t>
      </w:r>
      <w:r w:rsidR="00216D33" w:rsidRPr="00ED7620">
        <w:rPr>
          <w:rFonts w:ascii="Arial" w:eastAsia="Calibri" w:hAnsi="Arial" w:cs="Arial"/>
          <w:kern w:val="0"/>
          <w:sz w:val="24"/>
          <w:szCs w:val="24"/>
          <w:lang w:val="en-US"/>
          <w14:ligatures w14:val="none"/>
        </w:rPr>
        <w:t>.</w:t>
      </w:r>
    </w:p>
    <w:p w14:paraId="35A02DE2" w14:textId="77777777" w:rsidR="004F05FA" w:rsidRPr="00ED7620" w:rsidRDefault="004F05FA" w:rsidP="004F05FA">
      <w:pPr>
        <w:numPr>
          <w:ilvl w:val="0"/>
          <w:numId w:val="6"/>
        </w:numPr>
        <w:spacing w:before="119" w:after="119" w:line="360" w:lineRule="auto"/>
        <w:contextualSpacing/>
        <w:rPr>
          <w:rFonts w:ascii="Arial" w:eastAsia="Calibri" w:hAnsi="Arial" w:cs="Arial"/>
          <w:kern w:val="0"/>
          <w:sz w:val="24"/>
          <w:szCs w:val="24"/>
          <w:lang w:val="en-US"/>
          <w14:ligatures w14:val="none"/>
        </w:rPr>
      </w:pPr>
      <w:r w:rsidRPr="00ED7620">
        <w:rPr>
          <w:rFonts w:ascii="Arial" w:eastAsia="Calibri" w:hAnsi="Arial" w:cs="Arial"/>
          <w:kern w:val="0"/>
          <w:sz w:val="24"/>
          <w:szCs w:val="24"/>
          <w:lang w:val="en-US"/>
          <w14:ligatures w14:val="none"/>
        </w:rPr>
        <w:t>Engage with the GMCA project team with performance management data to ensure governance arrangements are adhered to.</w:t>
      </w:r>
    </w:p>
    <w:p w14:paraId="573077AA" w14:textId="5E502BFD" w:rsidR="004F05FA" w:rsidRPr="00AC6729" w:rsidRDefault="00AC6729" w:rsidP="00602009">
      <w:pPr>
        <w:pStyle w:val="Heading2"/>
        <w:rPr>
          <w:rFonts w:ascii="Arial" w:eastAsia="Calibri" w:hAnsi="Arial" w:cs="Arial"/>
          <w:sz w:val="24"/>
          <w:szCs w:val="24"/>
          <w:lang w:val="en-US"/>
        </w:rPr>
      </w:pPr>
      <w:r w:rsidRPr="00AC6729">
        <w:rPr>
          <w:rFonts w:ascii="Arial" w:eastAsia="Calibri" w:hAnsi="Arial" w:cs="Arial"/>
          <w:sz w:val="24"/>
          <w:szCs w:val="24"/>
          <w:lang w:val="en-US"/>
        </w:rPr>
        <w:t xml:space="preserve">15. </w:t>
      </w:r>
      <w:r w:rsidR="004F05FA" w:rsidRPr="00AC6729">
        <w:rPr>
          <w:rFonts w:ascii="Arial" w:eastAsia="Calibri" w:hAnsi="Arial" w:cs="Arial"/>
          <w:sz w:val="24"/>
          <w:szCs w:val="24"/>
          <w:lang w:val="en-US"/>
        </w:rPr>
        <w:t>Project Teams</w:t>
      </w:r>
    </w:p>
    <w:p w14:paraId="796B99C2" w14:textId="77777777" w:rsidR="004F05FA" w:rsidRPr="00ED7620" w:rsidRDefault="004F05FA" w:rsidP="004F05FA">
      <w:pPr>
        <w:ind w:left="720"/>
        <w:contextualSpacing/>
        <w:rPr>
          <w:rFonts w:ascii="Arial" w:eastAsia="Calibri" w:hAnsi="Arial" w:cs="Arial"/>
          <w:kern w:val="0"/>
          <w:sz w:val="24"/>
          <w:szCs w:val="24"/>
          <w:lang w:val="en-US"/>
          <w14:ligatures w14:val="none"/>
        </w:rPr>
      </w:pPr>
      <w:r w:rsidRPr="00ED7620">
        <w:rPr>
          <w:rFonts w:ascii="Arial" w:eastAsia="Calibri" w:hAnsi="Arial" w:cs="Arial"/>
          <w:kern w:val="0"/>
          <w:sz w:val="24"/>
          <w:szCs w:val="24"/>
          <w:lang w:val="en-US"/>
          <w14:ligatures w14:val="none"/>
        </w:rPr>
        <w:t xml:space="preserve">The Local authorities agree to ensure that all contracts to supply agency social workers via a project team or other packaged model comply with the following </w:t>
      </w:r>
      <w:proofErr w:type="gramStart"/>
      <w:r w:rsidRPr="00ED7620">
        <w:rPr>
          <w:rFonts w:ascii="Arial" w:eastAsia="Calibri" w:hAnsi="Arial" w:cs="Arial"/>
          <w:kern w:val="0"/>
          <w:sz w:val="24"/>
          <w:szCs w:val="24"/>
          <w:lang w:val="en-US"/>
          <w14:ligatures w14:val="none"/>
        </w:rPr>
        <w:t>requirements:-</w:t>
      </w:r>
      <w:proofErr w:type="gramEnd"/>
    </w:p>
    <w:p w14:paraId="2FF6A1FC" w14:textId="77777777" w:rsidR="004F05FA" w:rsidRPr="00ED7620" w:rsidRDefault="004F05FA" w:rsidP="004F05FA">
      <w:pPr>
        <w:numPr>
          <w:ilvl w:val="0"/>
          <w:numId w:val="15"/>
        </w:numPr>
        <w:spacing w:before="119" w:after="119" w:line="360" w:lineRule="auto"/>
        <w:contextualSpacing/>
        <w:rPr>
          <w:rFonts w:ascii="Arial" w:eastAsia="Calibri" w:hAnsi="Arial" w:cs="Arial"/>
          <w:kern w:val="0"/>
          <w:sz w:val="24"/>
          <w:szCs w:val="24"/>
          <w:lang w:val="en-US"/>
          <w14:ligatures w14:val="none"/>
        </w:rPr>
      </w:pPr>
      <w:r w:rsidRPr="00ED7620">
        <w:rPr>
          <w:rFonts w:ascii="Arial" w:eastAsia="Calibri" w:hAnsi="Arial" w:cs="Arial"/>
          <w:kern w:val="0"/>
          <w:sz w:val="24"/>
          <w:szCs w:val="24"/>
          <w:lang w:val="en-US"/>
          <w14:ligatures w14:val="none"/>
        </w:rPr>
        <w:t xml:space="preserve">Prior identification and local authority approval of all constituent child and family social workers </w:t>
      </w:r>
    </w:p>
    <w:p w14:paraId="23B119CA" w14:textId="77777777" w:rsidR="004F05FA" w:rsidRPr="00ED7620" w:rsidRDefault="004F05FA" w:rsidP="004F05FA">
      <w:pPr>
        <w:numPr>
          <w:ilvl w:val="0"/>
          <w:numId w:val="15"/>
        </w:numPr>
        <w:spacing w:before="119" w:after="119" w:line="360" w:lineRule="auto"/>
        <w:contextualSpacing/>
        <w:rPr>
          <w:rFonts w:ascii="Arial" w:eastAsia="Calibri" w:hAnsi="Arial" w:cs="Arial"/>
          <w:kern w:val="0"/>
          <w:sz w:val="24"/>
          <w:szCs w:val="24"/>
          <w:lang w:val="en-US"/>
          <w14:ligatures w14:val="none"/>
        </w:rPr>
      </w:pPr>
      <w:r w:rsidRPr="00ED7620">
        <w:rPr>
          <w:rFonts w:ascii="Arial" w:eastAsia="Calibri" w:hAnsi="Arial" w:cs="Arial"/>
          <w:kern w:val="0"/>
          <w:sz w:val="24"/>
          <w:szCs w:val="24"/>
          <w:lang w:val="en-US"/>
          <w14:ligatures w14:val="none"/>
        </w:rPr>
        <w:t>Disaggregation of costs related to the provision of each child and family social worker and any other service provided. All contractual arrangements to supply agency child and family social workers via a project team or other packaged model should include as a minimum:</w:t>
      </w:r>
    </w:p>
    <w:p w14:paraId="5C371AAB" w14:textId="77777777" w:rsidR="004F05FA" w:rsidRPr="00ED7620" w:rsidRDefault="004F05FA" w:rsidP="004F05FA">
      <w:pPr>
        <w:numPr>
          <w:ilvl w:val="0"/>
          <w:numId w:val="16"/>
        </w:numPr>
        <w:spacing w:before="119" w:after="119" w:line="360" w:lineRule="auto"/>
        <w:contextualSpacing/>
        <w:rPr>
          <w:rFonts w:ascii="Arial" w:eastAsia="Calibri" w:hAnsi="Arial" w:cs="Arial"/>
          <w:kern w:val="0"/>
          <w:sz w:val="24"/>
          <w:szCs w:val="24"/>
          <w:lang w:val="en-US"/>
          <w14:ligatures w14:val="none"/>
        </w:rPr>
      </w:pPr>
      <w:r w:rsidRPr="00ED7620">
        <w:rPr>
          <w:rFonts w:ascii="Arial" w:eastAsia="Calibri" w:hAnsi="Arial" w:cs="Arial"/>
          <w:kern w:val="0"/>
          <w:sz w:val="24"/>
          <w:szCs w:val="24"/>
          <w:lang w:val="en-US"/>
          <w14:ligatures w14:val="none"/>
        </w:rPr>
        <w:t>An overall price</w:t>
      </w:r>
    </w:p>
    <w:p w14:paraId="49070C7B" w14:textId="77777777" w:rsidR="004F05FA" w:rsidRPr="00ED7620" w:rsidRDefault="004F05FA" w:rsidP="004F05FA">
      <w:pPr>
        <w:numPr>
          <w:ilvl w:val="0"/>
          <w:numId w:val="16"/>
        </w:numPr>
        <w:spacing w:before="119" w:after="119" w:line="360" w:lineRule="auto"/>
        <w:contextualSpacing/>
        <w:rPr>
          <w:rFonts w:ascii="Arial" w:eastAsia="Calibri" w:hAnsi="Arial" w:cs="Arial"/>
          <w:kern w:val="0"/>
          <w:sz w:val="24"/>
          <w:szCs w:val="24"/>
          <w:lang w:val="en-US"/>
          <w14:ligatures w14:val="none"/>
        </w:rPr>
      </w:pPr>
      <w:r w:rsidRPr="00ED7620">
        <w:rPr>
          <w:rFonts w:ascii="Arial" w:eastAsia="Calibri" w:hAnsi="Arial" w:cs="Arial"/>
          <w:kern w:val="0"/>
          <w:sz w:val="24"/>
          <w:szCs w:val="24"/>
          <w:lang w:val="en-US"/>
          <w14:ligatures w14:val="none"/>
        </w:rPr>
        <w:t xml:space="preserve">A clear breakdown of costs, including hourly pay rate, related to the provision each child and family social worker in the project team or other packaged model </w:t>
      </w:r>
    </w:p>
    <w:p w14:paraId="2E7695EA" w14:textId="77777777" w:rsidR="004F05FA" w:rsidRPr="00ED7620" w:rsidRDefault="004F05FA" w:rsidP="004F05FA">
      <w:pPr>
        <w:numPr>
          <w:ilvl w:val="0"/>
          <w:numId w:val="16"/>
        </w:numPr>
        <w:spacing w:before="119" w:after="119" w:line="360" w:lineRule="auto"/>
        <w:contextualSpacing/>
        <w:rPr>
          <w:rFonts w:ascii="Arial" w:eastAsia="Calibri" w:hAnsi="Arial" w:cs="Arial"/>
          <w:kern w:val="0"/>
          <w:sz w:val="24"/>
          <w:szCs w:val="24"/>
          <w:lang w:val="en-US"/>
          <w14:ligatures w14:val="none"/>
        </w:rPr>
      </w:pPr>
      <w:r w:rsidRPr="00ED7620">
        <w:rPr>
          <w:rFonts w:ascii="Arial" w:eastAsia="Calibri" w:hAnsi="Arial" w:cs="Arial"/>
          <w:kern w:val="0"/>
          <w:sz w:val="24"/>
          <w:szCs w:val="24"/>
          <w:lang w:val="en-US"/>
          <w14:ligatures w14:val="none"/>
        </w:rPr>
        <w:t>A clear breakdown of all other staff costs</w:t>
      </w:r>
    </w:p>
    <w:p w14:paraId="1661F393" w14:textId="77777777" w:rsidR="004F05FA" w:rsidRPr="00ED7620" w:rsidRDefault="004F05FA" w:rsidP="004F05FA">
      <w:pPr>
        <w:numPr>
          <w:ilvl w:val="0"/>
          <w:numId w:val="16"/>
        </w:numPr>
        <w:spacing w:before="119" w:after="119" w:line="360" w:lineRule="auto"/>
        <w:contextualSpacing/>
        <w:rPr>
          <w:rFonts w:ascii="Arial" w:eastAsia="Calibri" w:hAnsi="Arial" w:cs="Arial"/>
          <w:kern w:val="0"/>
          <w:sz w:val="24"/>
          <w:szCs w:val="24"/>
          <w:lang w:val="en-US"/>
          <w14:ligatures w14:val="none"/>
        </w:rPr>
      </w:pPr>
      <w:r w:rsidRPr="00ED7620">
        <w:rPr>
          <w:rFonts w:ascii="Arial" w:eastAsia="Calibri" w:hAnsi="Arial" w:cs="Arial"/>
          <w:kern w:val="0"/>
          <w:sz w:val="24"/>
          <w:szCs w:val="24"/>
          <w:lang w:val="en-US"/>
          <w14:ligatures w14:val="none"/>
        </w:rPr>
        <w:t>A breakdown of other charges that have been wrapped into the total price</w:t>
      </w:r>
    </w:p>
    <w:p w14:paraId="46C9FF68" w14:textId="59A9FFEA" w:rsidR="004F05FA" w:rsidRPr="00ED7620" w:rsidRDefault="004F05FA" w:rsidP="004F05FA">
      <w:pPr>
        <w:numPr>
          <w:ilvl w:val="0"/>
          <w:numId w:val="16"/>
        </w:numPr>
        <w:spacing w:before="119" w:after="119" w:line="360" w:lineRule="auto"/>
        <w:contextualSpacing/>
        <w:rPr>
          <w:rFonts w:ascii="Arial" w:eastAsia="Calibri" w:hAnsi="Arial" w:cs="Arial"/>
          <w:kern w:val="0"/>
          <w:sz w:val="24"/>
          <w:szCs w:val="24"/>
          <w:lang w:val="en-US"/>
          <w14:ligatures w14:val="none"/>
        </w:rPr>
      </w:pPr>
      <w:r w:rsidRPr="00ED7620">
        <w:rPr>
          <w:rFonts w:ascii="Arial" w:eastAsia="Calibri" w:hAnsi="Arial" w:cs="Arial"/>
          <w:kern w:val="0"/>
          <w:sz w:val="24"/>
          <w:szCs w:val="24"/>
          <w:lang w:val="en-US"/>
          <w14:ligatures w14:val="none"/>
        </w:rPr>
        <w:t xml:space="preserve">A </w:t>
      </w:r>
      <w:r w:rsidR="005B5FD1" w:rsidRPr="00ED7620">
        <w:rPr>
          <w:rFonts w:ascii="Arial" w:eastAsia="Calibri" w:hAnsi="Arial" w:cs="Arial"/>
          <w:kern w:val="0"/>
          <w:sz w:val="24"/>
          <w:szCs w:val="24"/>
          <w:lang w:val="en-US"/>
          <w14:ligatures w14:val="none"/>
        </w:rPr>
        <w:t>p</w:t>
      </w:r>
      <w:r w:rsidRPr="00ED7620">
        <w:rPr>
          <w:rFonts w:ascii="Arial" w:eastAsia="Calibri" w:hAnsi="Arial" w:cs="Arial"/>
          <w:kern w:val="0"/>
          <w:sz w:val="24"/>
          <w:szCs w:val="24"/>
          <w:lang w:val="en-US"/>
          <w14:ligatures w14:val="none"/>
        </w:rPr>
        <w:t>ayment schedule; and</w:t>
      </w:r>
    </w:p>
    <w:p w14:paraId="4E580AAD" w14:textId="77777777" w:rsidR="004F05FA" w:rsidRPr="00ED7620" w:rsidRDefault="004F05FA" w:rsidP="004F05FA">
      <w:pPr>
        <w:numPr>
          <w:ilvl w:val="0"/>
          <w:numId w:val="16"/>
        </w:numPr>
        <w:spacing w:before="119" w:after="119" w:line="360" w:lineRule="auto"/>
        <w:contextualSpacing/>
        <w:rPr>
          <w:rFonts w:ascii="Arial" w:eastAsia="Calibri" w:hAnsi="Arial" w:cs="Arial"/>
          <w:kern w:val="0"/>
          <w:sz w:val="24"/>
          <w:szCs w:val="24"/>
          <w:lang w:val="en-US"/>
          <w14:ligatures w14:val="none"/>
        </w:rPr>
      </w:pPr>
      <w:r w:rsidRPr="00ED7620">
        <w:rPr>
          <w:rFonts w:ascii="Arial" w:eastAsia="Calibri" w:hAnsi="Arial" w:cs="Arial"/>
          <w:kern w:val="0"/>
          <w:sz w:val="24"/>
          <w:szCs w:val="24"/>
          <w:lang w:val="en-US"/>
          <w14:ligatures w14:val="none"/>
        </w:rPr>
        <w:t>The right for the local authority to request further information on cost transparency throughout the contract term</w:t>
      </w:r>
    </w:p>
    <w:p w14:paraId="229E7D25" w14:textId="77777777" w:rsidR="004F05FA" w:rsidRPr="00ED7620" w:rsidRDefault="004F05FA" w:rsidP="004F05FA">
      <w:pPr>
        <w:numPr>
          <w:ilvl w:val="0"/>
          <w:numId w:val="15"/>
        </w:numPr>
        <w:spacing w:before="119" w:after="119" w:line="360" w:lineRule="auto"/>
        <w:contextualSpacing/>
        <w:rPr>
          <w:rFonts w:ascii="Arial" w:eastAsia="Calibri" w:hAnsi="Arial" w:cs="Arial"/>
          <w:kern w:val="0"/>
          <w:sz w:val="24"/>
          <w:szCs w:val="24"/>
          <w:lang w:val="en-US"/>
          <w14:ligatures w14:val="none"/>
        </w:rPr>
      </w:pPr>
      <w:r w:rsidRPr="00ED7620">
        <w:rPr>
          <w:rFonts w:ascii="Arial" w:eastAsia="Calibri" w:hAnsi="Arial" w:cs="Arial"/>
          <w:kern w:val="0"/>
          <w:sz w:val="24"/>
          <w:szCs w:val="24"/>
          <w:lang w:val="en-US"/>
          <w14:ligatures w14:val="none"/>
        </w:rPr>
        <w:t>Ensure that for each contract the supplier provides the following details in advance of the assignment start date:</w:t>
      </w:r>
    </w:p>
    <w:p w14:paraId="3533B64E" w14:textId="77777777" w:rsidR="004F05FA" w:rsidRPr="00ED7620" w:rsidRDefault="004F05FA" w:rsidP="004F05FA">
      <w:pPr>
        <w:numPr>
          <w:ilvl w:val="2"/>
          <w:numId w:val="15"/>
        </w:numPr>
        <w:spacing w:before="119" w:after="119" w:line="360" w:lineRule="auto"/>
        <w:contextualSpacing/>
        <w:rPr>
          <w:rFonts w:ascii="Arial" w:eastAsia="Calibri" w:hAnsi="Arial" w:cs="Arial"/>
          <w:kern w:val="0"/>
          <w:sz w:val="24"/>
          <w:szCs w:val="24"/>
          <w:lang w:val="en-US"/>
          <w14:ligatures w14:val="none"/>
        </w:rPr>
      </w:pPr>
      <w:r w:rsidRPr="00ED7620">
        <w:rPr>
          <w:rFonts w:ascii="Arial" w:eastAsia="Calibri" w:hAnsi="Arial" w:cs="Arial"/>
          <w:kern w:val="0"/>
          <w:sz w:val="24"/>
          <w:szCs w:val="24"/>
          <w:lang w:val="en-US"/>
          <w14:ligatures w14:val="none"/>
        </w:rPr>
        <w:t>Number of social workers</w:t>
      </w:r>
    </w:p>
    <w:p w14:paraId="1BE59B37" w14:textId="77777777" w:rsidR="004F05FA" w:rsidRPr="00ED7620" w:rsidRDefault="004F05FA" w:rsidP="004F05FA">
      <w:pPr>
        <w:numPr>
          <w:ilvl w:val="2"/>
          <w:numId w:val="15"/>
        </w:numPr>
        <w:spacing w:before="119" w:after="119" w:line="360" w:lineRule="auto"/>
        <w:contextualSpacing/>
        <w:rPr>
          <w:rFonts w:ascii="Arial" w:eastAsia="Calibri" w:hAnsi="Arial" w:cs="Arial"/>
          <w:kern w:val="0"/>
          <w:sz w:val="24"/>
          <w:szCs w:val="24"/>
          <w:lang w:val="en-US"/>
          <w14:ligatures w14:val="none"/>
        </w:rPr>
      </w:pPr>
      <w:r w:rsidRPr="00ED7620">
        <w:rPr>
          <w:rFonts w:ascii="Arial" w:eastAsia="Calibri" w:hAnsi="Arial" w:cs="Arial"/>
          <w:kern w:val="0"/>
          <w:sz w:val="24"/>
          <w:szCs w:val="24"/>
          <w:lang w:val="en-US"/>
          <w14:ligatures w14:val="none"/>
        </w:rPr>
        <w:t>Name of each social worker</w:t>
      </w:r>
    </w:p>
    <w:p w14:paraId="52804E64" w14:textId="77777777" w:rsidR="004F05FA" w:rsidRPr="00ED7620" w:rsidRDefault="004F05FA" w:rsidP="004F05FA">
      <w:pPr>
        <w:numPr>
          <w:ilvl w:val="2"/>
          <w:numId w:val="15"/>
        </w:numPr>
        <w:spacing w:before="119" w:after="119" w:line="360" w:lineRule="auto"/>
        <w:contextualSpacing/>
        <w:rPr>
          <w:rFonts w:ascii="Arial" w:eastAsia="Calibri" w:hAnsi="Arial" w:cs="Arial"/>
          <w:kern w:val="0"/>
          <w:sz w:val="24"/>
          <w:szCs w:val="24"/>
          <w:lang w:val="en-US"/>
          <w14:ligatures w14:val="none"/>
        </w:rPr>
      </w:pPr>
      <w:r w:rsidRPr="00ED7620">
        <w:rPr>
          <w:rFonts w:ascii="Arial" w:eastAsia="Calibri" w:hAnsi="Arial" w:cs="Arial"/>
          <w:kern w:val="0"/>
          <w:sz w:val="24"/>
          <w:szCs w:val="24"/>
          <w:lang w:val="en-US"/>
          <w14:ligatures w14:val="none"/>
        </w:rPr>
        <w:t xml:space="preserve">Each worker’s registration number issued by Social Work England </w:t>
      </w:r>
    </w:p>
    <w:p w14:paraId="1F4C4220" w14:textId="77777777" w:rsidR="004F05FA" w:rsidRPr="00ED7620" w:rsidRDefault="004F05FA" w:rsidP="004F05FA">
      <w:pPr>
        <w:numPr>
          <w:ilvl w:val="2"/>
          <w:numId w:val="15"/>
        </w:numPr>
        <w:spacing w:before="119" w:after="119" w:line="360" w:lineRule="auto"/>
        <w:contextualSpacing/>
        <w:rPr>
          <w:rFonts w:ascii="Arial" w:eastAsia="Calibri" w:hAnsi="Arial" w:cs="Arial"/>
          <w:kern w:val="0"/>
          <w:sz w:val="24"/>
          <w:szCs w:val="24"/>
          <w:lang w:val="en-US"/>
          <w14:ligatures w14:val="none"/>
        </w:rPr>
      </w:pPr>
      <w:r w:rsidRPr="00ED7620">
        <w:rPr>
          <w:rFonts w:ascii="Arial" w:eastAsia="Calibri" w:hAnsi="Arial" w:cs="Arial"/>
          <w:kern w:val="0"/>
          <w:sz w:val="24"/>
          <w:szCs w:val="24"/>
          <w:lang w:val="en-US"/>
          <w14:ligatures w14:val="none"/>
        </w:rPr>
        <w:t>References for each social worker</w:t>
      </w:r>
    </w:p>
    <w:p w14:paraId="4B917966" w14:textId="77777777" w:rsidR="004F05FA" w:rsidRPr="00ED7620" w:rsidRDefault="004F05FA" w:rsidP="004F05FA">
      <w:pPr>
        <w:numPr>
          <w:ilvl w:val="0"/>
          <w:numId w:val="15"/>
        </w:numPr>
        <w:spacing w:before="119" w:after="119" w:line="360" w:lineRule="auto"/>
        <w:contextualSpacing/>
        <w:rPr>
          <w:rFonts w:ascii="Arial" w:eastAsia="Calibri" w:hAnsi="Arial" w:cs="Arial"/>
          <w:kern w:val="0"/>
          <w:sz w:val="24"/>
          <w:szCs w:val="24"/>
          <w:lang w:val="en-US"/>
          <w14:ligatures w14:val="none"/>
        </w:rPr>
      </w:pPr>
      <w:r w:rsidRPr="00ED7620">
        <w:rPr>
          <w:rFonts w:ascii="Arial" w:eastAsia="Calibri" w:hAnsi="Arial" w:cs="Arial"/>
          <w:kern w:val="0"/>
          <w:sz w:val="24"/>
          <w:szCs w:val="24"/>
          <w:lang w:val="en-US"/>
          <w14:ligatures w14:val="none"/>
        </w:rPr>
        <w:lastRenderedPageBreak/>
        <w:t xml:space="preserve">Governance arrangements that allow the local authority to maintain complete oversight, control and management of social work practice delivered via the project team or other packaged model </w:t>
      </w:r>
      <w:proofErr w:type="gramStart"/>
      <w:r w:rsidRPr="00ED7620">
        <w:rPr>
          <w:rFonts w:ascii="Arial" w:eastAsia="Calibri" w:hAnsi="Arial" w:cs="Arial"/>
          <w:kern w:val="0"/>
          <w:sz w:val="24"/>
          <w:szCs w:val="24"/>
          <w:lang w:val="en-US"/>
          <w14:ligatures w14:val="none"/>
        </w:rPr>
        <w:t>including:-</w:t>
      </w:r>
      <w:proofErr w:type="gramEnd"/>
    </w:p>
    <w:p w14:paraId="26EB2B9A" w14:textId="77777777" w:rsidR="004F05FA" w:rsidRPr="00ED7620" w:rsidRDefault="004F05FA" w:rsidP="004F05FA">
      <w:pPr>
        <w:numPr>
          <w:ilvl w:val="2"/>
          <w:numId w:val="15"/>
        </w:numPr>
        <w:spacing w:before="119" w:after="119" w:line="360" w:lineRule="auto"/>
        <w:contextualSpacing/>
        <w:rPr>
          <w:rFonts w:ascii="Arial" w:eastAsia="Calibri" w:hAnsi="Arial" w:cs="Arial"/>
          <w:kern w:val="0"/>
          <w:sz w:val="24"/>
          <w:szCs w:val="24"/>
          <w:lang w:val="en-US"/>
          <w14:ligatures w14:val="none"/>
        </w:rPr>
      </w:pPr>
      <w:r w:rsidRPr="00ED7620">
        <w:rPr>
          <w:rFonts w:ascii="Arial" w:eastAsia="Calibri" w:hAnsi="Arial" w:cs="Arial"/>
          <w:kern w:val="0"/>
          <w:sz w:val="24"/>
          <w:szCs w:val="24"/>
          <w:lang w:val="en-US"/>
          <w14:ligatures w14:val="none"/>
        </w:rPr>
        <w:t>A clear line of accountability from the DCS to each constituent child and family social worker of a project team or other packaged model and their practice</w:t>
      </w:r>
    </w:p>
    <w:p w14:paraId="26F47BDA" w14:textId="77777777" w:rsidR="004F05FA" w:rsidRPr="00ED7620" w:rsidRDefault="004F05FA" w:rsidP="004F05FA">
      <w:pPr>
        <w:numPr>
          <w:ilvl w:val="2"/>
          <w:numId w:val="15"/>
        </w:numPr>
        <w:spacing w:before="119" w:after="119" w:line="360" w:lineRule="auto"/>
        <w:contextualSpacing/>
        <w:rPr>
          <w:rFonts w:ascii="Arial" w:eastAsia="Calibri" w:hAnsi="Arial" w:cs="Arial"/>
          <w:kern w:val="0"/>
          <w:sz w:val="24"/>
          <w:szCs w:val="24"/>
          <w:lang w:val="en-US"/>
          <w14:ligatures w14:val="none"/>
        </w:rPr>
      </w:pPr>
      <w:r w:rsidRPr="00ED7620">
        <w:rPr>
          <w:rFonts w:ascii="Arial" w:eastAsia="Calibri" w:hAnsi="Arial" w:cs="Arial"/>
          <w:kern w:val="0"/>
          <w:sz w:val="24"/>
          <w:szCs w:val="24"/>
          <w:lang w:val="en-US"/>
          <w14:ligatures w14:val="none"/>
        </w:rPr>
        <w:t>Control of decision making in relation to all child and family social work practice delivered by the constituent workers of a project team or other packaged model</w:t>
      </w:r>
    </w:p>
    <w:p w14:paraId="0C4029EC" w14:textId="77777777" w:rsidR="004F05FA" w:rsidRPr="00ED7620" w:rsidRDefault="004F05FA" w:rsidP="004F05FA">
      <w:pPr>
        <w:numPr>
          <w:ilvl w:val="2"/>
          <w:numId w:val="15"/>
        </w:numPr>
        <w:spacing w:before="119" w:after="119" w:line="360" w:lineRule="auto"/>
        <w:contextualSpacing/>
        <w:rPr>
          <w:rFonts w:ascii="Arial" w:eastAsia="Calibri" w:hAnsi="Arial" w:cs="Arial"/>
          <w:kern w:val="0"/>
          <w:sz w:val="24"/>
          <w:szCs w:val="24"/>
          <w:lang w:val="en-US"/>
          <w14:ligatures w14:val="none"/>
        </w:rPr>
      </w:pPr>
      <w:r w:rsidRPr="00ED7620">
        <w:rPr>
          <w:rFonts w:ascii="Arial" w:eastAsia="Calibri" w:hAnsi="Arial" w:cs="Arial"/>
          <w:kern w:val="0"/>
          <w:sz w:val="24"/>
          <w:szCs w:val="24"/>
          <w:lang w:val="en-US"/>
          <w14:ligatures w14:val="none"/>
        </w:rPr>
        <w:t>Determining the supervision and task/line management of the constituent workers of a project team or other packaged model</w:t>
      </w:r>
    </w:p>
    <w:p w14:paraId="14950067" w14:textId="77777777" w:rsidR="004F05FA" w:rsidRPr="00ED7620" w:rsidRDefault="004F05FA" w:rsidP="004F05FA">
      <w:pPr>
        <w:ind w:left="720"/>
        <w:rPr>
          <w:rFonts w:ascii="Arial" w:eastAsia="Calibri" w:hAnsi="Arial" w:cs="Arial"/>
          <w:kern w:val="0"/>
          <w:sz w:val="24"/>
          <w:szCs w:val="24"/>
          <w:lang w:val="en-US"/>
          <w14:ligatures w14:val="none"/>
        </w:rPr>
      </w:pPr>
      <w:r w:rsidRPr="00ED7620">
        <w:rPr>
          <w:rFonts w:ascii="Arial" w:eastAsia="Calibri" w:hAnsi="Arial" w:cs="Arial"/>
          <w:kern w:val="0"/>
          <w:sz w:val="24"/>
          <w:szCs w:val="24"/>
          <w:lang w:val="en-US"/>
          <w14:ligatures w14:val="none"/>
        </w:rPr>
        <w:t>This means that as a minimum, local authorities should retain overall control over:</w:t>
      </w:r>
    </w:p>
    <w:p w14:paraId="333D35B4" w14:textId="77777777" w:rsidR="004F05FA" w:rsidRPr="00ED7620" w:rsidRDefault="004F05FA" w:rsidP="004F05FA">
      <w:pPr>
        <w:numPr>
          <w:ilvl w:val="0"/>
          <w:numId w:val="18"/>
        </w:numPr>
        <w:spacing w:before="119" w:after="119" w:line="360" w:lineRule="auto"/>
        <w:contextualSpacing/>
        <w:rPr>
          <w:rFonts w:ascii="Arial" w:eastAsia="Calibri" w:hAnsi="Arial" w:cs="Arial"/>
          <w:kern w:val="0"/>
          <w:sz w:val="24"/>
          <w:szCs w:val="24"/>
          <w:lang w:val="en-US"/>
          <w14:ligatures w14:val="none"/>
        </w:rPr>
      </w:pPr>
      <w:r w:rsidRPr="00ED7620">
        <w:rPr>
          <w:rFonts w:ascii="Arial" w:eastAsia="Calibri" w:hAnsi="Arial" w:cs="Arial"/>
          <w:kern w:val="0"/>
          <w:sz w:val="24"/>
          <w:szCs w:val="24"/>
          <w14:ligatures w14:val="none"/>
        </w:rPr>
        <w:t>The practice model used by all constituent child and family social workers of a project team or other packaged model</w:t>
      </w:r>
    </w:p>
    <w:p w14:paraId="4E41FC67" w14:textId="77777777" w:rsidR="004F05FA" w:rsidRPr="00ED7620" w:rsidRDefault="004F05FA" w:rsidP="004F05FA">
      <w:pPr>
        <w:numPr>
          <w:ilvl w:val="0"/>
          <w:numId w:val="18"/>
        </w:numPr>
        <w:spacing w:before="119" w:after="119" w:line="360" w:lineRule="auto"/>
        <w:contextualSpacing/>
        <w:rPr>
          <w:rFonts w:ascii="Arial" w:eastAsia="Calibri" w:hAnsi="Arial" w:cs="Arial"/>
          <w:kern w:val="0"/>
          <w:sz w:val="24"/>
          <w:szCs w:val="24"/>
          <w:lang w:val="en-US"/>
          <w14:ligatures w14:val="none"/>
        </w:rPr>
      </w:pPr>
      <w:r w:rsidRPr="00ED7620">
        <w:rPr>
          <w:rFonts w:ascii="Arial" w:eastAsia="Calibri" w:hAnsi="Arial" w:cs="Arial"/>
          <w:kern w:val="0"/>
          <w:sz w:val="24"/>
          <w:szCs w:val="24"/>
          <w14:ligatures w14:val="none"/>
        </w:rPr>
        <w:t>Practice supervision of all constituent child and family social workers of a project team or other packaged model</w:t>
      </w:r>
    </w:p>
    <w:p w14:paraId="547CD63B" w14:textId="77777777" w:rsidR="004F05FA" w:rsidRPr="00ED7620" w:rsidRDefault="004F05FA" w:rsidP="004F05FA">
      <w:pPr>
        <w:numPr>
          <w:ilvl w:val="0"/>
          <w:numId w:val="18"/>
        </w:numPr>
        <w:spacing w:before="119" w:after="119" w:line="360" w:lineRule="auto"/>
        <w:contextualSpacing/>
        <w:rPr>
          <w:rFonts w:ascii="Arial" w:eastAsia="Calibri" w:hAnsi="Arial" w:cs="Arial"/>
          <w:kern w:val="0"/>
          <w:sz w:val="24"/>
          <w:szCs w:val="24"/>
          <w:lang w:val="en-US"/>
          <w14:ligatures w14:val="none"/>
        </w:rPr>
      </w:pPr>
      <w:r w:rsidRPr="00ED7620">
        <w:rPr>
          <w:rFonts w:ascii="Arial" w:eastAsia="Calibri" w:hAnsi="Arial" w:cs="Arial"/>
          <w:kern w:val="0"/>
          <w:sz w:val="24"/>
          <w:szCs w:val="24"/>
          <w14:ligatures w14:val="none"/>
        </w:rPr>
        <w:t xml:space="preserve">Line management of all constituent child and family social workers of a project team or other packaged model </w:t>
      </w:r>
    </w:p>
    <w:p w14:paraId="543374F7" w14:textId="77777777" w:rsidR="004F05FA" w:rsidRPr="00ED7620" w:rsidRDefault="004F05FA" w:rsidP="004F05FA">
      <w:pPr>
        <w:numPr>
          <w:ilvl w:val="0"/>
          <w:numId w:val="18"/>
        </w:numPr>
        <w:spacing w:before="119" w:after="119" w:line="360" w:lineRule="auto"/>
        <w:contextualSpacing/>
        <w:rPr>
          <w:rFonts w:ascii="Arial" w:eastAsia="Calibri" w:hAnsi="Arial" w:cs="Arial"/>
          <w:kern w:val="0"/>
          <w:sz w:val="24"/>
          <w:szCs w:val="24"/>
          <w:lang w:val="en-US"/>
          <w14:ligatures w14:val="none"/>
        </w:rPr>
      </w:pPr>
      <w:r w:rsidRPr="00ED7620">
        <w:rPr>
          <w:rFonts w:ascii="Arial" w:eastAsia="Calibri" w:hAnsi="Arial" w:cs="Arial"/>
          <w:kern w:val="0"/>
          <w:sz w:val="24"/>
          <w:szCs w:val="24"/>
          <w14:ligatures w14:val="none"/>
        </w:rPr>
        <w:t xml:space="preserve">Quality assurance of all child and family social work practice delivered by the constituent workers of a project team or other packaged model </w:t>
      </w:r>
    </w:p>
    <w:p w14:paraId="551B1846" w14:textId="77777777" w:rsidR="004F05FA" w:rsidRPr="00ED7620" w:rsidRDefault="004F05FA" w:rsidP="004F05FA">
      <w:pPr>
        <w:numPr>
          <w:ilvl w:val="0"/>
          <w:numId w:val="18"/>
        </w:numPr>
        <w:spacing w:before="119" w:after="119" w:line="360" w:lineRule="auto"/>
        <w:contextualSpacing/>
        <w:rPr>
          <w:rFonts w:ascii="Arial" w:eastAsia="Calibri" w:hAnsi="Arial" w:cs="Arial"/>
          <w:kern w:val="0"/>
          <w:sz w:val="24"/>
          <w:szCs w:val="24"/>
          <w:lang w:val="en-US"/>
          <w14:ligatures w14:val="none"/>
        </w:rPr>
      </w:pPr>
      <w:r w:rsidRPr="00ED7620">
        <w:rPr>
          <w:rFonts w:ascii="Arial" w:eastAsia="Calibri" w:hAnsi="Arial" w:cs="Arial"/>
          <w:kern w:val="0"/>
          <w:sz w:val="24"/>
          <w:szCs w:val="24"/>
          <w14:ligatures w14:val="none"/>
        </w:rPr>
        <w:t>Decision-making in case management, such that the project team or other packaged model is fully integrated within the children’s services department</w:t>
      </w:r>
      <w:r w:rsidRPr="00ED7620">
        <w:rPr>
          <w:rFonts w:ascii="Arial" w:eastAsia="Calibri" w:hAnsi="Arial" w:cs="Arial"/>
          <w:kern w:val="0"/>
          <w:sz w:val="24"/>
          <w:szCs w:val="24"/>
          <w:lang w:val="en-US"/>
          <w14:ligatures w14:val="none"/>
        </w:rPr>
        <w:br/>
      </w:r>
    </w:p>
    <w:p w14:paraId="0B7F0887" w14:textId="116D66E5" w:rsidR="004F05FA" w:rsidRPr="00AC6729" w:rsidRDefault="00AC6729" w:rsidP="00602009">
      <w:pPr>
        <w:pStyle w:val="Heading2"/>
        <w:rPr>
          <w:rFonts w:ascii="Arial" w:eastAsia="Calibri" w:hAnsi="Arial" w:cs="Arial"/>
          <w:sz w:val="24"/>
          <w:szCs w:val="24"/>
          <w:lang w:val="en-US"/>
        </w:rPr>
      </w:pPr>
      <w:r w:rsidRPr="00AC6729">
        <w:rPr>
          <w:rFonts w:ascii="Arial" w:eastAsia="Calibri" w:hAnsi="Arial" w:cs="Arial"/>
          <w:sz w:val="24"/>
          <w:szCs w:val="24"/>
          <w:lang w:val="en-US"/>
        </w:rPr>
        <w:t xml:space="preserve">16. </w:t>
      </w:r>
      <w:r w:rsidR="004F05FA" w:rsidRPr="00AC6729">
        <w:rPr>
          <w:rFonts w:ascii="Arial" w:eastAsia="Calibri" w:hAnsi="Arial" w:cs="Arial"/>
          <w:sz w:val="24"/>
          <w:szCs w:val="24"/>
          <w:lang w:val="en-US"/>
        </w:rPr>
        <w:t xml:space="preserve">Continuous Development of the GM Pledge </w:t>
      </w:r>
    </w:p>
    <w:p w14:paraId="2376E761" w14:textId="77777777" w:rsidR="004F05FA" w:rsidRPr="00ED7620" w:rsidRDefault="004F05FA" w:rsidP="004F05FA">
      <w:pPr>
        <w:numPr>
          <w:ilvl w:val="0"/>
          <w:numId w:val="5"/>
        </w:numPr>
        <w:spacing w:before="119" w:after="119" w:line="360" w:lineRule="auto"/>
        <w:contextualSpacing/>
        <w:rPr>
          <w:rFonts w:ascii="Arial" w:eastAsia="Calibri" w:hAnsi="Arial" w:cs="Arial"/>
          <w:kern w:val="0"/>
          <w:sz w:val="24"/>
          <w:szCs w:val="24"/>
          <w:lang w:val="en-US"/>
          <w14:ligatures w14:val="none"/>
        </w:rPr>
      </w:pPr>
      <w:r w:rsidRPr="00ED7620">
        <w:rPr>
          <w:rFonts w:ascii="Arial" w:eastAsia="Calibri" w:hAnsi="Arial" w:cs="Arial"/>
          <w:kern w:val="0"/>
          <w:sz w:val="24"/>
          <w:szCs w:val="24"/>
          <w:lang w:val="en-US"/>
          <w14:ligatures w14:val="none"/>
        </w:rPr>
        <w:t xml:space="preserve">The performance of the GM Pledge will be reviewed by the GM DCS and GM HR Directors groups with support from GMCA on a quarterly basis.  </w:t>
      </w:r>
    </w:p>
    <w:p w14:paraId="239740E4" w14:textId="77777777" w:rsidR="004F05FA" w:rsidRPr="00ED7620" w:rsidRDefault="004F05FA" w:rsidP="004F05FA">
      <w:pPr>
        <w:numPr>
          <w:ilvl w:val="0"/>
          <w:numId w:val="5"/>
        </w:numPr>
        <w:spacing w:before="119" w:after="119" w:line="360" w:lineRule="auto"/>
        <w:contextualSpacing/>
        <w:rPr>
          <w:rFonts w:ascii="Arial" w:eastAsia="Calibri" w:hAnsi="Arial" w:cs="Arial"/>
          <w:kern w:val="0"/>
          <w:sz w:val="24"/>
          <w:szCs w:val="24"/>
          <w:lang w:val="en-US"/>
          <w14:ligatures w14:val="none"/>
        </w:rPr>
      </w:pPr>
      <w:r w:rsidRPr="00ED7620">
        <w:rPr>
          <w:rFonts w:ascii="Arial" w:eastAsia="Calibri" w:hAnsi="Arial" w:cs="Arial"/>
          <w:kern w:val="0"/>
          <w:sz w:val="24"/>
          <w:szCs w:val="24"/>
          <w:lang w:val="en-US"/>
          <w14:ligatures w14:val="none"/>
        </w:rPr>
        <w:t xml:space="preserve">The pay rates outlined in Schedule 1 will be reviewed at least annually in consultation with other regions nationally and in line with the annual pay award agreement. </w:t>
      </w:r>
    </w:p>
    <w:p w14:paraId="7CA13DB2" w14:textId="77777777" w:rsidR="004F05FA" w:rsidRPr="00ED7620" w:rsidRDefault="004F05FA" w:rsidP="004F05FA">
      <w:pPr>
        <w:numPr>
          <w:ilvl w:val="0"/>
          <w:numId w:val="5"/>
        </w:numPr>
        <w:spacing w:before="119" w:after="119" w:line="360" w:lineRule="auto"/>
        <w:contextualSpacing/>
        <w:rPr>
          <w:rFonts w:ascii="Arial" w:eastAsia="Calibri" w:hAnsi="Arial" w:cs="Arial"/>
          <w:kern w:val="0"/>
          <w:sz w:val="24"/>
          <w:szCs w:val="24"/>
          <w:lang w:val="en-US"/>
          <w14:ligatures w14:val="none"/>
        </w:rPr>
      </w:pPr>
      <w:r w:rsidRPr="00ED7620">
        <w:rPr>
          <w:rFonts w:ascii="Arial" w:eastAsia="Calibri" w:hAnsi="Arial" w:cs="Arial"/>
          <w:kern w:val="0"/>
          <w:sz w:val="24"/>
          <w:szCs w:val="24"/>
          <w:lang w:val="en-US"/>
          <w14:ligatures w14:val="none"/>
        </w:rPr>
        <w:lastRenderedPageBreak/>
        <w:t xml:space="preserve">The protocols outlined in the GM Pledge will be reviewed at least annually </w:t>
      </w:r>
      <w:proofErr w:type="gramStart"/>
      <w:r w:rsidRPr="00ED7620">
        <w:rPr>
          <w:rFonts w:ascii="Arial" w:eastAsia="Calibri" w:hAnsi="Arial" w:cs="Arial"/>
          <w:kern w:val="0"/>
          <w:sz w:val="24"/>
          <w:szCs w:val="24"/>
          <w:lang w:val="en-US"/>
          <w14:ligatures w14:val="none"/>
        </w:rPr>
        <w:t>in order to</w:t>
      </w:r>
      <w:proofErr w:type="gramEnd"/>
      <w:r w:rsidRPr="00ED7620">
        <w:rPr>
          <w:rFonts w:ascii="Arial" w:eastAsia="Calibri" w:hAnsi="Arial" w:cs="Arial"/>
          <w:kern w:val="0"/>
          <w:sz w:val="24"/>
          <w:szCs w:val="24"/>
          <w:lang w:val="en-US"/>
          <w14:ligatures w14:val="none"/>
        </w:rPr>
        <w:t xml:space="preserve"> strengthen the GM Pledge. </w:t>
      </w:r>
    </w:p>
    <w:p w14:paraId="50C8D1D2" w14:textId="77777777" w:rsidR="004F05FA" w:rsidRPr="00ED7620" w:rsidRDefault="004F05FA" w:rsidP="004F05FA">
      <w:pPr>
        <w:numPr>
          <w:ilvl w:val="0"/>
          <w:numId w:val="5"/>
        </w:numPr>
        <w:spacing w:before="119" w:after="119" w:line="360" w:lineRule="auto"/>
        <w:contextualSpacing/>
        <w:rPr>
          <w:rFonts w:ascii="Arial" w:eastAsia="Calibri" w:hAnsi="Arial" w:cs="Arial"/>
          <w:kern w:val="0"/>
          <w:sz w:val="24"/>
          <w:szCs w:val="24"/>
          <w:lang w:val="en-US"/>
          <w14:ligatures w14:val="none"/>
        </w:rPr>
      </w:pPr>
      <w:r w:rsidRPr="00ED7620">
        <w:rPr>
          <w:rFonts w:ascii="Arial" w:eastAsia="Calibri" w:hAnsi="Arial" w:cs="Arial"/>
          <w:kern w:val="0"/>
          <w:sz w:val="24"/>
          <w:szCs w:val="24"/>
          <w:lang w:val="en-US"/>
          <w14:ligatures w14:val="none"/>
        </w:rPr>
        <w:t xml:space="preserve">The GM Pledge forms part of a wider strategic workforce </w:t>
      </w:r>
      <w:proofErr w:type="spellStart"/>
      <w:r w:rsidRPr="00ED7620">
        <w:rPr>
          <w:rFonts w:ascii="Arial" w:eastAsia="Calibri" w:hAnsi="Arial" w:cs="Arial"/>
          <w:kern w:val="0"/>
          <w:sz w:val="24"/>
          <w:szCs w:val="24"/>
          <w:lang w:val="en-US"/>
          <w14:ligatures w14:val="none"/>
        </w:rPr>
        <w:t>programme</w:t>
      </w:r>
      <w:proofErr w:type="spellEnd"/>
      <w:r w:rsidRPr="00ED7620">
        <w:rPr>
          <w:rFonts w:ascii="Arial" w:eastAsia="Calibri" w:hAnsi="Arial" w:cs="Arial"/>
          <w:kern w:val="0"/>
          <w:sz w:val="24"/>
          <w:szCs w:val="24"/>
          <w:lang w:val="en-US"/>
          <w14:ligatures w14:val="none"/>
        </w:rPr>
        <w:t xml:space="preserve"> to respond to CSW recruitment and retention challenges. </w:t>
      </w:r>
    </w:p>
    <w:p w14:paraId="43263E61" w14:textId="77777777" w:rsidR="004F05FA" w:rsidRPr="00ED7620" w:rsidRDefault="004F05FA" w:rsidP="004F05FA">
      <w:pPr>
        <w:numPr>
          <w:ilvl w:val="0"/>
          <w:numId w:val="5"/>
        </w:numPr>
        <w:spacing w:before="119" w:after="119" w:line="360" w:lineRule="auto"/>
        <w:contextualSpacing/>
        <w:rPr>
          <w:rFonts w:ascii="Arial" w:eastAsia="Calibri" w:hAnsi="Arial" w:cs="Arial"/>
          <w:kern w:val="0"/>
          <w:sz w:val="24"/>
          <w:szCs w:val="24"/>
          <w:lang w:val="en-US"/>
          <w14:ligatures w14:val="none"/>
        </w:rPr>
      </w:pPr>
      <w:r w:rsidRPr="00ED7620">
        <w:rPr>
          <w:rFonts w:ascii="Arial" w:eastAsia="Calibri" w:hAnsi="Arial" w:cs="Arial"/>
          <w:kern w:val="0"/>
          <w:sz w:val="24"/>
          <w:szCs w:val="24"/>
          <w:lang w:val="en-US"/>
          <w14:ligatures w14:val="none"/>
        </w:rPr>
        <w:t>The Local Authorities will collaborate with other regions to strengthen the GM Pledge and developed shared objectives and opportunities where appropriate.</w:t>
      </w:r>
    </w:p>
    <w:p w14:paraId="2D33E7F4" w14:textId="77777777" w:rsidR="004F05FA" w:rsidRPr="00ED7620" w:rsidRDefault="004F05FA" w:rsidP="004F05FA">
      <w:pPr>
        <w:numPr>
          <w:ilvl w:val="0"/>
          <w:numId w:val="5"/>
        </w:numPr>
        <w:spacing w:before="119" w:after="119" w:line="360" w:lineRule="auto"/>
        <w:contextualSpacing/>
        <w:rPr>
          <w:rFonts w:ascii="Arial" w:eastAsia="Calibri" w:hAnsi="Arial" w:cs="Arial"/>
          <w:kern w:val="0"/>
          <w:sz w:val="24"/>
          <w:szCs w:val="24"/>
          <w:lang w:val="en-US"/>
          <w14:ligatures w14:val="none"/>
        </w:rPr>
      </w:pPr>
      <w:r w:rsidRPr="00ED7620">
        <w:rPr>
          <w:rFonts w:ascii="Arial" w:eastAsia="Calibri" w:hAnsi="Arial" w:cs="Arial"/>
          <w:kern w:val="0"/>
          <w:sz w:val="24"/>
          <w:szCs w:val="24"/>
          <w:lang w:val="en-US"/>
          <w14:ligatures w14:val="none"/>
        </w:rPr>
        <w:t xml:space="preserve">The GM Pledge will be reviewed following the first 12 months and an analysis of success will be provided to each Local Authority. </w:t>
      </w:r>
    </w:p>
    <w:p w14:paraId="3B5657E1" w14:textId="77777777" w:rsidR="004F05FA" w:rsidRPr="00ED7620" w:rsidRDefault="004F05FA" w:rsidP="004F05FA">
      <w:pPr>
        <w:ind w:left="720"/>
        <w:contextualSpacing/>
        <w:rPr>
          <w:rFonts w:ascii="Arial" w:eastAsia="Calibri" w:hAnsi="Arial" w:cs="Arial"/>
          <w:kern w:val="0"/>
          <w:sz w:val="24"/>
          <w:szCs w:val="24"/>
          <w:lang w:val="en-US"/>
          <w14:ligatures w14:val="none"/>
        </w:rPr>
      </w:pPr>
    </w:p>
    <w:p w14:paraId="7A761D37" w14:textId="77777777" w:rsidR="004F05FA" w:rsidRPr="00ED7620" w:rsidRDefault="004F05FA" w:rsidP="004F05FA">
      <w:pPr>
        <w:ind w:left="720"/>
        <w:contextualSpacing/>
        <w:rPr>
          <w:rFonts w:ascii="Arial" w:eastAsia="Calibri" w:hAnsi="Arial" w:cs="Arial"/>
          <w:kern w:val="0"/>
          <w:sz w:val="24"/>
          <w:szCs w:val="24"/>
          <w:lang w:val="en-US"/>
          <w14:ligatures w14:val="none"/>
        </w:rPr>
      </w:pPr>
    </w:p>
    <w:p w14:paraId="204BB5F4" w14:textId="6B0C7F20" w:rsidR="004F05FA" w:rsidRPr="00ED7620" w:rsidRDefault="004F05FA" w:rsidP="004F05FA">
      <w:pPr>
        <w:spacing w:before="119" w:after="119" w:line="360" w:lineRule="auto"/>
        <w:rPr>
          <w:rFonts w:ascii="Arial" w:eastAsia="Calibri" w:hAnsi="Arial" w:cs="Arial"/>
          <w:kern w:val="0"/>
          <w:sz w:val="24"/>
          <w:szCs w:val="24"/>
          <w:lang w:val="en-US"/>
          <w14:ligatures w14:val="none"/>
        </w:rPr>
      </w:pPr>
      <w:r w:rsidRPr="00ED7620">
        <w:rPr>
          <w:rFonts w:ascii="Arial" w:eastAsia="Times New Roman" w:hAnsi="Arial" w:cs="Arial"/>
          <w:b/>
          <w:bCs/>
          <w:i/>
          <w:iCs/>
          <w:color w:val="262626"/>
          <w:kern w:val="0"/>
          <w:sz w:val="24"/>
          <w:szCs w:val="24"/>
          <w:lang w:eastAsia="en-GB"/>
          <w14:ligatures w14:val="none"/>
        </w:rPr>
        <w:t xml:space="preserve">The Pledge was signed by Lead Members for Children and Young People and Directors of Children’s Services on Friday 17 November 2023. </w:t>
      </w:r>
      <w:r w:rsidR="00863156" w:rsidRPr="00ED7620">
        <w:rPr>
          <w:rFonts w:ascii="Arial" w:eastAsia="Times New Roman" w:hAnsi="Arial" w:cs="Arial"/>
          <w:b/>
          <w:bCs/>
          <w:i/>
          <w:iCs/>
          <w:kern w:val="0"/>
          <w:sz w:val="24"/>
          <w:szCs w:val="24"/>
          <w:lang w:eastAsia="en-GB"/>
          <w14:ligatures w14:val="none"/>
        </w:rPr>
        <w:t>An</w:t>
      </w:r>
      <w:r w:rsidR="00553194" w:rsidRPr="00ED7620">
        <w:rPr>
          <w:rFonts w:ascii="Arial" w:eastAsia="Times New Roman" w:hAnsi="Arial" w:cs="Arial"/>
          <w:b/>
          <w:bCs/>
          <w:i/>
          <w:iCs/>
          <w:kern w:val="0"/>
          <w:sz w:val="24"/>
          <w:szCs w:val="24"/>
          <w:lang w:eastAsia="en-GB"/>
          <w14:ligatures w14:val="none"/>
        </w:rPr>
        <w:t xml:space="preserve">d </w:t>
      </w:r>
      <w:r w:rsidR="00863156" w:rsidRPr="00ED7620">
        <w:rPr>
          <w:rFonts w:ascii="Arial" w:eastAsia="Times New Roman" w:hAnsi="Arial" w:cs="Arial"/>
          <w:b/>
          <w:bCs/>
          <w:i/>
          <w:iCs/>
          <w:kern w:val="0"/>
          <w:sz w:val="24"/>
          <w:szCs w:val="24"/>
          <w:lang w:eastAsia="en-GB"/>
          <w14:ligatures w14:val="none"/>
        </w:rPr>
        <w:t>updated in October 2024 to meet the requirements of the DfE statutory rules/guidance.</w:t>
      </w:r>
    </w:p>
    <w:p w14:paraId="13900592" w14:textId="77777777" w:rsidR="004F05FA" w:rsidRPr="00ED7620" w:rsidRDefault="004F05FA" w:rsidP="004F05FA">
      <w:pPr>
        <w:ind w:left="720"/>
        <w:contextualSpacing/>
        <w:rPr>
          <w:rFonts w:ascii="Arial" w:eastAsia="Calibri" w:hAnsi="Arial" w:cs="Arial"/>
          <w:kern w:val="0"/>
          <w:sz w:val="24"/>
          <w:szCs w:val="24"/>
          <w:lang w:val="en-US"/>
          <w14:ligatures w14:val="none"/>
        </w:rPr>
      </w:pPr>
    </w:p>
    <w:p w14:paraId="173260CC" w14:textId="77777777" w:rsidR="004F05FA" w:rsidRPr="00ED7620" w:rsidRDefault="004F05FA" w:rsidP="004F05FA">
      <w:pPr>
        <w:spacing w:before="119" w:after="119" w:line="360" w:lineRule="auto"/>
        <w:rPr>
          <w:rFonts w:ascii="Arial" w:eastAsia="Times New Roman" w:hAnsi="Arial" w:cs="Arial"/>
          <w:b/>
          <w:bCs/>
          <w:i/>
          <w:iCs/>
          <w:color w:val="262626"/>
          <w:kern w:val="0"/>
          <w:sz w:val="24"/>
          <w:szCs w:val="24"/>
          <w:lang w:eastAsia="en-GB"/>
          <w14:ligatures w14:val="none"/>
        </w:rPr>
      </w:pPr>
    </w:p>
    <w:p w14:paraId="02B832C7" w14:textId="77777777" w:rsidR="004F05FA" w:rsidRPr="00ED7620" w:rsidRDefault="004F05FA" w:rsidP="004F05FA">
      <w:pPr>
        <w:spacing w:before="119" w:after="119" w:line="360" w:lineRule="auto"/>
        <w:rPr>
          <w:rFonts w:ascii="Arial" w:eastAsia="Times New Roman" w:hAnsi="Arial" w:cs="Arial"/>
          <w:b/>
          <w:bCs/>
          <w:i/>
          <w:iCs/>
          <w:color w:val="262626"/>
          <w:kern w:val="0"/>
          <w:sz w:val="24"/>
          <w:szCs w:val="24"/>
          <w:lang w:eastAsia="en-GB"/>
          <w14:ligatures w14:val="none"/>
        </w:rPr>
      </w:pPr>
    </w:p>
    <w:p w14:paraId="6F80A666" w14:textId="77777777" w:rsidR="004F05FA" w:rsidRPr="00ED7620" w:rsidRDefault="004F05FA" w:rsidP="004F05FA">
      <w:pPr>
        <w:spacing w:before="119" w:after="119" w:line="360" w:lineRule="auto"/>
        <w:rPr>
          <w:rFonts w:ascii="Arial" w:eastAsia="Times New Roman" w:hAnsi="Arial" w:cs="Arial"/>
          <w:b/>
          <w:bCs/>
          <w:i/>
          <w:iCs/>
          <w:color w:val="262626"/>
          <w:kern w:val="0"/>
          <w:sz w:val="24"/>
          <w:szCs w:val="24"/>
          <w:lang w:eastAsia="en-GB"/>
          <w14:ligatures w14:val="none"/>
        </w:rPr>
      </w:pPr>
    </w:p>
    <w:p w14:paraId="357C9A68" w14:textId="77777777" w:rsidR="004F05FA" w:rsidRPr="00ED7620" w:rsidRDefault="004F05FA" w:rsidP="004F05FA">
      <w:pPr>
        <w:jc w:val="center"/>
        <w:rPr>
          <w:rFonts w:ascii="Arial" w:eastAsia="Calibri" w:hAnsi="Arial" w:cs="Arial"/>
          <w:b/>
          <w:bCs/>
          <w:kern w:val="0"/>
          <w:sz w:val="24"/>
          <w:szCs w:val="24"/>
          <w:lang w:val="en-US"/>
          <w14:ligatures w14:val="none"/>
        </w:rPr>
      </w:pPr>
    </w:p>
    <w:p w14:paraId="083C6239" w14:textId="77777777" w:rsidR="004F05FA" w:rsidRPr="00ED7620" w:rsidRDefault="004F05FA" w:rsidP="004F05FA">
      <w:pPr>
        <w:jc w:val="center"/>
        <w:rPr>
          <w:rFonts w:ascii="Arial" w:eastAsia="Calibri" w:hAnsi="Arial" w:cs="Arial"/>
          <w:b/>
          <w:bCs/>
          <w:kern w:val="0"/>
          <w:sz w:val="24"/>
          <w:szCs w:val="24"/>
          <w:lang w:val="en-US"/>
          <w14:ligatures w14:val="none"/>
        </w:rPr>
      </w:pPr>
    </w:p>
    <w:p w14:paraId="0F90E167" w14:textId="77777777" w:rsidR="004F05FA" w:rsidRPr="00ED7620" w:rsidRDefault="004F05FA" w:rsidP="004F05FA">
      <w:pPr>
        <w:rPr>
          <w:rFonts w:ascii="Arial" w:eastAsia="Calibri" w:hAnsi="Arial" w:cs="Arial"/>
          <w:b/>
          <w:bCs/>
          <w:kern w:val="0"/>
          <w:sz w:val="24"/>
          <w:szCs w:val="24"/>
          <w:lang w:val="en-US"/>
          <w14:ligatures w14:val="none"/>
        </w:rPr>
      </w:pPr>
      <w:r w:rsidRPr="00ED7620">
        <w:rPr>
          <w:rFonts w:ascii="Arial" w:eastAsia="Calibri" w:hAnsi="Arial" w:cs="Arial"/>
          <w:b/>
          <w:bCs/>
          <w:kern w:val="0"/>
          <w:sz w:val="24"/>
          <w:szCs w:val="24"/>
          <w:lang w:val="en-US"/>
          <w14:ligatures w14:val="none"/>
        </w:rPr>
        <w:br w:type="page"/>
      </w:r>
    </w:p>
    <w:p w14:paraId="4423E4D7" w14:textId="77777777" w:rsidR="004F05FA" w:rsidRPr="00ED7620" w:rsidRDefault="004F05FA" w:rsidP="004F05FA">
      <w:pPr>
        <w:jc w:val="center"/>
        <w:rPr>
          <w:rFonts w:ascii="Arial" w:eastAsia="Calibri" w:hAnsi="Arial" w:cs="Arial"/>
          <w:b/>
          <w:bCs/>
          <w:kern w:val="0"/>
          <w:sz w:val="24"/>
          <w:szCs w:val="24"/>
          <w:lang w:val="en-US"/>
          <w14:ligatures w14:val="none"/>
        </w:rPr>
      </w:pPr>
      <w:r w:rsidRPr="00ED7620">
        <w:rPr>
          <w:rFonts w:ascii="Arial" w:eastAsia="Calibri" w:hAnsi="Arial" w:cs="Arial"/>
          <w:b/>
          <w:bCs/>
          <w:kern w:val="0"/>
          <w:sz w:val="24"/>
          <w:szCs w:val="24"/>
          <w:lang w:val="en-US"/>
          <w14:ligatures w14:val="none"/>
        </w:rPr>
        <w:lastRenderedPageBreak/>
        <w:t xml:space="preserve">Schedule 1 </w:t>
      </w:r>
    </w:p>
    <w:p w14:paraId="300EDD54" w14:textId="77777777" w:rsidR="004F05FA" w:rsidRPr="00ED7620" w:rsidRDefault="004F05FA" w:rsidP="004F05FA">
      <w:pPr>
        <w:rPr>
          <w:rFonts w:ascii="Arial" w:eastAsia="Calibri" w:hAnsi="Arial" w:cs="Arial"/>
          <w:b/>
          <w:bCs/>
          <w:kern w:val="0"/>
          <w:sz w:val="24"/>
          <w:szCs w:val="24"/>
          <w:lang w:val="en-US"/>
          <w14:ligatures w14:val="none"/>
        </w:rPr>
      </w:pPr>
      <w:r w:rsidRPr="00ED7620">
        <w:rPr>
          <w:rFonts w:ascii="Arial" w:eastAsia="Calibri" w:hAnsi="Arial" w:cs="Arial"/>
          <w:b/>
          <w:bCs/>
          <w:kern w:val="0"/>
          <w:sz w:val="24"/>
          <w:szCs w:val="24"/>
          <w:u w:val="single"/>
          <w:lang w:val="en-US"/>
          <w14:ligatures w14:val="none"/>
        </w:rPr>
        <w:t>FTE Pay rates for new agency staff (inclusive of on costs, exclusive of agency mark- up)</w:t>
      </w:r>
      <w:r w:rsidRPr="00ED7620">
        <w:rPr>
          <w:rFonts w:ascii="Arial" w:eastAsia="Calibri" w:hAnsi="Arial" w:cs="Arial"/>
          <w:b/>
          <w:bCs/>
          <w:kern w:val="0"/>
          <w:sz w:val="24"/>
          <w:szCs w:val="24"/>
          <w:lang w:val="en-US"/>
          <w14:ligatures w14:val="none"/>
        </w:rPr>
        <w:t xml:space="preserve"> </w:t>
      </w:r>
    </w:p>
    <w:p w14:paraId="454DB575" w14:textId="77777777" w:rsidR="004F05FA" w:rsidRPr="00ED7620" w:rsidRDefault="004F05FA" w:rsidP="004F05FA">
      <w:pPr>
        <w:rPr>
          <w:rFonts w:ascii="Arial" w:eastAsia="Calibri" w:hAnsi="Arial" w:cs="Arial"/>
          <w:kern w:val="0"/>
          <w:sz w:val="24"/>
          <w:szCs w:val="24"/>
          <w:lang w:val="en-US"/>
          <w14:ligatures w14:val="none"/>
        </w:rPr>
      </w:pPr>
      <w:r w:rsidRPr="00ED7620">
        <w:rPr>
          <w:rFonts w:ascii="Arial" w:eastAsia="Calibri" w:hAnsi="Arial" w:cs="Arial"/>
          <w:kern w:val="0"/>
          <w:sz w:val="24"/>
          <w:szCs w:val="24"/>
          <w:lang w:val="en-US"/>
          <w14:ligatures w14:val="none"/>
        </w:rPr>
        <w:t xml:space="preserve">The rates set out below are hourly rates (umbrella/Ltd company rates) and must be converted for the PAYE equivalent candidates. </w:t>
      </w:r>
    </w:p>
    <w:p w14:paraId="51373074" w14:textId="77777777" w:rsidR="004F05FA" w:rsidRPr="00ED7620" w:rsidRDefault="004F05FA" w:rsidP="004F05FA">
      <w:pPr>
        <w:rPr>
          <w:rFonts w:ascii="Arial" w:eastAsia="Calibri" w:hAnsi="Arial" w:cs="Arial"/>
          <w:kern w:val="0"/>
          <w:sz w:val="24"/>
          <w:szCs w:val="24"/>
          <w:lang w:val="en-US"/>
          <w14:ligatures w14:val="none"/>
        </w:rPr>
      </w:pPr>
      <w:r w:rsidRPr="00ED7620">
        <w:rPr>
          <w:rFonts w:ascii="Arial" w:eastAsia="Calibri" w:hAnsi="Arial" w:cs="Arial"/>
          <w:kern w:val="0"/>
          <w:sz w:val="24"/>
          <w:szCs w:val="24"/>
          <w:lang w:val="en-US"/>
          <w14:ligatures w14:val="none"/>
        </w:rPr>
        <w:t xml:space="preserve">These are rates inclusive of Employers' NI and holiday pay </w:t>
      </w:r>
      <w:proofErr w:type="spellStart"/>
      <w:r w:rsidRPr="00ED7620">
        <w:rPr>
          <w:rFonts w:ascii="Arial" w:eastAsia="Calibri" w:hAnsi="Arial" w:cs="Arial"/>
          <w:kern w:val="0"/>
          <w:sz w:val="24"/>
          <w:szCs w:val="24"/>
          <w:lang w:val="en-US"/>
          <w14:ligatures w14:val="none"/>
        </w:rPr>
        <w:t>ie</w:t>
      </w:r>
      <w:proofErr w:type="spellEnd"/>
      <w:r w:rsidRPr="00ED7620">
        <w:rPr>
          <w:rFonts w:ascii="Arial" w:eastAsia="Calibri" w:hAnsi="Arial" w:cs="Arial"/>
          <w:kern w:val="0"/>
          <w:sz w:val="24"/>
          <w:szCs w:val="24"/>
          <w:lang w:val="en-US"/>
          <w14:ligatures w14:val="none"/>
        </w:rPr>
        <w:t xml:space="preserve">. equivalent to Ltd Co/Umbrella rates. The rates exclude agency mark ups, which are unchanged. </w:t>
      </w:r>
    </w:p>
    <w:p w14:paraId="4D4AC202" w14:textId="77777777" w:rsidR="004F05FA" w:rsidRPr="00ED7620" w:rsidRDefault="004F05FA" w:rsidP="004F05FA">
      <w:pPr>
        <w:rPr>
          <w:rFonts w:ascii="Arial" w:eastAsia="Calibri" w:hAnsi="Arial" w:cs="Arial"/>
          <w:kern w:val="0"/>
          <w:sz w:val="24"/>
          <w:szCs w:val="24"/>
          <w:lang w:val="en-US"/>
          <w14:ligatures w14:val="none"/>
        </w:rPr>
      </w:pPr>
      <w:r w:rsidRPr="00ED7620">
        <w:rPr>
          <w:rFonts w:ascii="Arial" w:eastAsia="Calibri" w:hAnsi="Arial" w:cs="Arial"/>
          <w:kern w:val="0"/>
          <w:sz w:val="24"/>
          <w:szCs w:val="24"/>
          <w:lang w:val="en-US"/>
          <w14:ligatures w14:val="none"/>
        </w:rPr>
        <w:t xml:space="preserve">These rates have been arrived at by analysis of data collected from Greater Manchester Authorities’ outlining the most common pay rates, as well as in collaboration with </w:t>
      </w:r>
      <w:proofErr w:type="spellStart"/>
      <w:r w:rsidRPr="00ED7620">
        <w:rPr>
          <w:rFonts w:ascii="Arial" w:eastAsia="Calibri" w:hAnsi="Arial" w:cs="Arial"/>
          <w:kern w:val="0"/>
          <w:sz w:val="24"/>
          <w:szCs w:val="24"/>
          <w:lang w:val="en-US"/>
          <w14:ligatures w14:val="none"/>
        </w:rPr>
        <w:t>neighbouring</w:t>
      </w:r>
      <w:proofErr w:type="spellEnd"/>
      <w:r w:rsidRPr="00ED7620">
        <w:rPr>
          <w:rFonts w:ascii="Arial" w:eastAsia="Calibri" w:hAnsi="Arial" w:cs="Arial"/>
          <w:kern w:val="0"/>
          <w:sz w:val="24"/>
          <w:szCs w:val="24"/>
          <w:lang w:val="en-US"/>
          <w14:ligatures w14:val="none"/>
        </w:rPr>
        <w:t xml:space="preserve"> regions to ensure that they are representative of market rates. </w:t>
      </w:r>
    </w:p>
    <w:p w14:paraId="4801A7D5" w14:textId="77777777" w:rsidR="004F05FA" w:rsidRPr="00ED7620" w:rsidRDefault="004F05FA" w:rsidP="004F05FA">
      <w:pPr>
        <w:rPr>
          <w:rFonts w:ascii="Arial" w:eastAsia="Calibri" w:hAnsi="Arial" w:cs="Arial"/>
          <w:kern w:val="0"/>
          <w:sz w:val="24"/>
          <w:szCs w:val="24"/>
          <w:lang w:val="en-US"/>
          <w14:ligatures w14:val="none"/>
        </w:rPr>
      </w:pPr>
      <w:r w:rsidRPr="00ED7620">
        <w:rPr>
          <w:rFonts w:ascii="Arial" w:eastAsia="Calibri" w:hAnsi="Arial" w:cs="Arial"/>
          <w:kern w:val="0"/>
          <w:sz w:val="24"/>
          <w:szCs w:val="24"/>
          <w:lang w:val="en-US"/>
          <w14:ligatures w14:val="none"/>
        </w:rPr>
        <w:t>The pay rates have been applied based on existing agreed rates across Greater Manchester.</w:t>
      </w:r>
    </w:p>
    <w:tbl>
      <w:tblPr>
        <w:tblStyle w:val="TableGrid1"/>
        <w:tblW w:w="0" w:type="auto"/>
        <w:jc w:val="center"/>
        <w:tblLayout w:type="fixed"/>
        <w:tblLook w:val="06A0" w:firstRow="1" w:lastRow="0" w:firstColumn="1" w:lastColumn="0" w:noHBand="1" w:noVBand="1"/>
        <w:tblCaption w:val="Pay rates"/>
        <w:tblDescription w:val="Rates of pay for social work job categories: social worker up to and including £39, Senior Social Worker up to and including £40, Advanced Practitioner up to and including £40, Independent Reviewing Officer/Conference Chair up to and including £40, Team Manager up to and including £46."/>
      </w:tblPr>
      <w:tblGrid>
        <w:gridCol w:w="4680"/>
        <w:gridCol w:w="4680"/>
      </w:tblGrid>
      <w:tr w:rsidR="004F05FA" w:rsidRPr="00ED7620" w14:paraId="67140A1A" w14:textId="77777777" w:rsidTr="00FA03DD">
        <w:trPr>
          <w:trHeight w:val="300"/>
          <w:jc w:val="center"/>
        </w:trPr>
        <w:tc>
          <w:tcPr>
            <w:tcW w:w="4680" w:type="dxa"/>
          </w:tcPr>
          <w:p w14:paraId="02907FCF" w14:textId="77777777" w:rsidR="004F05FA" w:rsidRPr="00ED7620" w:rsidRDefault="004F05FA" w:rsidP="004F05FA">
            <w:pPr>
              <w:rPr>
                <w:rFonts w:ascii="Arial" w:eastAsia="Calibri" w:hAnsi="Arial" w:cs="Arial"/>
                <w:b/>
                <w:bCs/>
                <w:sz w:val="24"/>
                <w:szCs w:val="24"/>
              </w:rPr>
            </w:pPr>
            <w:r w:rsidRPr="00ED7620">
              <w:rPr>
                <w:rFonts w:ascii="Arial" w:eastAsia="Calibri" w:hAnsi="Arial" w:cs="Arial"/>
                <w:b/>
                <w:bCs/>
                <w:sz w:val="24"/>
                <w:szCs w:val="24"/>
              </w:rPr>
              <w:t>Job Categories</w:t>
            </w:r>
          </w:p>
        </w:tc>
        <w:tc>
          <w:tcPr>
            <w:tcW w:w="4680" w:type="dxa"/>
          </w:tcPr>
          <w:p w14:paraId="7C83CB1D" w14:textId="77777777" w:rsidR="004F05FA" w:rsidRPr="00ED7620" w:rsidRDefault="004F05FA" w:rsidP="004F05FA">
            <w:pPr>
              <w:rPr>
                <w:rFonts w:ascii="Arial" w:eastAsia="Calibri" w:hAnsi="Arial" w:cs="Arial"/>
                <w:b/>
                <w:bCs/>
                <w:sz w:val="24"/>
                <w:szCs w:val="24"/>
              </w:rPr>
            </w:pPr>
            <w:r w:rsidRPr="00ED7620">
              <w:rPr>
                <w:rFonts w:ascii="Arial" w:eastAsia="Calibri" w:hAnsi="Arial" w:cs="Arial"/>
                <w:b/>
                <w:bCs/>
                <w:sz w:val="24"/>
                <w:szCs w:val="24"/>
              </w:rPr>
              <w:t>Agency Worker Pay Rate</w:t>
            </w:r>
          </w:p>
        </w:tc>
      </w:tr>
      <w:tr w:rsidR="004F05FA" w:rsidRPr="00ED7620" w14:paraId="5F1451D2" w14:textId="77777777" w:rsidTr="00FA03DD">
        <w:trPr>
          <w:trHeight w:val="300"/>
          <w:jc w:val="center"/>
        </w:trPr>
        <w:tc>
          <w:tcPr>
            <w:tcW w:w="4680" w:type="dxa"/>
          </w:tcPr>
          <w:p w14:paraId="06D46DE0" w14:textId="77777777" w:rsidR="004F05FA" w:rsidRPr="00ED7620" w:rsidRDefault="004F05FA" w:rsidP="004F05FA">
            <w:pPr>
              <w:rPr>
                <w:rFonts w:ascii="Arial" w:eastAsia="Calibri" w:hAnsi="Arial" w:cs="Arial"/>
                <w:sz w:val="24"/>
                <w:szCs w:val="24"/>
              </w:rPr>
            </w:pPr>
            <w:r w:rsidRPr="00ED7620">
              <w:rPr>
                <w:rFonts w:ascii="Arial" w:eastAsia="Calibri" w:hAnsi="Arial" w:cs="Arial"/>
                <w:sz w:val="24"/>
                <w:szCs w:val="24"/>
              </w:rPr>
              <w:t>Social Worker</w:t>
            </w:r>
          </w:p>
        </w:tc>
        <w:tc>
          <w:tcPr>
            <w:tcW w:w="4680" w:type="dxa"/>
          </w:tcPr>
          <w:p w14:paraId="1E87E978" w14:textId="77777777" w:rsidR="004F05FA" w:rsidRPr="00ED7620" w:rsidRDefault="004F05FA" w:rsidP="004F05FA">
            <w:pPr>
              <w:rPr>
                <w:rFonts w:ascii="Arial" w:eastAsia="Calibri" w:hAnsi="Arial" w:cs="Arial"/>
                <w:sz w:val="24"/>
                <w:szCs w:val="24"/>
              </w:rPr>
            </w:pPr>
            <w:r w:rsidRPr="00ED7620">
              <w:rPr>
                <w:rFonts w:ascii="Arial" w:eastAsia="Calibri" w:hAnsi="Arial" w:cs="Arial"/>
                <w:sz w:val="24"/>
                <w:szCs w:val="24"/>
              </w:rPr>
              <w:t>Up to and including £39.00</w:t>
            </w:r>
          </w:p>
        </w:tc>
      </w:tr>
      <w:tr w:rsidR="004F05FA" w:rsidRPr="00ED7620" w14:paraId="532589DE" w14:textId="77777777" w:rsidTr="00FA03DD">
        <w:trPr>
          <w:trHeight w:val="300"/>
          <w:jc w:val="center"/>
        </w:trPr>
        <w:tc>
          <w:tcPr>
            <w:tcW w:w="4680" w:type="dxa"/>
          </w:tcPr>
          <w:p w14:paraId="2993CC18" w14:textId="542A1462" w:rsidR="004F05FA" w:rsidRPr="00ED7620" w:rsidRDefault="004F05FA" w:rsidP="004F05FA">
            <w:pPr>
              <w:rPr>
                <w:rFonts w:ascii="Arial" w:eastAsia="Calibri" w:hAnsi="Arial" w:cs="Arial"/>
                <w:sz w:val="24"/>
                <w:szCs w:val="24"/>
              </w:rPr>
            </w:pPr>
            <w:r w:rsidRPr="00ED7620">
              <w:rPr>
                <w:rFonts w:ascii="Arial" w:eastAsia="Calibri" w:hAnsi="Arial" w:cs="Arial"/>
                <w:sz w:val="24"/>
                <w:szCs w:val="24"/>
              </w:rPr>
              <w:t>Senior Social Worker</w:t>
            </w:r>
          </w:p>
        </w:tc>
        <w:tc>
          <w:tcPr>
            <w:tcW w:w="4680" w:type="dxa"/>
          </w:tcPr>
          <w:p w14:paraId="2609704A" w14:textId="77777777" w:rsidR="004F05FA" w:rsidRPr="00ED7620" w:rsidRDefault="004F05FA" w:rsidP="004F05FA">
            <w:pPr>
              <w:rPr>
                <w:rFonts w:ascii="Arial" w:eastAsia="Calibri" w:hAnsi="Arial" w:cs="Arial"/>
                <w:sz w:val="24"/>
                <w:szCs w:val="24"/>
              </w:rPr>
            </w:pPr>
            <w:r w:rsidRPr="00ED7620">
              <w:rPr>
                <w:rFonts w:ascii="Arial" w:eastAsia="Calibri" w:hAnsi="Arial" w:cs="Arial"/>
                <w:sz w:val="24"/>
                <w:szCs w:val="24"/>
              </w:rPr>
              <w:t>Up to and including £40.00</w:t>
            </w:r>
          </w:p>
        </w:tc>
      </w:tr>
      <w:tr w:rsidR="00012596" w:rsidRPr="00ED7620" w14:paraId="5EAAAE23" w14:textId="77777777" w:rsidTr="00FA03DD">
        <w:trPr>
          <w:trHeight w:val="300"/>
          <w:jc w:val="center"/>
        </w:trPr>
        <w:tc>
          <w:tcPr>
            <w:tcW w:w="4680" w:type="dxa"/>
          </w:tcPr>
          <w:p w14:paraId="08482B8E" w14:textId="0DDE9B7D" w:rsidR="00012596" w:rsidRPr="00ED7620" w:rsidRDefault="00012596" w:rsidP="004F05FA">
            <w:pPr>
              <w:rPr>
                <w:rFonts w:ascii="Arial" w:eastAsia="Calibri" w:hAnsi="Arial" w:cs="Arial"/>
                <w:sz w:val="24"/>
                <w:szCs w:val="24"/>
              </w:rPr>
            </w:pPr>
            <w:r w:rsidRPr="00ED7620">
              <w:rPr>
                <w:rFonts w:ascii="Arial" w:eastAsia="Calibri" w:hAnsi="Arial" w:cs="Arial"/>
                <w:sz w:val="24"/>
                <w:szCs w:val="24"/>
              </w:rPr>
              <w:t xml:space="preserve">Advanced </w:t>
            </w:r>
            <w:r w:rsidR="009D72DD" w:rsidRPr="00ED7620">
              <w:rPr>
                <w:rFonts w:ascii="Arial" w:eastAsia="Calibri" w:hAnsi="Arial" w:cs="Arial"/>
                <w:sz w:val="24"/>
                <w:szCs w:val="24"/>
              </w:rPr>
              <w:t>Practitioner</w:t>
            </w:r>
          </w:p>
        </w:tc>
        <w:tc>
          <w:tcPr>
            <w:tcW w:w="4680" w:type="dxa"/>
          </w:tcPr>
          <w:p w14:paraId="53BB975D" w14:textId="4B98C51B" w:rsidR="00012596" w:rsidRPr="00ED7620" w:rsidRDefault="009D72DD" w:rsidP="004F05FA">
            <w:pPr>
              <w:rPr>
                <w:rFonts w:ascii="Arial" w:eastAsia="Calibri" w:hAnsi="Arial" w:cs="Arial"/>
                <w:sz w:val="24"/>
                <w:szCs w:val="24"/>
              </w:rPr>
            </w:pPr>
            <w:r w:rsidRPr="00ED7620">
              <w:rPr>
                <w:rFonts w:ascii="Arial" w:eastAsia="Calibri" w:hAnsi="Arial" w:cs="Arial"/>
                <w:sz w:val="24"/>
                <w:szCs w:val="24"/>
              </w:rPr>
              <w:t>Up to and including £40.00</w:t>
            </w:r>
          </w:p>
        </w:tc>
      </w:tr>
      <w:tr w:rsidR="009D72DD" w:rsidRPr="00ED7620" w14:paraId="027147A0" w14:textId="77777777" w:rsidTr="00FA03DD">
        <w:trPr>
          <w:trHeight w:val="300"/>
          <w:jc w:val="center"/>
        </w:trPr>
        <w:tc>
          <w:tcPr>
            <w:tcW w:w="4680" w:type="dxa"/>
          </w:tcPr>
          <w:p w14:paraId="01A99701" w14:textId="3242F25F" w:rsidR="009D72DD" w:rsidRPr="00ED7620" w:rsidRDefault="009D72DD" w:rsidP="004F05FA">
            <w:pPr>
              <w:rPr>
                <w:rFonts w:ascii="Arial" w:eastAsia="Calibri" w:hAnsi="Arial" w:cs="Arial"/>
                <w:sz w:val="24"/>
                <w:szCs w:val="24"/>
              </w:rPr>
            </w:pPr>
            <w:r w:rsidRPr="00ED7620">
              <w:rPr>
                <w:rFonts w:ascii="Arial" w:eastAsia="Calibri" w:hAnsi="Arial" w:cs="Arial"/>
                <w:sz w:val="24"/>
                <w:szCs w:val="24"/>
              </w:rPr>
              <w:t>IRO/Conference Chair</w:t>
            </w:r>
          </w:p>
        </w:tc>
        <w:tc>
          <w:tcPr>
            <w:tcW w:w="4680" w:type="dxa"/>
          </w:tcPr>
          <w:p w14:paraId="6212B331" w14:textId="461B848D" w:rsidR="009D72DD" w:rsidRPr="00ED7620" w:rsidRDefault="009D72DD" w:rsidP="004F05FA">
            <w:pPr>
              <w:rPr>
                <w:rFonts w:ascii="Arial" w:eastAsia="Calibri" w:hAnsi="Arial" w:cs="Arial"/>
                <w:sz w:val="24"/>
                <w:szCs w:val="24"/>
              </w:rPr>
            </w:pPr>
            <w:r w:rsidRPr="00ED7620">
              <w:rPr>
                <w:rFonts w:ascii="Arial" w:eastAsia="Calibri" w:hAnsi="Arial" w:cs="Arial"/>
                <w:sz w:val="24"/>
                <w:szCs w:val="24"/>
              </w:rPr>
              <w:t>Up to and including £40.00</w:t>
            </w:r>
          </w:p>
        </w:tc>
      </w:tr>
      <w:tr w:rsidR="004F05FA" w:rsidRPr="00ED7620" w14:paraId="09C00A03" w14:textId="77777777" w:rsidTr="00FA03DD">
        <w:trPr>
          <w:trHeight w:val="300"/>
          <w:jc w:val="center"/>
        </w:trPr>
        <w:tc>
          <w:tcPr>
            <w:tcW w:w="4680" w:type="dxa"/>
          </w:tcPr>
          <w:p w14:paraId="58726E09" w14:textId="77777777" w:rsidR="004F05FA" w:rsidRPr="00ED7620" w:rsidRDefault="004F05FA" w:rsidP="004F05FA">
            <w:pPr>
              <w:rPr>
                <w:rFonts w:ascii="Arial" w:eastAsia="Calibri" w:hAnsi="Arial" w:cs="Arial"/>
                <w:sz w:val="24"/>
                <w:szCs w:val="24"/>
              </w:rPr>
            </w:pPr>
            <w:r w:rsidRPr="00ED7620">
              <w:rPr>
                <w:rFonts w:ascii="Arial" w:eastAsia="Calibri" w:hAnsi="Arial" w:cs="Arial"/>
                <w:sz w:val="24"/>
                <w:szCs w:val="24"/>
              </w:rPr>
              <w:t>Team Manager</w:t>
            </w:r>
          </w:p>
        </w:tc>
        <w:tc>
          <w:tcPr>
            <w:tcW w:w="4680" w:type="dxa"/>
          </w:tcPr>
          <w:p w14:paraId="38F4286F" w14:textId="77777777" w:rsidR="004F05FA" w:rsidRPr="00ED7620" w:rsidRDefault="004F05FA" w:rsidP="004F05FA">
            <w:pPr>
              <w:rPr>
                <w:rFonts w:ascii="Arial" w:eastAsia="Calibri" w:hAnsi="Arial" w:cs="Arial"/>
                <w:sz w:val="24"/>
                <w:szCs w:val="24"/>
                <w:highlight w:val="yellow"/>
              </w:rPr>
            </w:pPr>
            <w:r w:rsidRPr="00ED7620">
              <w:rPr>
                <w:rFonts w:ascii="Arial" w:eastAsia="Calibri" w:hAnsi="Arial" w:cs="Arial"/>
                <w:sz w:val="24"/>
                <w:szCs w:val="24"/>
              </w:rPr>
              <w:t>Up to and including £46.00</w:t>
            </w:r>
          </w:p>
        </w:tc>
      </w:tr>
    </w:tbl>
    <w:p w14:paraId="274CC6D8" w14:textId="77777777" w:rsidR="004F05FA" w:rsidRPr="00ED7620" w:rsidRDefault="004F05FA" w:rsidP="004F05FA">
      <w:pPr>
        <w:rPr>
          <w:rFonts w:ascii="Arial" w:eastAsia="Calibri" w:hAnsi="Arial" w:cs="Arial"/>
          <w:i/>
          <w:iCs/>
          <w:kern w:val="0"/>
          <w:sz w:val="24"/>
          <w:szCs w:val="24"/>
          <w:lang w:val="en-US"/>
          <w14:ligatures w14:val="none"/>
        </w:rPr>
      </w:pPr>
    </w:p>
    <w:p w14:paraId="47751752" w14:textId="77777777" w:rsidR="004F05FA" w:rsidRPr="00ED7620" w:rsidRDefault="004F05FA" w:rsidP="004F05FA">
      <w:pPr>
        <w:rPr>
          <w:rFonts w:ascii="Arial" w:eastAsia="Calibri" w:hAnsi="Arial" w:cs="Arial"/>
          <w:kern w:val="0"/>
          <w:sz w:val="24"/>
          <w:szCs w:val="24"/>
          <w:lang w:val="en-US"/>
          <w14:ligatures w14:val="none"/>
        </w:rPr>
      </w:pPr>
      <w:r w:rsidRPr="00ED7620">
        <w:rPr>
          <w:rFonts w:ascii="Arial" w:eastAsia="Calibri" w:hAnsi="Arial" w:cs="Arial"/>
          <w:i/>
          <w:iCs/>
          <w:kern w:val="0"/>
          <w:sz w:val="24"/>
          <w:szCs w:val="24"/>
          <w:lang w:val="en-US"/>
          <w14:ligatures w14:val="none"/>
        </w:rPr>
        <w:t>The rates set out should not be supplemented with any additional allowances (such as travel or accommodation)</w:t>
      </w:r>
      <w:r w:rsidRPr="00ED7620">
        <w:rPr>
          <w:rFonts w:ascii="Arial" w:eastAsia="Calibri" w:hAnsi="Arial" w:cs="Arial"/>
          <w:kern w:val="0"/>
          <w:sz w:val="24"/>
          <w:szCs w:val="24"/>
          <w:lang w:val="en-US"/>
          <w14:ligatures w14:val="none"/>
        </w:rPr>
        <w:t>.</w:t>
      </w:r>
    </w:p>
    <w:p w14:paraId="720C903C" w14:textId="77777777" w:rsidR="004F05FA" w:rsidRPr="00ED7620" w:rsidRDefault="004F05FA" w:rsidP="004F05FA">
      <w:pPr>
        <w:rPr>
          <w:rFonts w:ascii="Arial" w:eastAsia="Calibri" w:hAnsi="Arial" w:cs="Arial"/>
          <w:kern w:val="0"/>
          <w:sz w:val="24"/>
          <w:szCs w:val="24"/>
          <w:lang w:val="en-US"/>
          <w14:ligatures w14:val="none"/>
        </w:rPr>
      </w:pPr>
    </w:p>
    <w:p w14:paraId="01D1F38A" w14:textId="77777777" w:rsidR="00824250" w:rsidRPr="00ED7620" w:rsidRDefault="00824250" w:rsidP="004F05FA">
      <w:pPr>
        <w:jc w:val="center"/>
        <w:rPr>
          <w:rFonts w:ascii="Arial" w:eastAsia="Calibri" w:hAnsi="Arial" w:cs="Arial"/>
          <w:b/>
          <w:bCs/>
          <w:kern w:val="0"/>
          <w:sz w:val="24"/>
          <w:szCs w:val="24"/>
          <w:u w:val="single"/>
          <w:lang w:val="en-US"/>
          <w14:ligatures w14:val="none"/>
        </w:rPr>
      </w:pPr>
    </w:p>
    <w:p w14:paraId="25DDBADE" w14:textId="22B13CAB" w:rsidR="00824250" w:rsidRPr="00ED7620" w:rsidRDefault="00824250" w:rsidP="004F05FA">
      <w:pPr>
        <w:jc w:val="center"/>
        <w:rPr>
          <w:rFonts w:ascii="Arial" w:eastAsia="Calibri" w:hAnsi="Arial" w:cs="Arial"/>
          <w:b/>
          <w:bCs/>
          <w:kern w:val="0"/>
          <w:sz w:val="24"/>
          <w:szCs w:val="24"/>
          <w:u w:val="single"/>
          <w:lang w:val="en-US"/>
          <w14:ligatures w14:val="none"/>
        </w:rPr>
      </w:pPr>
    </w:p>
    <w:p w14:paraId="5929B441" w14:textId="77777777" w:rsidR="00824250" w:rsidRPr="00ED7620" w:rsidRDefault="00824250" w:rsidP="004F05FA">
      <w:pPr>
        <w:jc w:val="center"/>
        <w:rPr>
          <w:rFonts w:ascii="Arial" w:eastAsia="Calibri" w:hAnsi="Arial" w:cs="Arial"/>
          <w:b/>
          <w:bCs/>
          <w:kern w:val="0"/>
          <w:sz w:val="24"/>
          <w:szCs w:val="24"/>
          <w:u w:val="single"/>
          <w:lang w:val="en-US"/>
          <w14:ligatures w14:val="none"/>
        </w:rPr>
      </w:pPr>
    </w:p>
    <w:p w14:paraId="74E30AA9" w14:textId="77777777" w:rsidR="004F05FA" w:rsidRPr="00ED7620" w:rsidRDefault="004F05FA" w:rsidP="004F05FA">
      <w:pPr>
        <w:jc w:val="center"/>
        <w:rPr>
          <w:rFonts w:ascii="Arial" w:eastAsia="Calibri" w:hAnsi="Arial" w:cs="Arial"/>
          <w:b/>
          <w:bCs/>
          <w:kern w:val="0"/>
          <w:sz w:val="24"/>
          <w:szCs w:val="24"/>
          <w:u w:val="single"/>
          <w:lang w:val="en-US"/>
          <w14:ligatures w14:val="none"/>
        </w:rPr>
      </w:pPr>
    </w:p>
    <w:p w14:paraId="451CFC44" w14:textId="77777777" w:rsidR="004F05FA" w:rsidRPr="00ED7620" w:rsidRDefault="004F05FA" w:rsidP="004F05FA">
      <w:pPr>
        <w:jc w:val="center"/>
        <w:rPr>
          <w:rFonts w:ascii="Arial" w:eastAsia="Calibri" w:hAnsi="Arial" w:cs="Arial"/>
          <w:b/>
          <w:bCs/>
          <w:kern w:val="0"/>
          <w:sz w:val="24"/>
          <w:szCs w:val="24"/>
          <w:u w:val="single"/>
          <w:lang w:val="en-US"/>
          <w14:ligatures w14:val="none"/>
        </w:rPr>
      </w:pPr>
    </w:p>
    <w:p w14:paraId="040694BF" w14:textId="77777777" w:rsidR="004F05FA" w:rsidRPr="00ED7620" w:rsidRDefault="004F05FA" w:rsidP="004F05FA">
      <w:pPr>
        <w:jc w:val="center"/>
        <w:rPr>
          <w:rFonts w:ascii="Arial" w:eastAsia="Calibri" w:hAnsi="Arial" w:cs="Arial"/>
          <w:b/>
          <w:bCs/>
          <w:kern w:val="0"/>
          <w:sz w:val="24"/>
          <w:szCs w:val="24"/>
          <w:u w:val="single"/>
          <w:lang w:val="en-US"/>
          <w14:ligatures w14:val="none"/>
        </w:rPr>
      </w:pPr>
    </w:p>
    <w:p w14:paraId="0B852746" w14:textId="77777777" w:rsidR="004F05FA" w:rsidRPr="00ED7620" w:rsidRDefault="004F05FA" w:rsidP="004F05FA">
      <w:pPr>
        <w:jc w:val="center"/>
        <w:rPr>
          <w:rFonts w:ascii="Arial" w:eastAsia="Calibri" w:hAnsi="Arial" w:cs="Arial"/>
          <w:b/>
          <w:bCs/>
          <w:kern w:val="0"/>
          <w:sz w:val="24"/>
          <w:szCs w:val="24"/>
          <w:u w:val="single"/>
          <w:lang w:val="en-US"/>
          <w14:ligatures w14:val="none"/>
        </w:rPr>
      </w:pPr>
    </w:p>
    <w:p w14:paraId="0E4071A3" w14:textId="77777777" w:rsidR="004F05FA" w:rsidRPr="00ED7620" w:rsidRDefault="004F05FA" w:rsidP="004F05FA">
      <w:pPr>
        <w:jc w:val="center"/>
        <w:rPr>
          <w:rFonts w:ascii="Arial" w:eastAsia="Calibri" w:hAnsi="Arial" w:cs="Arial"/>
          <w:b/>
          <w:bCs/>
          <w:kern w:val="0"/>
          <w:sz w:val="24"/>
          <w:szCs w:val="24"/>
          <w:u w:val="single"/>
          <w:lang w:val="en-US"/>
          <w14:ligatures w14:val="none"/>
        </w:rPr>
      </w:pPr>
    </w:p>
    <w:p w14:paraId="59543F73" w14:textId="77777777" w:rsidR="004F05FA" w:rsidRPr="00ED7620" w:rsidRDefault="004F05FA" w:rsidP="004F05FA">
      <w:pPr>
        <w:jc w:val="center"/>
        <w:rPr>
          <w:rFonts w:ascii="Arial" w:eastAsia="Calibri" w:hAnsi="Arial" w:cs="Arial"/>
          <w:b/>
          <w:bCs/>
          <w:kern w:val="0"/>
          <w:sz w:val="24"/>
          <w:szCs w:val="24"/>
          <w:u w:val="single"/>
          <w:lang w:val="en-US"/>
          <w14:ligatures w14:val="none"/>
        </w:rPr>
      </w:pPr>
    </w:p>
    <w:p w14:paraId="1012F253" w14:textId="77777777" w:rsidR="004F05FA" w:rsidRPr="00ED7620" w:rsidRDefault="004F05FA" w:rsidP="004F05FA">
      <w:pPr>
        <w:jc w:val="center"/>
        <w:rPr>
          <w:rFonts w:ascii="Arial" w:eastAsia="Calibri" w:hAnsi="Arial" w:cs="Arial"/>
          <w:b/>
          <w:bCs/>
          <w:kern w:val="0"/>
          <w:sz w:val="24"/>
          <w:szCs w:val="24"/>
          <w:u w:val="single"/>
          <w:lang w:val="en-US"/>
          <w14:ligatures w14:val="none"/>
        </w:rPr>
      </w:pPr>
    </w:p>
    <w:p w14:paraId="41E721EF" w14:textId="77777777" w:rsidR="004F05FA" w:rsidRPr="00ED7620" w:rsidRDefault="004F05FA" w:rsidP="004F05FA">
      <w:pPr>
        <w:jc w:val="center"/>
        <w:rPr>
          <w:rFonts w:ascii="Arial" w:eastAsia="Calibri" w:hAnsi="Arial" w:cs="Arial"/>
          <w:b/>
          <w:bCs/>
          <w:kern w:val="0"/>
          <w:sz w:val="24"/>
          <w:szCs w:val="24"/>
          <w:u w:val="single"/>
          <w:lang w:val="en-US"/>
          <w14:ligatures w14:val="none"/>
        </w:rPr>
      </w:pPr>
    </w:p>
    <w:p w14:paraId="5B0DA81D" w14:textId="77777777" w:rsidR="004F05FA" w:rsidRPr="00ED7620" w:rsidRDefault="004F05FA" w:rsidP="004F05FA">
      <w:pPr>
        <w:jc w:val="center"/>
        <w:rPr>
          <w:rFonts w:ascii="Arial" w:eastAsia="Calibri" w:hAnsi="Arial" w:cs="Arial"/>
          <w:b/>
          <w:bCs/>
          <w:kern w:val="0"/>
          <w:sz w:val="24"/>
          <w:szCs w:val="24"/>
          <w:u w:val="single"/>
          <w:lang w:val="en-US"/>
          <w14:ligatures w14:val="none"/>
        </w:rPr>
      </w:pPr>
    </w:p>
    <w:p w14:paraId="5A2A71E4" w14:textId="77777777" w:rsidR="004F05FA" w:rsidRPr="00ED7620" w:rsidRDefault="004F05FA" w:rsidP="004F05FA">
      <w:pPr>
        <w:jc w:val="center"/>
        <w:rPr>
          <w:rFonts w:ascii="Arial" w:eastAsia="Calibri" w:hAnsi="Arial" w:cs="Arial"/>
          <w:b/>
          <w:bCs/>
          <w:kern w:val="0"/>
          <w:sz w:val="24"/>
          <w:szCs w:val="24"/>
          <w:u w:val="single"/>
          <w:lang w:val="en-US"/>
          <w14:ligatures w14:val="none"/>
        </w:rPr>
      </w:pPr>
      <w:r w:rsidRPr="00ED7620">
        <w:rPr>
          <w:rFonts w:ascii="Arial" w:eastAsia="Calibri" w:hAnsi="Arial" w:cs="Arial"/>
          <w:b/>
          <w:bCs/>
          <w:kern w:val="0"/>
          <w:sz w:val="24"/>
          <w:szCs w:val="24"/>
          <w:u w:val="single"/>
          <w:lang w:val="en-US"/>
          <w14:ligatures w14:val="none"/>
        </w:rPr>
        <w:lastRenderedPageBreak/>
        <w:t>Schedule 2</w:t>
      </w:r>
      <w:r w:rsidRPr="00ED7620">
        <w:rPr>
          <w:rFonts w:ascii="Arial" w:eastAsia="Calibri" w:hAnsi="Arial" w:cs="Arial"/>
          <w:b/>
          <w:bCs/>
          <w:kern w:val="0"/>
          <w:sz w:val="24"/>
          <w:szCs w:val="24"/>
          <w:lang w:val="en-US"/>
          <w14:ligatures w14:val="none"/>
        </w:rPr>
        <w:t xml:space="preserve"> </w:t>
      </w:r>
    </w:p>
    <w:p w14:paraId="29602021" w14:textId="77777777" w:rsidR="004F05FA" w:rsidRPr="00ED7620" w:rsidRDefault="004F05FA" w:rsidP="004F05FA">
      <w:pPr>
        <w:rPr>
          <w:rFonts w:ascii="Arial" w:eastAsia="Calibri" w:hAnsi="Arial" w:cs="Arial"/>
          <w:b/>
          <w:bCs/>
          <w:kern w:val="0"/>
          <w:sz w:val="24"/>
          <w:szCs w:val="24"/>
          <w:lang w:val="en-US"/>
          <w14:ligatures w14:val="none"/>
        </w:rPr>
      </w:pPr>
      <w:r w:rsidRPr="00ED7620">
        <w:rPr>
          <w:rFonts w:ascii="Arial" w:eastAsia="Calibri" w:hAnsi="Arial" w:cs="Arial"/>
          <w:b/>
          <w:bCs/>
          <w:kern w:val="0"/>
          <w:sz w:val="24"/>
          <w:szCs w:val="24"/>
          <w:u w:val="single"/>
          <w:lang w:val="en-US"/>
          <w14:ligatures w14:val="none"/>
        </w:rPr>
        <w:t>Standard Reference Template</w:t>
      </w:r>
      <w:r w:rsidRPr="00ED7620">
        <w:rPr>
          <w:rFonts w:ascii="Arial" w:eastAsia="Calibri" w:hAnsi="Arial" w:cs="Arial"/>
          <w:b/>
          <w:bCs/>
          <w:kern w:val="0"/>
          <w:sz w:val="24"/>
          <w:szCs w:val="24"/>
          <w:lang w:val="en-US"/>
          <w14:ligatures w14:val="none"/>
        </w:rPr>
        <w:t xml:space="preserve"> </w:t>
      </w:r>
    </w:p>
    <w:p w14:paraId="67BD65D5" w14:textId="77777777" w:rsidR="004F05FA" w:rsidRPr="00ED7620" w:rsidRDefault="004F05FA" w:rsidP="004F05FA">
      <w:pPr>
        <w:rPr>
          <w:rFonts w:ascii="Arial" w:eastAsia="Calibri" w:hAnsi="Arial" w:cs="Arial"/>
          <w:kern w:val="0"/>
          <w:sz w:val="24"/>
          <w:szCs w:val="24"/>
          <w:lang w:val="en-US"/>
          <w14:ligatures w14:val="none"/>
        </w:rPr>
      </w:pPr>
      <w:r w:rsidRPr="00ED7620">
        <w:rPr>
          <w:rFonts w:ascii="Arial" w:eastAsia="Calibri" w:hAnsi="Arial" w:cs="Arial"/>
          <w:kern w:val="0"/>
          <w:sz w:val="24"/>
          <w:szCs w:val="24"/>
          <w:lang w:val="en-US"/>
          <w14:ligatures w14:val="none"/>
        </w:rPr>
        <w:t>In accordance with the statutory guidance a detailed practice-based reference for agency child and family social workers is required before offering an assignment.</w:t>
      </w:r>
    </w:p>
    <w:p w14:paraId="67F88008" w14:textId="77777777" w:rsidR="004F05FA" w:rsidRDefault="004F05FA" w:rsidP="004F05FA">
      <w:pPr>
        <w:spacing w:after="0"/>
        <w:rPr>
          <w:rFonts w:ascii="Arial" w:eastAsia="Calibri" w:hAnsi="Arial" w:cs="Arial"/>
          <w:kern w:val="0"/>
          <w:sz w:val="24"/>
          <w:szCs w:val="24"/>
          <w:lang w:val="en-US"/>
          <w14:ligatures w14:val="none"/>
        </w:rPr>
      </w:pPr>
      <w:r w:rsidRPr="00ED7620">
        <w:rPr>
          <w:rFonts w:ascii="Arial" w:eastAsia="Calibri" w:hAnsi="Arial" w:cs="Arial"/>
          <w:kern w:val="0"/>
          <w:sz w:val="24"/>
          <w:szCs w:val="24"/>
          <w:lang w:val="en-US"/>
          <w14:ligatures w14:val="none"/>
        </w:rPr>
        <w:t>The standard reference template is based on the social work professional standards in England. The professional standards are the threshold standards necessary for safe and effective practice set out by Social Work England outlining what every social worker must know, understand and be able to do after qualifying. Local authorities should ensure that both sections are completed.</w:t>
      </w:r>
    </w:p>
    <w:p w14:paraId="4058093C" w14:textId="77777777" w:rsidR="00C449DE" w:rsidRDefault="00C449DE" w:rsidP="004F05FA">
      <w:pPr>
        <w:spacing w:after="0"/>
        <w:rPr>
          <w:rFonts w:ascii="Arial" w:eastAsia="Calibri" w:hAnsi="Arial" w:cs="Arial"/>
          <w:kern w:val="0"/>
          <w:sz w:val="24"/>
          <w:szCs w:val="24"/>
          <w:lang w:val="en-US"/>
          <w14:ligatures w14:val="none"/>
        </w:rPr>
      </w:pPr>
    </w:p>
    <w:p w14:paraId="696C5A46" w14:textId="22744F63" w:rsidR="00C449DE" w:rsidRDefault="00C449DE" w:rsidP="004F05FA">
      <w:pPr>
        <w:spacing w:after="0"/>
        <w:rPr>
          <w:rFonts w:ascii="Arial" w:eastAsia="Calibri" w:hAnsi="Arial" w:cs="Arial"/>
          <w:kern w:val="0"/>
          <w:sz w:val="24"/>
          <w:szCs w:val="24"/>
          <w:lang w:val="en-US"/>
          <w14:ligatures w14:val="none"/>
        </w:rPr>
      </w:pPr>
      <w:r>
        <w:rPr>
          <w:rFonts w:ascii="Arial" w:eastAsia="Calibri" w:hAnsi="Arial" w:cs="Arial"/>
          <w:kern w:val="0"/>
          <w:sz w:val="24"/>
          <w:szCs w:val="24"/>
          <w:lang w:val="en-US"/>
          <w14:ligatures w14:val="none"/>
        </w:rPr>
        <w:t xml:space="preserve">For a copy of the </w:t>
      </w:r>
      <w:r w:rsidR="00993376">
        <w:rPr>
          <w:rFonts w:ascii="Arial" w:eastAsia="Calibri" w:hAnsi="Arial" w:cs="Arial"/>
          <w:kern w:val="0"/>
          <w:sz w:val="24"/>
          <w:szCs w:val="24"/>
          <w:lang w:val="en-US"/>
          <w14:ligatures w14:val="none"/>
        </w:rPr>
        <w:t xml:space="preserve">standard reference template see link </w:t>
      </w:r>
      <w:proofErr w:type="gramStart"/>
      <w:r w:rsidR="00993376">
        <w:rPr>
          <w:rFonts w:ascii="Arial" w:eastAsia="Calibri" w:hAnsi="Arial" w:cs="Arial"/>
          <w:kern w:val="0"/>
          <w:sz w:val="24"/>
          <w:szCs w:val="24"/>
          <w:lang w:val="en-US"/>
          <w14:ligatures w14:val="none"/>
        </w:rPr>
        <w:t>below:-</w:t>
      </w:r>
      <w:proofErr w:type="gramEnd"/>
    </w:p>
    <w:p w14:paraId="109D01EE" w14:textId="56A4BB02" w:rsidR="00993376" w:rsidRPr="00ED7620" w:rsidRDefault="00993376" w:rsidP="004F05FA">
      <w:pPr>
        <w:spacing w:after="0"/>
        <w:rPr>
          <w:rFonts w:ascii="Arial" w:eastAsia="Calibri" w:hAnsi="Arial" w:cs="Arial"/>
          <w:kern w:val="0"/>
          <w:sz w:val="24"/>
          <w:szCs w:val="24"/>
          <w:lang w:val="en-US"/>
          <w14:ligatures w14:val="none"/>
        </w:rPr>
      </w:pPr>
      <w:hyperlink r:id="rId8" w:anchor="page=33" w:history="1">
        <w:r w:rsidRPr="00993376">
          <w:rPr>
            <w:rStyle w:val="Hyperlink"/>
            <w:rFonts w:ascii="Arial" w:eastAsia="Calibri" w:hAnsi="Arial" w:cs="Arial"/>
            <w:kern w:val="0"/>
            <w:sz w:val="24"/>
            <w:szCs w:val="24"/>
            <w14:ligatures w14:val="none"/>
          </w:rPr>
          <w:t>Agency rules- statutory guidance for local authorities on the use of agency child and family social workers</w:t>
        </w:r>
      </w:hyperlink>
    </w:p>
    <w:p w14:paraId="4354A313" w14:textId="77777777" w:rsidR="004F05FA" w:rsidRPr="00ED7620" w:rsidRDefault="004F05FA" w:rsidP="004F05FA">
      <w:pPr>
        <w:spacing w:after="0"/>
        <w:rPr>
          <w:rFonts w:ascii="Arial" w:eastAsia="Calibri" w:hAnsi="Arial" w:cs="Arial"/>
          <w:b/>
          <w:bCs/>
          <w:kern w:val="0"/>
          <w:sz w:val="24"/>
          <w:szCs w:val="24"/>
          <w:lang w:val="en-US"/>
          <w14:ligatures w14:val="none"/>
        </w:rPr>
      </w:pPr>
    </w:p>
    <w:p w14:paraId="2100E686" w14:textId="77777777" w:rsidR="004F05FA" w:rsidRPr="00ED7620" w:rsidRDefault="004F05FA" w:rsidP="004F05FA">
      <w:pPr>
        <w:rPr>
          <w:rFonts w:ascii="Arial" w:eastAsia="Calibri" w:hAnsi="Arial" w:cs="Arial"/>
          <w:b/>
          <w:bCs/>
          <w:kern w:val="0"/>
          <w:sz w:val="24"/>
          <w:szCs w:val="24"/>
          <w:lang w:val="en-US"/>
          <w14:ligatures w14:val="none"/>
        </w:rPr>
      </w:pPr>
      <w:r w:rsidRPr="00ED7620">
        <w:rPr>
          <w:rFonts w:ascii="Arial" w:eastAsia="Calibri" w:hAnsi="Arial" w:cs="Arial"/>
          <w:b/>
          <w:bCs/>
          <w:kern w:val="0"/>
          <w:sz w:val="24"/>
          <w:szCs w:val="24"/>
          <w:lang w:val="en-US"/>
          <w14:ligatures w14:val="none"/>
        </w:rPr>
        <w:t>Section 1</w:t>
      </w:r>
    </w:p>
    <w:p w14:paraId="3A985542" w14:textId="77777777" w:rsidR="004F05FA" w:rsidRPr="00ED7620" w:rsidRDefault="004F05FA" w:rsidP="004F05FA">
      <w:pPr>
        <w:spacing w:after="0"/>
        <w:rPr>
          <w:rFonts w:ascii="Arial" w:eastAsia="Calibri" w:hAnsi="Arial" w:cs="Arial"/>
          <w:kern w:val="0"/>
          <w:sz w:val="24"/>
          <w:szCs w:val="24"/>
          <w:lang w:val="en-US"/>
          <w14:ligatures w14:val="none"/>
        </w:rPr>
      </w:pPr>
      <w:r w:rsidRPr="00ED7620">
        <w:rPr>
          <w:rFonts w:ascii="Arial" w:eastAsia="Calibri" w:hAnsi="Arial" w:cs="Arial"/>
          <w:kern w:val="0"/>
          <w:sz w:val="24"/>
          <w:szCs w:val="24"/>
          <w:lang w:val="en-US"/>
          <w14:ligatures w14:val="none"/>
        </w:rPr>
        <w:t>This is a factual reference which includes a short summary of the agency child and family</w:t>
      </w:r>
    </w:p>
    <w:p w14:paraId="010B8FC2" w14:textId="77777777" w:rsidR="004F05FA" w:rsidRPr="00ED7620" w:rsidRDefault="004F05FA" w:rsidP="004F05FA">
      <w:pPr>
        <w:spacing w:after="0"/>
        <w:rPr>
          <w:rFonts w:ascii="Arial" w:eastAsia="Calibri" w:hAnsi="Arial" w:cs="Arial"/>
          <w:kern w:val="0"/>
          <w:sz w:val="24"/>
          <w:szCs w:val="24"/>
          <w:lang w:val="en-US"/>
          <w14:ligatures w14:val="none"/>
        </w:rPr>
      </w:pPr>
      <w:r w:rsidRPr="00ED7620">
        <w:rPr>
          <w:rFonts w:ascii="Arial" w:eastAsia="Calibri" w:hAnsi="Arial" w:cs="Arial"/>
          <w:kern w:val="0"/>
          <w:sz w:val="24"/>
          <w:szCs w:val="24"/>
          <w:lang w:val="en-US"/>
          <w14:ligatures w14:val="none"/>
        </w:rPr>
        <w:t xml:space="preserve">social worker’s employment including job title and employment dates but does not </w:t>
      </w:r>
    </w:p>
    <w:p w14:paraId="3396C398" w14:textId="77777777" w:rsidR="004F05FA" w:rsidRPr="00ED7620" w:rsidRDefault="004F05FA" w:rsidP="004F05FA">
      <w:pPr>
        <w:spacing w:after="0"/>
        <w:rPr>
          <w:rFonts w:ascii="Arial" w:eastAsia="Calibri" w:hAnsi="Arial" w:cs="Arial"/>
          <w:kern w:val="0"/>
          <w:sz w:val="24"/>
          <w:szCs w:val="24"/>
          <w:lang w:val="en-US"/>
          <w14:ligatures w14:val="none"/>
        </w:rPr>
      </w:pPr>
      <w:r w:rsidRPr="00ED7620">
        <w:rPr>
          <w:rFonts w:ascii="Arial" w:eastAsia="Calibri" w:hAnsi="Arial" w:cs="Arial"/>
          <w:kern w:val="0"/>
          <w:sz w:val="24"/>
          <w:szCs w:val="24"/>
          <w:lang w:val="en-US"/>
          <w14:ligatures w14:val="none"/>
        </w:rPr>
        <w:t>include details about knowledge and skills.</w:t>
      </w:r>
    </w:p>
    <w:p w14:paraId="39DA67F3" w14:textId="77777777" w:rsidR="004F05FA" w:rsidRPr="00ED7620" w:rsidRDefault="004F05FA" w:rsidP="004F05FA">
      <w:pPr>
        <w:spacing w:after="0"/>
        <w:rPr>
          <w:rFonts w:ascii="Arial" w:eastAsia="Calibri" w:hAnsi="Arial" w:cs="Arial"/>
          <w:b/>
          <w:bCs/>
          <w:kern w:val="0"/>
          <w:sz w:val="24"/>
          <w:szCs w:val="24"/>
          <w:lang w:val="en-US"/>
          <w14:ligatures w14:val="none"/>
        </w:rPr>
      </w:pPr>
    </w:p>
    <w:p w14:paraId="0AD2B06E" w14:textId="77777777" w:rsidR="004F05FA" w:rsidRPr="00ED7620" w:rsidRDefault="004F05FA" w:rsidP="004F05FA">
      <w:pPr>
        <w:rPr>
          <w:rFonts w:ascii="Arial" w:eastAsia="Calibri" w:hAnsi="Arial" w:cs="Arial"/>
          <w:b/>
          <w:bCs/>
          <w:kern w:val="0"/>
          <w:sz w:val="24"/>
          <w:szCs w:val="24"/>
          <w:lang w:val="en-US"/>
          <w14:ligatures w14:val="none"/>
        </w:rPr>
      </w:pPr>
      <w:r w:rsidRPr="00ED7620">
        <w:rPr>
          <w:rFonts w:ascii="Arial" w:eastAsia="Calibri" w:hAnsi="Arial" w:cs="Arial"/>
          <w:b/>
          <w:bCs/>
          <w:kern w:val="0"/>
          <w:sz w:val="24"/>
          <w:szCs w:val="24"/>
          <w:lang w:val="en-US"/>
          <w14:ligatures w14:val="none"/>
        </w:rPr>
        <w:t>Section 2</w:t>
      </w:r>
    </w:p>
    <w:p w14:paraId="4FC73158" w14:textId="77777777" w:rsidR="004F05FA" w:rsidRPr="00ED7620" w:rsidRDefault="004F05FA" w:rsidP="004F05FA">
      <w:pPr>
        <w:spacing w:after="0"/>
        <w:rPr>
          <w:rFonts w:ascii="Arial" w:eastAsia="Calibri" w:hAnsi="Arial" w:cs="Arial"/>
          <w:kern w:val="0"/>
          <w:sz w:val="24"/>
          <w:szCs w:val="24"/>
          <w:lang w:val="en-US"/>
          <w14:ligatures w14:val="none"/>
        </w:rPr>
      </w:pPr>
      <w:r w:rsidRPr="00ED7620">
        <w:rPr>
          <w:rFonts w:ascii="Arial" w:eastAsia="Calibri" w:hAnsi="Arial" w:cs="Arial"/>
          <w:kern w:val="0"/>
          <w:sz w:val="24"/>
          <w:szCs w:val="24"/>
          <w:lang w:val="en-US"/>
          <w14:ligatures w14:val="none"/>
        </w:rPr>
        <w:t>This is a detailed reference based on the social work professional standards.  It is important this section is an accurate and objective reflection of the agency child and family social worker’s practice during their assignment. It should provide an unbiased assessment based on the agency child and family social worker’s actual performance and abilities, highlighting both strengths and practice areas in need of development.</w:t>
      </w:r>
    </w:p>
    <w:p w14:paraId="27BCDE74" w14:textId="77777777" w:rsidR="004F05FA" w:rsidRPr="00ED7620" w:rsidRDefault="004F05FA" w:rsidP="004F05FA">
      <w:pPr>
        <w:spacing w:after="0"/>
        <w:rPr>
          <w:rFonts w:ascii="Arial" w:eastAsia="Calibri" w:hAnsi="Arial" w:cs="Arial"/>
          <w:color w:val="FF0000"/>
          <w:kern w:val="0"/>
          <w:sz w:val="24"/>
          <w:szCs w:val="24"/>
          <w:lang w:val="en-US"/>
          <w14:ligatures w14:val="none"/>
        </w:rPr>
      </w:pPr>
    </w:p>
    <w:p w14:paraId="13AEC7AF" w14:textId="77777777" w:rsidR="004F05FA" w:rsidRPr="00ED7620" w:rsidRDefault="004F05FA" w:rsidP="004F05FA">
      <w:pPr>
        <w:rPr>
          <w:rFonts w:ascii="Arial" w:eastAsia="Calibri" w:hAnsi="Arial" w:cs="Arial"/>
          <w:b/>
          <w:bCs/>
          <w:kern w:val="0"/>
          <w:sz w:val="24"/>
          <w:szCs w:val="24"/>
          <w:lang w:val="en-US"/>
          <w14:ligatures w14:val="none"/>
        </w:rPr>
      </w:pPr>
      <w:r w:rsidRPr="00ED7620">
        <w:rPr>
          <w:rFonts w:ascii="Arial" w:eastAsia="Calibri" w:hAnsi="Arial" w:cs="Arial"/>
          <w:b/>
          <w:bCs/>
          <w:kern w:val="0"/>
          <w:sz w:val="24"/>
          <w:szCs w:val="24"/>
          <w:lang w:val="en-US"/>
          <w14:ligatures w14:val="none"/>
        </w:rPr>
        <w:t xml:space="preserve">Providing a reference </w:t>
      </w:r>
    </w:p>
    <w:p w14:paraId="332F3940" w14:textId="77777777" w:rsidR="004F05FA" w:rsidRPr="00ED7620" w:rsidRDefault="004F05FA" w:rsidP="004F05FA">
      <w:pPr>
        <w:rPr>
          <w:rFonts w:ascii="Arial" w:eastAsia="Calibri" w:hAnsi="Arial" w:cs="Arial"/>
          <w:kern w:val="0"/>
          <w:sz w:val="24"/>
          <w:szCs w:val="24"/>
          <w:lang w:val="en-US"/>
          <w14:ligatures w14:val="none"/>
        </w:rPr>
      </w:pPr>
      <w:r w:rsidRPr="00ED7620">
        <w:rPr>
          <w:rFonts w:ascii="Arial" w:eastAsia="Calibri" w:hAnsi="Arial" w:cs="Arial"/>
          <w:kern w:val="0"/>
          <w:sz w:val="24"/>
          <w:szCs w:val="24"/>
          <w:lang w:val="en-US"/>
          <w14:ligatures w14:val="none"/>
        </w:rPr>
        <w:t>Local authorities should complete the standard reference template for each agency child and family social worker before their assignment ends.  Local authorities should not delegate responsibility for completing the template to agencies or managed service providers.</w:t>
      </w:r>
    </w:p>
    <w:p w14:paraId="1586D5AF" w14:textId="7C0D2EC1" w:rsidR="00B51AA8" w:rsidRDefault="004F05FA" w:rsidP="00B51AA8">
      <w:r w:rsidRPr="00ED7620">
        <w:rPr>
          <w:rFonts w:ascii="Arial" w:eastAsia="Calibri" w:hAnsi="Arial" w:cs="Arial"/>
          <w:kern w:val="0"/>
          <w:sz w:val="24"/>
          <w:szCs w:val="24"/>
          <w:lang w:val="en-US"/>
          <w14:ligatures w14:val="none"/>
        </w:rPr>
        <w:t xml:space="preserve">This reference template should be completed by an appropriate line manager within the LA. This may be the direct line </w:t>
      </w:r>
      <w:proofErr w:type="gramStart"/>
      <w:r w:rsidRPr="00ED7620">
        <w:rPr>
          <w:rFonts w:ascii="Arial" w:eastAsia="Calibri" w:hAnsi="Arial" w:cs="Arial"/>
          <w:kern w:val="0"/>
          <w:sz w:val="24"/>
          <w:szCs w:val="24"/>
          <w:lang w:val="en-US"/>
          <w14:ligatures w14:val="none"/>
        </w:rPr>
        <w:t>manager</w:t>
      </w:r>
      <w:proofErr w:type="gramEnd"/>
      <w:r w:rsidRPr="00ED7620">
        <w:rPr>
          <w:rFonts w:ascii="Arial" w:eastAsia="Calibri" w:hAnsi="Arial" w:cs="Arial"/>
          <w:kern w:val="0"/>
          <w:sz w:val="24"/>
          <w:szCs w:val="24"/>
          <w:lang w:val="en-US"/>
          <w14:ligatures w14:val="none"/>
        </w:rPr>
        <w:t xml:space="preserve"> or the manager as detailed within local policy.  </w:t>
      </w:r>
    </w:p>
    <w:sectPr w:rsidR="00B51AA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D4F73"/>
    <w:multiLevelType w:val="hybridMultilevel"/>
    <w:tmpl w:val="7A766BF4"/>
    <w:lvl w:ilvl="0" w:tplc="0809000F">
      <w:start w:val="1"/>
      <w:numFmt w:val="decimal"/>
      <w:lvlText w:val="%1."/>
      <w:lvlJc w:val="left"/>
      <w:pPr>
        <w:ind w:left="1840" w:hanging="360"/>
      </w:pPr>
    </w:lvl>
    <w:lvl w:ilvl="1" w:tplc="08090019">
      <w:start w:val="1"/>
      <w:numFmt w:val="lowerLetter"/>
      <w:lvlText w:val="%2."/>
      <w:lvlJc w:val="left"/>
      <w:pPr>
        <w:ind w:left="2560" w:hanging="360"/>
      </w:pPr>
    </w:lvl>
    <w:lvl w:ilvl="2" w:tplc="0809001B" w:tentative="1">
      <w:start w:val="1"/>
      <w:numFmt w:val="lowerRoman"/>
      <w:lvlText w:val="%3."/>
      <w:lvlJc w:val="right"/>
      <w:pPr>
        <w:ind w:left="3280" w:hanging="180"/>
      </w:pPr>
    </w:lvl>
    <w:lvl w:ilvl="3" w:tplc="0809000F" w:tentative="1">
      <w:start w:val="1"/>
      <w:numFmt w:val="decimal"/>
      <w:lvlText w:val="%4."/>
      <w:lvlJc w:val="left"/>
      <w:pPr>
        <w:ind w:left="4000" w:hanging="360"/>
      </w:pPr>
    </w:lvl>
    <w:lvl w:ilvl="4" w:tplc="08090019" w:tentative="1">
      <w:start w:val="1"/>
      <w:numFmt w:val="lowerLetter"/>
      <w:lvlText w:val="%5."/>
      <w:lvlJc w:val="left"/>
      <w:pPr>
        <w:ind w:left="4720" w:hanging="360"/>
      </w:pPr>
    </w:lvl>
    <w:lvl w:ilvl="5" w:tplc="0809001B" w:tentative="1">
      <w:start w:val="1"/>
      <w:numFmt w:val="lowerRoman"/>
      <w:lvlText w:val="%6."/>
      <w:lvlJc w:val="right"/>
      <w:pPr>
        <w:ind w:left="5440" w:hanging="180"/>
      </w:pPr>
    </w:lvl>
    <w:lvl w:ilvl="6" w:tplc="0809000F" w:tentative="1">
      <w:start w:val="1"/>
      <w:numFmt w:val="decimal"/>
      <w:lvlText w:val="%7."/>
      <w:lvlJc w:val="left"/>
      <w:pPr>
        <w:ind w:left="6160" w:hanging="360"/>
      </w:pPr>
    </w:lvl>
    <w:lvl w:ilvl="7" w:tplc="08090019" w:tentative="1">
      <w:start w:val="1"/>
      <w:numFmt w:val="lowerLetter"/>
      <w:lvlText w:val="%8."/>
      <w:lvlJc w:val="left"/>
      <w:pPr>
        <w:ind w:left="6880" w:hanging="360"/>
      </w:pPr>
    </w:lvl>
    <w:lvl w:ilvl="8" w:tplc="0809001B" w:tentative="1">
      <w:start w:val="1"/>
      <w:numFmt w:val="lowerRoman"/>
      <w:lvlText w:val="%9."/>
      <w:lvlJc w:val="right"/>
      <w:pPr>
        <w:ind w:left="7600" w:hanging="180"/>
      </w:pPr>
    </w:lvl>
  </w:abstractNum>
  <w:abstractNum w:abstractNumId="1" w15:restartNumberingAfterBreak="0">
    <w:nsid w:val="02B92E2F"/>
    <w:multiLevelType w:val="hybridMultilevel"/>
    <w:tmpl w:val="DB525CB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04F60293"/>
    <w:multiLevelType w:val="hybridMultilevel"/>
    <w:tmpl w:val="D7CC43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7724D73"/>
    <w:multiLevelType w:val="hybridMultilevel"/>
    <w:tmpl w:val="EBF005F4"/>
    <w:lvl w:ilvl="0" w:tplc="74D6ABB2">
      <w:start w:val="1"/>
      <w:numFmt w:val="lowerLetter"/>
      <w:lvlText w:val="(%1)"/>
      <w:lvlJc w:val="left"/>
      <w:pPr>
        <w:ind w:left="1080" w:hanging="360"/>
      </w:pPr>
      <w:rPr>
        <w:rFonts w:hint="default"/>
      </w:rPr>
    </w:lvl>
    <w:lvl w:ilvl="1" w:tplc="08090001">
      <w:start w:val="1"/>
      <w:numFmt w:val="bullet"/>
      <w:lvlText w:val=""/>
      <w:lvlJc w:val="left"/>
      <w:pPr>
        <w:ind w:left="720" w:hanging="360"/>
      </w:pPr>
      <w:rPr>
        <w:rFonts w:ascii="Symbol" w:hAnsi="Symbol" w:hint="default"/>
      </w:r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7C37702"/>
    <w:multiLevelType w:val="hybridMultilevel"/>
    <w:tmpl w:val="70E21020"/>
    <w:lvl w:ilvl="0" w:tplc="C78E1E4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0EB90257"/>
    <w:multiLevelType w:val="hybridMultilevel"/>
    <w:tmpl w:val="D30E41F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E44F82F"/>
    <w:multiLevelType w:val="hybridMultilevel"/>
    <w:tmpl w:val="ABDC9DB8"/>
    <w:lvl w:ilvl="0" w:tplc="3E7200CE">
      <w:start w:val="1"/>
      <w:numFmt w:val="lowerLetter"/>
      <w:lvlText w:val="%1."/>
      <w:lvlJc w:val="left"/>
      <w:pPr>
        <w:ind w:left="720" w:hanging="360"/>
      </w:pPr>
    </w:lvl>
    <w:lvl w:ilvl="1" w:tplc="52643852">
      <w:start w:val="1"/>
      <w:numFmt w:val="lowerLetter"/>
      <w:lvlText w:val="%2."/>
      <w:lvlJc w:val="left"/>
      <w:pPr>
        <w:ind w:left="1440" w:hanging="360"/>
      </w:pPr>
    </w:lvl>
    <w:lvl w:ilvl="2" w:tplc="34D2D378">
      <w:start w:val="1"/>
      <w:numFmt w:val="lowerRoman"/>
      <w:lvlText w:val="%3."/>
      <w:lvlJc w:val="right"/>
      <w:pPr>
        <w:ind w:left="2160" w:hanging="180"/>
      </w:pPr>
    </w:lvl>
    <w:lvl w:ilvl="3" w:tplc="63841780">
      <w:start w:val="1"/>
      <w:numFmt w:val="decimal"/>
      <w:lvlText w:val="%4."/>
      <w:lvlJc w:val="left"/>
      <w:pPr>
        <w:ind w:left="2880" w:hanging="360"/>
      </w:pPr>
    </w:lvl>
    <w:lvl w:ilvl="4" w:tplc="F94C8D68">
      <w:start w:val="1"/>
      <w:numFmt w:val="lowerLetter"/>
      <w:lvlText w:val="%5."/>
      <w:lvlJc w:val="left"/>
      <w:pPr>
        <w:ind w:left="3600" w:hanging="360"/>
      </w:pPr>
    </w:lvl>
    <w:lvl w:ilvl="5" w:tplc="5E0C8002">
      <w:start w:val="1"/>
      <w:numFmt w:val="lowerRoman"/>
      <w:lvlText w:val="%6."/>
      <w:lvlJc w:val="right"/>
      <w:pPr>
        <w:ind w:left="4320" w:hanging="180"/>
      </w:pPr>
    </w:lvl>
    <w:lvl w:ilvl="6" w:tplc="6B120BDE">
      <w:start w:val="1"/>
      <w:numFmt w:val="decimal"/>
      <w:lvlText w:val="%7."/>
      <w:lvlJc w:val="left"/>
      <w:pPr>
        <w:ind w:left="5040" w:hanging="360"/>
      </w:pPr>
    </w:lvl>
    <w:lvl w:ilvl="7" w:tplc="96548274">
      <w:start w:val="1"/>
      <w:numFmt w:val="lowerLetter"/>
      <w:lvlText w:val="%8."/>
      <w:lvlJc w:val="left"/>
      <w:pPr>
        <w:ind w:left="5760" w:hanging="360"/>
      </w:pPr>
    </w:lvl>
    <w:lvl w:ilvl="8" w:tplc="0554BC4E">
      <w:start w:val="1"/>
      <w:numFmt w:val="lowerRoman"/>
      <w:lvlText w:val="%9."/>
      <w:lvlJc w:val="right"/>
      <w:pPr>
        <w:ind w:left="6480" w:hanging="180"/>
      </w:pPr>
    </w:lvl>
  </w:abstractNum>
  <w:abstractNum w:abstractNumId="7" w15:restartNumberingAfterBreak="0">
    <w:nsid w:val="1E607A57"/>
    <w:multiLevelType w:val="hybridMultilevel"/>
    <w:tmpl w:val="017C31CC"/>
    <w:lvl w:ilvl="0" w:tplc="0809000F">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089D188"/>
    <w:multiLevelType w:val="hybridMultilevel"/>
    <w:tmpl w:val="A232C5E8"/>
    <w:lvl w:ilvl="0" w:tplc="7CB0020E">
      <w:start w:val="1"/>
      <w:numFmt w:val="lowerLetter"/>
      <w:lvlText w:val="%1."/>
      <w:lvlJc w:val="left"/>
      <w:pPr>
        <w:ind w:left="1080" w:hanging="360"/>
      </w:pPr>
    </w:lvl>
    <w:lvl w:ilvl="1" w:tplc="08090001">
      <w:start w:val="1"/>
      <w:numFmt w:val="bullet"/>
      <w:lvlText w:val=""/>
      <w:lvlJc w:val="left"/>
      <w:pPr>
        <w:ind w:left="1080" w:hanging="360"/>
      </w:pPr>
      <w:rPr>
        <w:rFonts w:ascii="Symbol" w:hAnsi="Symbol" w:hint="default"/>
      </w:rPr>
    </w:lvl>
    <w:lvl w:ilvl="2" w:tplc="64209DF8">
      <w:start w:val="1"/>
      <w:numFmt w:val="lowerRoman"/>
      <w:lvlText w:val="%3."/>
      <w:lvlJc w:val="right"/>
      <w:pPr>
        <w:ind w:left="2520" w:hanging="180"/>
      </w:pPr>
    </w:lvl>
    <w:lvl w:ilvl="3" w:tplc="C24C967C">
      <w:start w:val="1"/>
      <w:numFmt w:val="decimal"/>
      <w:lvlText w:val="%4."/>
      <w:lvlJc w:val="left"/>
      <w:pPr>
        <w:ind w:left="3240" w:hanging="360"/>
      </w:pPr>
    </w:lvl>
    <w:lvl w:ilvl="4" w:tplc="A4C6D53C">
      <w:start w:val="1"/>
      <w:numFmt w:val="lowerLetter"/>
      <w:lvlText w:val="%5."/>
      <w:lvlJc w:val="left"/>
      <w:pPr>
        <w:ind w:left="3960" w:hanging="360"/>
      </w:pPr>
    </w:lvl>
    <w:lvl w:ilvl="5" w:tplc="F4A4D5A2">
      <w:start w:val="1"/>
      <w:numFmt w:val="lowerRoman"/>
      <w:lvlText w:val="%6."/>
      <w:lvlJc w:val="right"/>
      <w:pPr>
        <w:ind w:left="4680" w:hanging="180"/>
      </w:pPr>
    </w:lvl>
    <w:lvl w:ilvl="6" w:tplc="3A24FF54">
      <w:start w:val="1"/>
      <w:numFmt w:val="decimal"/>
      <w:lvlText w:val="%7."/>
      <w:lvlJc w:val="left"/>
      <w:pPr>
        <w:ind w:left="5400" w:hanging="360"/>
      </w:pPr>
    </w:lvl>
    <w:lvl w:ilvl="7" w:tplc="E440F970">
      <w:start w:val="1"/>
      <w:numFmt w:val="lowerLetter"/>
      <w:lvlText w:val="%8."/>
      <w:lvlJc w:val="left"/>
      <w:pPr>
        <w:ind w:left="6120" w:hanging="360"/>
      </w:pPr>
    </w:lvl>
    <w:lvl w:ilvl="8" w:tplc="037611C0">
      <w:start w:val="1"/>
      <w:numFmt w:val="lowerRoman"/>
      <w:lvlText w:val="%9."/>
      <w:lvlJc w:val="right"/>
      <w:pPr>
        <w:ind w:left="6840" w:hanging="180"/>
      </w:pPr>
    </w:lvl>
  </w:abstractNum>
  <w:abstractNum w:abstractNumId="9" w15:restartNumberingAfterBreak="0">
    <w:nsid w:val="366C0E64"/>
    <w:multiLevelType w:val="hybridMultilevel"/>
    <w:tmpl w:val="A8C048D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473D37F0"/>
    <w:multiLevelType w:val="hybridMultilevel"/>
    <w:tmpl w:val="849A7F32"/>
    <w:lvl w:ilvl="0" w:tplc="489034B6">
      <w:numFmt w:val="bullet"/>
      <w:lvlText w:val=""/>
      <w:lvlJc w:val="left"/>
      <w:pPr>
        <w:ind w:left="885" w:hanging="358"/>
      </w:pPr>
      <w:rPr>
        <w:rFonts w:ascii="Wingdings" w:eastAsia="Wingdings" w:hAnsi="Wingdings" w:cs="Wingdings" w:hint="default"/>
        <w:b w:val="0"/>
        <w:bCs w:val="0"/>
        <w:i w:val="0"/>
        <w:iCs w:val="0"/>
        <w:spacing w:val="0"/>
        <w:w w:val="100"/>
        <w:sz w:val="24"/>
        <w:szCs w:val="24"/>
        <w:lang w:val="en-US" w:eastAsia="en-US" w:bidi="ar-SA"/>
      </w:rPr>
    </w:lvl>
    <w:lvl w:ilvl="1" w:tplc="98C8C072">
      <w:numFmt w:val="bullet"/>
      <w:lvlText w:val="•"/>
      <w:lvlJc w:val="left"/>
      <w:pPr>
        <w:ind w:left="1385" w:hanging="358"/>
      </w:pPr>
      <w:rPr>
        <w:rFonts w:hint="default"/>
        <w:lang w:val="en-US" w:eastAsia="en-US" w:bidi="ar-SA"/>
      </w:rPr>
    </w:lvl>
    <w:lvl w:ilvl="2" w:tplc="62E8C214">
      <w:numFmt w:val="bullet"/>
      <w:lvlText w:val="•"/>
      <w:lvlJc w:val="left"/>
      <w:pPr>
        <w:ind w:left="1891" w:hanging="358"/>
      </w:pPr>
      <w:rPr>
        <w:rFonts w:hint="default"/>
        <w:lang w:val="en-US" w:eastAsia="en-US" w:bidi="ar-SA"/>
      </w:rPr>
    </w:lvl>
    <w:lvl w:ilvl="3" w:tplc="03DA1DF0">
      <w:numFmt w:val="bullet"/>
      <w:lvlText w:val="•"/>
      <w:lvlJc w:val="left"/>
      <w:pPr>
        <w:ind w:left="2397" w:hanging="358"/>
      </w:pPr>
      <w:rPr>
        <w:rFonts w:hint="default"/>
        <w:lang w:val="en-US" w:eastAsia="en-US" w:bidi="ar-SA"/>
      </w:rPr>
    </w:lvl>
    <w:lvl w:ilvl="4" w:tplc="0AE2EEEC">
      <w:numFmt w:val="bullet"/>
      <w:lvlText w:val="•"/>
      <w:lvlJc w:val="left"/>
      <w:pPr>
        <w:ind w:left="2902" w:hanging="358"/>
      </w:pPr>
      <w:rPr>
        <w:rFonts w:hint="default"/>
        <w:lang w:val="en-US" w:eastAsia="en-US" w:bidi="ar-SA"/>
      </w:rPr>
    </w:lvl>
    <w:lvl w:ilvl="5" w:tplc="715C4A82">
      <w:numFmt w:val="bullet"/>
      <w:lvlText w:val="•"/>
      <w:lvlJc w:val="left"/>
      <w:pPr>
        <w:ind w:left="3408" w:hanging="358"/>
      </w:pPr>
      <w:rPr>
        <w:rFonts w:hint="default"/>
        <w:lang w:val="en-US" w:eastAsia="en-US" w:bidi="ar-SA"/>
      </w:rPr>
    </w:lvl>
    <w:lvl w:ilvl="6" w:tplc="DAA2F8BE">
      <w:numFmt w:val="bullet"/>
      <w:lvlText w:val="•"/>
      <w:lvlJc w:val="left"/>
      <w:pPr>
        <w:ind w:left="3914" w:hanging="358"/>
      </w:pPr>
      <w:rPr>
        <w:rFonts w:hint="default"/>
        <w:lang w:val="en-US" w:eastAsia="en-US" w:bidi="ar-SA"/>
      </w:rPr>
    </w:lvl>
    <w:lvl w:ilvl="7" w:tplc="33F491F4">
      <w:numFmt w:val="bullet"/>
      <w:lvlText w:val="•"/>
      <w:lvlJc w:val="left"/>
      <w:pPr>
        <w:ind w:left="4419" w:hanging="358"/>
      </w:pPr>
      <w:rPr>
        <w:rFonts w:hint="default"/>
        <w:lang w:val="en-US" w:eastAsia="en-US" w:bidi="ar-SA"/>
      </w:rPr>
    </w:lvl>
    <w:lvl w:ilvl="8" w:tplc="D0DC38FE">
      <w:numFmt w:val="bullet"/>
      <w:lvlText w:val="•"/>
      <w:lvlJc w:val="left"/>
      <w:pPr>
        <w:ind w:left="4925" w:hanging="358"/>
      </w:pPr>
      <w:rPr>
        <w:rFonts w:hint="default"/>
        <w:lang w:val="en-US" w:eastAsia="en-US" w:bidi="ar-SA"/>
      </w:rPr>
    </w:lvl>
  </w:abstractNum>
  <w:abstractNum w:abstractNumId="11" w15:restartNumberingAfterBreak="0">
    <w:nsid w:val="4CD904CC"/>
    <w:multiLevelType w:val="hybridMultilevel"/>
    <w:tmpl w:val="4E4AE33A"/>
    <w:lvl w:ilvl="0" w:tplc="CE5C20AC">
      <w:start w:val="1"/>
      <w:numFmt w:val="lowerLetter"/>
      <w:lvlText w:val="%1."/>
      <w:lvlJc w:val="left"/>
      <w:pPr>
        <w:ind w:left="1080" w:hanging="360"/>
      </w:pPr>
    </w:lvl>
    <w:lvl w:ilvl="1" w:tplc="E9A60A72">
      <w:start w:val="1"/>
      <w:numFmt w:val="lowerLetter"/>
      <w:lvlText w:val="%2."/>
      <w:lvlJc w:val="left"/>
      <w:pPr>
        <w:ind w:left="1800" w:hanging="360"/>
      </w:pPr>
    </w:lvl>
    <w:lvl w:ilvl="2" w:tplc="26700192">
      <w:start w:val="1"/>
      <w:numFmt w:val="lowerRoman"/>
      <w:lvlText w:val="%3."/>
      <w:lvlJc w:val="right"/>
      <w:pPr>
        <w:ind w:left="2520" w:hanging="180"/>
      </w:pPr>
    </w:lvl>
    <w:lvl w:ilvl="3" w:tplc="A0241538">
      <w:start w:val="1"/>
      <w:numFmt w:val="decimal"/>
      <w:lvlText w:val="%4."/>
      <w:lvlJc w:val="left"/>
      <w:pPr>
        <w:ind w:left="3240" w:hanging="360"/>
      </w:pPr>
    </w:lvl>
    <w:lvl w:ilvl="4" w:tplc="510E1848">
      <w:start w:val="1"/>
      <w:numFmt w:val="lowerLetter"/>
      <w:lvlText w:val="%5."/>
      <w:lvlJc w:val="left"/>
      <w:pPr>
        <w:ind w:left="3960" w:hanging="360"/>
      </w:pPr>
    </w:lvl>
    <w:lvl w:ilvl="5" w:tplc="E3725116">
      <w:start w:val="1"/>
      <w:numFmt w:val="lowerRoman"/>
      <w:lvlText w:val="%6."/>
      <w:lvlJc w:val="right"/>
      <w:pPr>
        <w:ind w:left="4680" w:hanging="180"/>
      </w:pPr>
    </w:lvl>
    <w:lvl w:ilvl="6" w:tplc="3A2AA572">
      <w:start w:val="1"/>
      <w:numFmt w:val="decimal"/>
      <w:lvlText w:val="%7."/>
      <w:lvlJc w:val="left"/>
      <w:pPr>
        <w:ind w:left="5400" w:hanging="360"/>
      </w:pPr>
    </w:lvl>
    <w:lvl w:ilvl="7" w:tplc="B88EB6FC">
      <w:start w:val="1"/>
      <w:numFmt w:val="lowerLetter"/>
      <w:lvlText w:val="%8."/>
      <w:lvlJc w:val="left"/>
      <w:pPr>
        <w:ind w:left="6120" w:hanging="360"/>
      </w:pPr>
    </w:lvl>
    <w:lvl w:ilvl="8" w:tplc="67EC5602">
      <w:start w:val="1"/>
      <w:numFmt w:val="lowerRoman"/>
      <w:lvlText w:val="%9."/>
      <w:lvlJc w:val="right"/>
      <w:pPr>
        <w:ind w:left="6840" w:hanging="180"/>
      </w:pPr>
    </w:lvl>
  </w:abstractNum>
  <w:abstractNum w:abstractNumId="12" w15:restartNumberingAfterBreak="0">
    <w:nsid w:val="4D654E96"/>
    <w:multiLevelType w:val="hybridMultilevel"/>
    <w:tmpl w:val="E64CADDC"/>
    <w:lvl w:ilvl="0" w:tplc="7D5813EE">
      <w:start w:val="10"/>
      <w:numFmt w:val="bullet"/>
      <w:lvlText w:val="-"/>
      <w:lvlJc w:val="left"/>
      <w:pPr>
        <w:ind w:left="1080" w:hanging="360"/>
      </w:pPr>
      <w:rPr>
        <w:rFonts w:ascii="Calibri" w:eastAsia="Calibr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4E9BE838"/>
    <w:multiLevelType w:val="hybridMultilevel"/>
    <w:tmpl w:val="2CDA2A42"/>
    <w:lvl w:ilvl="0" w:tplc="7F2AE13E">
      <w:start w:val="1"/>
      <w:numFmt w:val="lowerLetter"/>
      <w:lvlText w:val="%1."/>
      <w:lvlJc w:val="left"/>
      <w:pPr>
        <w:ind w:left="1080" w:hanging="360"/>
      </w:pPr>
    </w:lvl>
    <w:lvl w:ilvl="1" w:tplc="97A07724">
      <w:start w:val="1"/>
      <w:numFmt w:val="lowerLetter"/>
      <w:lvlText w:val="%2."/>
      <w:lvlJc w:val="left"/>
      <w:pPr>
        <w:ind w:left="1800" w:hanging="360"/>
      </w:pPr>
    </w:lvl>
    <w:lvl w:ilvl="2" w:tplc="16FC42F6">
      <w:start w:val="1"/>
      <w:numFmt w:val="lowerRoman"/>
      <w:lvlText w:val="%3."/>
      <w:lvlJc w:val="right"/>
      <w:pPr>
        <w:ind w:left="2520" w:hanging="180"/>
      </w:pPr>
    </w:lvl>
    <w:lvl w:ilvl="3" w:tplc="2D1C124C">
      <w:start w:val="1"/>
      <w:numFmt w:val="decimal"/>
      <w:lvlText w:val="%4."/>
      <w:lvlJc w:val="left"/>
      <w:pPr>
        <w:ind w:left="3240" w:hanging="360"/>
      </w:pPr>
    </w:lvl>
    <w:lvl w:ilvl="4" w:tplc="67886572">
      <w:start w:val="1"/>
      <w:numFmt w:val="lowerLetter"/>
      <w:lvlText w:val="%5."/>
      <w:lvlJc w:val="left"/>
      <w:pPr>
        <w:ind w:left="3960" w:hanging="360"/>
      </w:pPr>
    </w:lvl>
    <w:lvl w:ilvl="5" w:tplc="547EDF4E">
      <w:start w:val="1"/>
      <w:numFmt w:val="lowerRoman"/>
      <w:lvlText w:val="%6."/>
      <w:lvlJc w:val="right"/>
      <w:pPr>
        <w:ind w:left="4680" w:hanging="180"/>
      </w:pPr>
    </w:lvl>
    <w:lvl w:ilvl="6" w:tplc="5F6646B6">
      <w:start w:val="1"/>
      <w:numFmt w:val="decimal"/>
      <w:lvlText w:val="%7."/>
      <w:lvlJc w:val="left"/>
      <w:pPr>
        <w:ind w:left="5400" w:hanging="360"/>
      </w:pPr>
    </w:lvl>
    <w:lvl w:ilvl="7" w:tplc="2EB8C8D0">
      <w:start w:val="1"/>
      <w:numFmt w:val="lowerLetter"/>
      <w:lvlText w:val="%8."/>
      <w:lvlJc w:val="left"/>
      <w:pPr>
        <w:ind w:left="6120" w:hanging="360"/>
      </w:pPr>
    </w:lvl>
    <w:lvl w:ilvl="8" w:tplc="808276A6">
      <w:start w:val="1"/>
      <w:numFmt w:val="lowerRoman"/>
      <w:lvlText w:val="%9."/>
      <w:lvlJc w:val="right"/>
      <w:pPr>
        <w:ind w:left="6840" w:hanging="180"/>
      </w:pPr>
    </w:lvl>
  </w:abstractNum>
  <w:abstractNum w:abstractNumId="14" w15:restartNumberingAfterBreak="0">
    <w:nsid w:val="52AD6437"/>
    <w:multiLevelType w:val="hybridMultilevel"/>
    <w:tmpl w:val="09A69E60"/>
    <w:lvl w:ilvl="0" w:tplc="6978B576">
      <w:start w:val="1"/>
      <w:numFmt w:val="bullet"/>
      <w:lvlText w:val=""/>
      <w:lvlJc w:val="left"/>
      <w:pPr>
        <w:ind w:left="720" w:hanging="360"/>
      </w:pPr>
      <w:rPr>
        <w:rFonts w:ascii="Symbol" w:hAnsi="Symbol" w:hint="default"/>
      </w:rPr>
    </w:lvl>
    <w:lvl w:ilvl="1" w:tplc="0AC23902">
      <w:start w:val="1"/>
      <w:numFmt w:val="bullet"/>
      <w:lvlText w:val="o"/>
      <w:lvlJc w:val="left"/>
      <w:pPr>
        <w:ind w:left="1440" w:hanging="360"/>
      </w:pPr>
      <w:rPr>
        <w:rFonts w:ascii="Courier New" w:hAnsi="Courier New" w:hint="default"/>
      </w:rPr>
    </w:lvl>
    <w:lvl w:ilvl="2" w:tplc="5720BAC8">
      <w:start w:val="1"/>
      <w:numFmt w:val="bullet"/>
      <w:lvlText w:val=""/>
      <w:lvlJc w:val="left"/>
      <w:pPr>
        <w:ind w:left="2160" w:hanging="360"/>
      </w:pPr>
      <w:rPr>
        <w:rFonts w:ascii="Wingdings" w:hAnsi="Wingdings" w:hint="default"/>
      </w:rPr>
    </w:lvl>
    <w:lvl w:ilvl="3" w:tplc="0B84257E">
      <w:start w:val="1"/>
      <w:numFmt w:val="bullet"/>
      <w:lvlText w:val=""/>
      <w:lvlJc w:val="left"/>
      <w:pPr>
        <w:ind w:left="2880" w:hanging="360"/>
      </w:pPr>
      <w:rPr>
        <w:rFonts w:ascii="Symbol" w:hAnsi="Symbol" w:hint="default"/>
      </w:rPr>
    </w:lvl>
    <w:lvl w:ilvl="4" w:tplc="C4A0EBC6">
      <w:start w:val="1"/>
      <w:numFmt w:val="bullet"/>
      <w:lvlText w:val="o"/>
      <w:lvlJc w:val="left"/>
      <w:pPr>
        <w:ind w:left="3600" w:hanging="360"/>
      </w:pPr>
      <w:rPr>
        <w:rFonts w:ascii="Courier New" w:hAnsi="Courier New" w:hint="default"/>
      </w:rPr>
    </w:lvl>
    <w:lvl w:ilvl="5" w:tplc="8FC61426">
      <w:start w:val="1"/>
      <w:numFmt w:val="bullet"/>
      <w:lvlText w:val=""/>
      <w:lvlJc w:val="left"/>
      <w:pPr>
        <w:ind w:left="4320" w:hanging="360"/>
      </w:pPr>
      <w:rPr>
        <w:rFonts w:ascii="Wingdings" w:hAnsi="Wingdings" w:hint="default"/>
      </w:rPr>
    </w:lvl>
    <w:lvl w:ilvl="6" w:tplc="532AEE70">
      <w:start w:val="1"/>
      <w:numFmt w:val="bullet"/>
      <w:lvlText w:val=""/>
      <w:lvlJc w:val="left"/>
      <w:pPr>
        <w:ind w:left="5040" w:hanging="360"/>
      </w:pPr>
      <w:rPr>
        <w:rFonts w:ascii="Symbol" w:hAnsi="Symbol" w:hint="default"/>
      </w:rPr>
    </w:lvl>
    <w:lvl w:ilvl="7" w:tplc="C42E93C4">
      <w:start w:val="1"/>
      <w:numFmt w:val="bullet"/>
      <w:lvlText w:val="o"/>
      <w:lvlJc w:val="left"/>
      <w:pPr>
        <w:ind w:left="5760" w:hanging="360"/>
      </w:pPr>
      <w:rPr>
        <w:rFonts w:ascii="Courier New" w:hAnsi="Courier New" w:hint="default"/>
      </w:rPr>
    </w:lvl>
    <w:lvl w:ilvl="8" w:tplc="659443AA">
      <w:start w:val="1"/>
      <w:numFmt w:val="bullet"/>
      <w:lvlText w:val=""/>
      <w:lvlJc w:val="left"/>
      <w:pPr>
        <w:ind w:left="6480" w:hanging="360"/>
      </w:pPr>
      <w:rPr>
        <w:rFonts w:ascii="Wingdings" w:hAnsi="Wingdings" w:hint="default"/>
      </w:rPr>
    </w:lvl>
  </w:abstractNum>
  <w:abstractNum w:abstractNumId="15" w15:restartNumberingAfterBreak="0">
    <w:nsid w:val="5A66A24B"/>
    <w:multiLevelType w:val="hybridMultilevel"/>
    <w:tmpl w:val="5C1291E8"/>
    <w:lvl w:ilvl="0" w:tplc="FB44FD06">
      <w:start w:val="1"/>
      <w:numFmt w:val="lowerLetter"/>
      <w:lvlText w:val="%1."/>
      <w:lvlJc w:val="left"/>
      <w:pPr>
        <w:ind w:left="1080" w:hanging="360"/>
      </w:pPr>
    </w:lvl>
    <w:lvl w:ilvl="1" w:tplc="6768917A">
      <w:start w:val="1"/>
      <w:numFmt w:val="lowerLetter"/>
      <w:lvlText w:val="%2."/>
      <w:lvlJc w:val="left"/>
      <w:pPr>
        <w:ind w:left="1800" w:hanging="360"/>
      </w:pPr>
    </w:lvl>
    <w:lvl w:ilvl="2" w:tplc="57747E78">
      <w:start w:val="1"/>
      <w:numFmt w:val="lowerRoman"/>
      <w:lvlText w:val="%3."/>
      <w:lvlJc w:val="right"/>
      <w:pPr>
        <w:ind w:left="2520" w:hanging="180"/>
      </w:pPr>
    </w:lvl>
    <w:lvl w:ilvl="3" w:tplc="37D40DFE">
      <w:start w:val="1"/>
      <w:numFmt w:val="decimal"/>
      <w:lvlText w:val="%4."/>
      <w:lvlJc w:val="left"/>
      <w:pPr>
        <w:ind w:left="3240" w:hanging="360"/>
      </w:pPr>
    </w:lvl>
    <w:lvl w:ilvl="4" w:tplc="394EF508">
      <w:start w:val="1"/>
      <w:numFmt w:val="lowerLetter"/>
      <w:lvlText w:val="%5."/>
      <w:lvlJc w:val="left"/>
      <w:pPr>
        <w:ind w:left="3960" w:hanging="360"/>
      </w:pPr>
    </w:lvl>
    <w:lvl w:ilvl="5" w:tplc="DA8CDEFE">
      <w:start w:val="1"/>
      <w:numFmt w:val="lowerRoman"/>
      <w:lvlText w:val="%6."/>
      <w:lvlJc w:val="right"/>
      <w:pPr>
        <w:ind w:left="4680" w:hanging="180"/>
      </w:pPr>
    </w:lvl>
    <w:lvl w:ilvl="6" w:tplc="717C0F2A">
      <w:start w:val="1"/>
      <w:numFmt w:val="decimal"/>
      <w:lvlText w:val="%7."/>
      <w:lvlJc w:val="left"/>
      <w:pPr>
        <w:ind w:left="5400" w:hanging="360"/>
      </w:pPr>
    </w:lvl>
    <w:lvl w:ilvl="7" w:tplc="108ADC1C">
      <w:start w:val="1"/>
      <w:numFmt w:val="lowerLetter"/>
      <w:lvlText w:val="%8."/>
      <w:lvlJc w:val="left"/>
      <w:pPr>
        <w:ind w:left="6120" w:hanging="360"/>
      </w:pPr>
    </w:lvl>
    <w:lvl w:ilvl="8" w:tplc="D4D2FE68">
      <w:start w:val="1"/>
      <w:numFmt w:val="lowerRoman"/>
      <w:lvlText w:val="%9."/>
      <w:lvlJc w:val="right"/>
      <w:pPr>
        <w:ind w:left="6840" w:hanging="180"/>
      </w:pPr>
    </w:lvl>
  </w:abstractNum>
  <w:abstractNum w:abstractNumId="16" w15:restartNumberingAfterBreak="0">
    <w:nsid w:val="5CA56EDB"/>
    <w:multiLevelType w:val="hybridMultilevel"/>
    <w:tmpl w:val="C436E4AE"/>
    <w:lvl w:ilvl="0" w:tplc="4656A51C">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7" w15:restartNumberingAfterBreak="0">
    <w:nsid w:val="6301576F"/>
    <w:multiLevelType w:val="hybridMultilevel"/>
    <w:tmpl w:val="82EAD49A"/>
    <w:lvl w:ilvl="0" w:tplc="A6EC3D3C">
      <w:start w:val="1"/>
      <w:numFmt w:val="decimal"/>
      <w:lvlText w:val="%1."/>
      <w:lvlJc w:val="left"/>
      <w:pPr>
        <w:ind w:left="720" w:hanging="360"/>
      </w:pPr>
      <w:rPr>
        <w:rFonts w:asciiTheme="minorHAnsi" w:hAnsiTheme="minorHAnsi" w:cstheme="minorBidi"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68FE1D0"/>
    <w:multiLevelType w:val="hybridMultilevel"/>
    <w:tmpl w:val="37E49F9A"/>
    <w:lvl w:ilvl="0" w:tplc="81C851FC">
      <w:start w:val="1"/>
      <w:numFmt w:val="decimal"/>
      <w:lvlText w:val="%1."/>
      <w:lvlJc w:val="left"/>
      <w:pPr>
        <w:ind w:left="720" w:hanging="360"/>
      </w:pPr>
    </w:lvl>
    <w:lvl w:ilvl="1" w:tplc="806C49EA">
      <w:start w:val="1"/>
      <w:numFmt w:val="lowerLetter"/>
      <w:lvlText w:val="%2."/>
      <w:lvlJc w:val="left"/>
      <w:pPr>
        <w:ind w:left="1440" w:hanging="360"/>
      </w:pPr>
    </w:lvl>
    <w:lvl w:ilvl="2" w:tplc="259C5EE6">
      <w:start w:val="1"/>
      <w:numFmt w:val="lowerRoman"/>
      <w:lvlText w:val="%3."/>
      <w:lvlJc w:val="right"/>
      <w:pPr>
        <w:ind w:left="2160" w:hanging="180"/>
      </w:pPr>
    </w:lvl>
    <w:lvl w:ilvl="3" w:tplc="35823472">
      <w:start w:val="1"/>
      <w:numFmt w:val="decimal"/>
      <w:lvlText w:val="%4."/>
      <w:lvlJc w:val="left"/>
      <w:pPr>
        <w:ind w:left="2880" w:hanging="360"/>
      </w:pPr>
    </w:lvl>
    <w:lvl w:ilvl="4" w:tplc="4EE86808">
      <w:start w:val="1"/>
      <w:numFmt w:val="lowerLetter"/>
      <w:lvlText w:val="%5."/>
      <w:lvlJc w:val="left"/>
      <w:pPr>
        <w:ind w:left="3600" w:hanging="360"/>
      </w:pPr>
    </w:lvl>
    <w:lvl w:ilvl="5" w:tplc="89BC8984">
      <w:start w:val="1"/>
      <w:numFmt w:val="lowerRoman"/>
      <w:lvlText w:val="%6."/>
      <w:lvlJc w:val="right"/>
      <w:pPr>
        <w:ind w:left="4320" w:hanging="180"/>
      </w:pPr>
    </w:lvl>
    <w:lvl w:ilvl="6" w:tplc="1B6A28D0">
      <w:start w:val="1"/>
      <w:numFmt w:val="decimal"/>
      <w:lvlText w:val="%7."/>
      <w:lvlJc w:val="left"/>
      <w:pPr>
        <w:ind w:left="5040" w:hanging="360"/>
      </w:pPr>
    </w:lvl>
    <w:lvl w:ilvl="7" w:tplc="24460B9C">
      <w:start w:val="1"/>
      <w:numFmt w:val="lowerLetter"/>
      <w:lvlText w:val="%8."/>
      <w:lvlJc w:val="left"/>
      <w:pPr>
        <w:ind w:left="5760" w:hanging="360"/>
      </w:pPr>
    </w:lvl>
    <w:lvl w:ilvl="8" w:tplc="E5847B72">
      <w:start w:val="1"/>
      <w:numFmt w:val="lowerRoman"/>
      <w:lvlText w:val="%9."/>
      <w:lvlJc w:val="right"/>
      <w:pPr>
        <w:ind w:left="6480" w:hanging="180"/>
      </w:pPr>
    </w:lvl>
  </w:abstractNum>
  <w:abstractNum w:abstractNumId="19" w15:restartNumberingAfterBreak="0">
    <w:nsid w:val="693292B4"/>
    <w:multiLevelType w:val="hybridMultilevel"/>
    <w:tmpl w:val="49128DEE"/>
    <w:lvl w:ilvl="0" w:tplc="77C6531A">
      <w:start w:val="1"/>
      <w:numFmt w:val="lowerLetter"/>
      <w:lvlText w:val="%1."/>
      <w:lvlJc w:val="left"/>
      <w:pPr>
        <w:ind w:left="1080" w:hanging="360"/>
      </w:pPr>
    </w:lvl>
    <w:lvl w:ilvl="1" w:tplc="8ECC9A5A">
      <w:start w:val="1"/>
      <w:numFmt w:val="lowerLetter"/>
      <w:lvlText w:val="%2."/>
      <w:lvlJc w:val="left"/>
      <w:pPr>
        <w:ind w:left="1800" w:hanging="360"/>
      </w:pPr>
    </w:lvl>
    <w:lvl w:ilvl="2" w:tplc="D83E44D8">
      <w:start w:val="1"/>
      <w:numFmt w:val="lowerRoman"/>
      <w:lvlText w:val="%3."/>
      <w:lvlJc w:val="right"/>
      <w:pPr>
        <w:ind w:left="2520" w:hanging="180"/>
      </w:pPr>
    </w:lvl>
    <w:lvl w:ilvl="3" w:tplc="9C8056C6">
      <w:start w:val="1"/>
      <w:numFmt w:val="decimal"/>
      <w:lvlText w:val="%4."/>
      <w:lvlJc w:val="left"/>
      <w:pPr>
        <w:ind w:left="3240" w:hanging="360"/>
      </w:pPr>
    </w:lvl>
    <w:lvl w:ilvl="4" w:tplc="79867FD0">
      <w:start w:val="1"/>
      <w:numFmt w:val="lowerLetter"/>
      <w:lvlText w:val="%5."/>
      <w:lvlJc w:val="left"/>
      <w:pPr>
        <w:ind w:left="3960" w:hanging="360"/>
      </w:pPr>
    </w:lvl>
    <w:lvl w:ilvl="5" w:tplc="DC94AFF4">
      <w:start w:val="1"/>
      <w:numFmt w:val="lowerRoman"/>
      <w:lvlText w:val="%6."/>
      <w:lvlJc w:val="right"/>
      <w:pPr>
        <w:ind w:left="4680" w:hanging="180"/>
      </w:pPr>
    </w:lvl>
    <w:lvl w:ilvl="6" w:tplc="991C3A60">
      <w:start w:val="1"/>
      <w:numFmt w:val="decimal"/>
      <w:lvlText w:val="%7."/>
      <w:lvlJc w:val="left"/>
      <w:pPr>
        <w:ind w:left="5400" w:hanging="360"/>
      </w:pPr>
    </w:lvl>
    <w:lvl w:ilvl="7" w:tplc="064AAEB6">
      <w:start w:val="1"/>
      <w:numFmt w:val="lowerLetter"/>
      <w:lvlText w:val="%8."/>
      <w:lvlJc w:val="left"/>
      <w:pPr>
        <w:ind w:left="6120" w:hanging="360"/>
      </w:pPr>
    </w:lvl>
    <w:lvl w:ilvl="8" w:tplc="135625CA">
      <w:start w:val="1"/>
      <w:numFmt w:val="lowerRoman"/>
      <w:lvlText w:val="%9."/>
      <w:lvlJc w:val="right"/>
      <w:pPr>
        <w:ind w:left="6840" w:hanging="180"/>
      </w:pPr>
    </w:lvl>
  </w:abstractNum>
  <w:abstractNum w:abstractNumId="20" w15:restartNumberingAfterBreak="0">
    <w:nsid w:val="698032ED"/>
    <w:multiLevelType w:val="multilevel"/>
    <w:tmpl w:val="17F0A87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6EE76E1A"/>
    <w:multiLevelType w:val="hybridMultilevel"/>
    <w:tmpl w:val="24E60446"/>
    <w:lvl w:ilvl="0" w:tplc="5F62CBFE">
      <w:start w:val="1"/>
      <w:numFmt w:val="lowerLetter"/>
      <w:lvlText w:val="%1."/>
      <w:lvlJc w:val="left"/>
      <w:pPr>
        <w:ind w:left="1080" w:hanging="360"/>
      </w:pPr>
    </w:lvl>
    <w:lvl w:ilvl="1" w:tplc="6DFE2652">
      <w:start w:val="1"/>
      <w:numFmt w:val="lowerLetter"/>
      <w:lvlText w:val="%2."/>
      <w:lvlJc w:val="left"/>
      <w:pPr>
        <w:ind w:left="1800" w:hanging="360"/>
      </w:pPr>
    </w:lvl>
    <w:lvl w:ilvl="2" w:tplc="84A2A9F0">
      <w:start w:val="1"/>
      <w:numFmt w:val="lowerRoman"/>
      <w:lvlText w:val="%3."/>
      <w:lvlJc w:val="right"/>
      <w:pPr>
        <w:ind w:left="2520" w:hanging="180"/>
      </w:pPr>
    </w:lvl>
    <w:lvl w:ilvl="3" w:tplc="07CC748C">
      <w:start w:val="1"/>
      <w:numFmt w:val="decimal"/>
      <w:lvlText w:val="%4."/>
      <w:lvlJc w:val="left"/>
      <w:pPr>
        <w:ind w:left="3240" w:hanging="360"/>
      </w:pPr>
    </w:lvl>
    <w:lvl w:ilvl="4" w:tplc="AE8252D6">
      <w:start w:val="1"/>
      <w:numFmt w:val="lowerLetter"/>
      <w:lvlText w:val="%5."/>
      <w:lvlJc w:val="left"/>
      <w:pPr>
        <w:ind w:left="3960" w:hanging="360"/>
      </w:pPr>
    </w:lvl>
    <w:lvl w:ilvl="5" w:tplc="3ECEC580">
      <w:start w:val="1"/>
      <w:numFmt w:val="lowerRoman"/>
      <w:lvlText w:val="%6."/>
      <w:lvlJc w:val="right"/>
      <w:pPr>
        <w:ind w:left="4680" w:hanging="180"/>
      </w:pPr>
    </w:lvl>
    <w:lvl w:ilvl="6" w:tplc="46547044">
      <w:start w:val="1"/>
      <w:numFmt w:val="decimal"/>
      <w:lvlText w:val="%7."/>
      <w:lvlJc w:val="left"/>
      <w:pPr>
        <w:ind w:left="5400" w:hanging="360"/>
      </w:pPr>
    </w:lvl>
    <w:lvl w:ilvl="7" w:tplc="5F687100">
      <w:start w:val="1"/>
      <w:numFmt w:val="lowerLetter"/>
      <w:lvlText w:val="%8."/>
      <w:lvlJc w:val="left"/>
      <w:pPr>
        <w:ind w:left="6120" w:hanging="360"/>
      </w:pPr>
    </w:lvl>
    <w:lvl w:ilvl="8" w:tplc="9CEC7CE0">
      <w:start w:val="1"/>
      <w:numFmt w:val="lowerRoman"/>
      <w:lvlText w:val="%9."/>
      <w:lvlJc w:val="right"/>
      <w:pPr>
        <w:ind w:left="6840" w:hanging="180"/>
      </w:pPr>
    </w:lvl>
  </w:abstractNum>
  <w:abstractNum w:abstractNumId="22" w15:restartNumberingAfterBreak="0">
    <w:nsid w:val="71807CF8"/>
    <w:multiLevelType w:val="hybridMultilevel"/>
    <w:tmpl w:val="10FCD01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360715093">
    <w:abstractNumId w:val="20"/>
  </w:num>
  <w:num w:numId="2" w16cid:durableId="1189099679">
    <w:abstractNumId w:val="4"/>
  </w:num>
  <w:num w:numId="3" w16cid:durableId="1352800452">
    <w:abstractNumId w:val="17"/>
  </w:num>
  <w:num w:numId="4" w16cid:durableId="1026755917">
    <w:abstractNumId w:val="14"/>
  </w:num>
  <w:num w:numId="5" w16cid:durableId="24991573">
    <w:abstractNumId w:val="6"/>
  </w:num>
  <w:num w:numId="6" w16cid:durableId="625284180">
    <w:abstractNumId w:val="21"/>
  </w:num>
  <w:num w:numId="7" w16cid:durableId="415052249">
    <w:abstractNumId w:val="15"/>
  </w:num>
  <w:num w:numId="8" w16cid:durableId="132916361">
    <w:abstractNumId w:val="11"/>
  </w:num>
  <w:num w:numId="9" w16cid:durableId="286398690">
    <w:abstractNumId w:val="8"/>
  </w:num>
  <w:num w:numId="10" w16cid:durableId="1320353817">
    <w:abstractNumId w:val="19"/>
  </w:num>
  <w:num w:numId="11" w16cid:durableId="2145342488">
    <w:abstractNumId w:val="13"/>
  </w:num>
  <w:num w:numId="12" w16cid:durableId="1634555894">
    <w:abstractNumId w:val="18"/>
  </w:num>
  <w:num w:numId="13" w16cid:durableId="773093596">
    <w:abstractNumId w:val="2"/>
  </w:num>
  <w:num w:numId="14" w16cid:durableId="1763911784">
    <w:abstractNumId w:val="12"/>
  </w:num>
  <w:num w:numId="15" w16cid:durableId="167016300">
    <w:abstractNumId w:val="3"/>
  </w:num>
  <w:num w:numId="16" w16cid:durableId="230579462">
    <w:abstractNumId w:val="1"/>
  </w:num>
  <w:num w:numId="17" w16cid:durableId="2013990021">
    <w:abstractNumId w:val="22"/>
  </w:num>
  <w:num w:numId="18" w16cid:durableId="692729786">
    <w:abstractNumId w:val="5"/>
  </w:num>
  <w:num w:numId="19" w16cid:durableId="1588268364">
    <w:abstractNumId w:val="10"/>
  </w:num>
  <w:num w:numId="20" w16cid:durableId="337583088">
    <w:abstractNumId w:val="7"/>
  </w:num>
  <w:num w:numId="21" w16cid:durableId="1812022220">
    <w:abstractNumId w:val="9"/>
  </w:num>
  <w:num w:numId="22" w16cid:durableId="239875655">
    <w:abstractNumId w:val="0"/>
  </w:num>
  <w:num w:numId="23" w16cid:durableId="208379286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8DC"/>
    <w:rsid w:val="00002562"/>
    <w:rsid w:val="000028CE"/>
    <w:rsid w:val="0000471A"/>
    <w:rsid w:val="0001187F"/>
    <w:rsid w:val="00012596"/>
    <w:rsid w:val="000442E2"/>
    <w:rsid w:val="000477FB"/>
    <w:rsid w:val="0005254A"/>
    <w:rsid w:val="00053BA5"/>
    <w:rsid w:val="00055A3A"/>
    <w:rsid w:val="0006278B"/>
    <w:rsid w:val="00064700"/>
    <w:rsid w:val="00072B62"/>
    <w:rsid w:val="00074013"/>
    <w:rsid w:val="000902B5"/>
    <w:rsid w:val="000A50CF"/>
    <w:rsid w:val="000B0A18"/>
    <w:rsid w:val="000B1A73"/>
    <w:rsid w:val="000B500A"/>
    <w:rsid w:val="000C08F8"/>
    <w:rsid w:val="000D0EBD"/>
    <w:rsid w:val="000E0D8F"/>
    <w:rsid w:val="000E64B8"/>
    <w:rsid w:val="000F1F5F"/>
    <w:rsid w:val="00104384"/>
    <w:rsid w:val="00120557"/>
    <w:rsid w:val="00131DAD"/>
    <w:rsid w:val="00132F06"/>
    <w:rsid w:val="001338B3"/>
    <w:rsid w:val="00134AEF"/>
    <w:rsid w:val="00140C21"/>
    <w:rsid w:val="00146AC3"/>
    <w:rsid w:val="0015496B"/>
    <w:rsid w:val="00161D72"/>
    <w:rsid w:val="00162A94"/>
    <w:rsid w:val="00170AEA"/>
    <w:rsid w:val="001819A6"/>
    <w:rsid w:val="00193AE0"/>
    <w:rsid w:val="00194B1D"/>
    <w:rsid w:val="001979D8"/>
    <w:rsid w:val="001B5039"/>
    <w:rsid w:val="001D3F7D"/>
    <w:rsid w:val="001D4D00"/>
    <w:rsid w:val="001D7FC0"/>
    <w:rsid w:val="001E2492"/>
    <w:rsid w:val="001F0BE7"/>
    <w:rsid w:val="001F32B9"/>
    <w:rsid w:val="001F5F0B"/>
    <w:rsid w:val="00204A49"/>
    <w:rsid w:val="002163A2"/>
    <w:rsid w:val="00216D33"/>
    <w:rsid w:val="00222393"/>
    <w:rsid w:val="00222EE7"/>
    <w:rsid w:val="0022469C"/>
    <w:rsid w:val="00224BE7"/>
    <w:rsid w:val="00230927"/>
    <w:rsid w:val="00250FF1"/>
    <w:rsid w:val="002534C3"/>
    <w:rsid w:val="00256D4E"/>
    <w:rsid w:val="00270866"/>
    <w:rsid w:val="002742B8"/>
    <w:rsid w:val="00280439"/>
    <w:rsid w:val="002849F4"/>
    <w:rsid w:val="002856C8"/>
    <w:rsid w:val="002863B6"/>
    <w:rsid w:val="002878A1"/>
    <w:rsid w:val="002936D7"/>
    <w:rsid w:val="002A1399"/>
    <w:rsid w:val="002B1F58"/>
    <w:rsid w:val="002B33FC"/>
    <w:rsid w:val="002E0932"/>
    <w:rsid w:val="002E3F67"/>
    <w:rsid w:val="003100EA"/>
    <w:rsid w:val="003109DF"/>
    <w:rsid w:val="003218EE"/>
    <w:rsid w:val="00331191"/>
    <w:rsid w:val="00331B33"/>
    <w:rsid w:val="00335AF2"/>
    <w:rsid w:val="003413C0"/>
    <w:rsid w:val="00342414"/>
    <w:rsid w:val="00346B64"/>
    <w:rsid w:val="00351C8D"/>
    <w:rsid w:val="003652AB"/>
    <w:rsid w:val="00376325"/>
    <w:rsid w:val="00376F4E"/>
    <w:rsid w:val="0037756E"/>
    <w:rsid w:val="003918CC"/>
    <w:rsid w:val="003A1C82"/>
    <w:rsid w:val="003A76B7"/>
    <w:rsid w:val="003B0DD7"/>
    <w:rsid w:val="003B2C55"/>
    <w:rsid w:val="003B7B9E"/>
    <w:rsid w:val="003C6055"/>
    <w:rsid w:val="003D132E"/>
    <w:rsid w:val="003E0CFB"/>
    <w:rsid w:val="003E3642"/>
    <w:rsid w:val="003F684C"/>
    <w:rsid w:val="00420749"/>
    <w:rsid w:val="0042297A"/>
    <w:rsid w:val="00441D59"/>
    <w:rsid w:val="004437FD"/>
    <w:rsid w:val="00444469"/>
    <w:rsid w:val="004463F7"/>
    <w:rsid w:val="00446FFF"/>
    <w:rsid w:val="00447984"/>
    <w:rsid w:val="0045265E"/>
    <w:rsid w:val="0047257E"/>
    <w:rsid w:val="004802AD"/>
    <w:rsid w:val="0048496E"/>
    <w:rsid w:val="004A56DF"/>
    <w:rsid w:val="004B09F4"/>
    <w:rsid w:val="004B5D25"/>
    <w:rsid w:val="004B5F58"/>
    <w:rsid w:val="004C2FE0"/>
    <w:rsid w:val="004D645D"/>
    <w:rsid w:val="004E650B"/>
    <w:rsid w:val="004F05FA"/>
    <w:rsid w:val="004F2072"/>
    <w:rsid w:val="004F3E81"/>
    <w:rsid w:val="004F421D"/>
    <w:rsid w:val="00502EA4"/>
    <w:rsid w:val="005371F3"/>
    <w:rsid w:val="00541E06"/>
    <w:rsid w:val="005455A5"/>
    <w:rsid w:val="00546A09"/>
    <w:rsid w:val="00553194"/>
    <w:rsid w:val="00560A8F"/>
    <w:rsid w:val="005621FD"/>
    <w:rsid w:val="005669F8"/>
    <w:rsid w:val="00570361"/>
    <w:rsid w:val="00575358"/>
    <w:rsid w:val="005A7BDB"/>
    <w:rsid w:val="005B5FD1"/>
    <w:rsid w:val="005C2F46"/>
    <w:rsid w:val="005C587C"/>
    <w:rsid w:val="005D2055"/>
    <w:rsid w:val="005D4926"/>
    <w:rsid w:val="005D6A22"/>
    <w:rsid w:val="005D6D10"/>
    <w:rsid w:val="00602009"/>
    <w:rsid w:val="00605A04"/>
    <w:rsid w:val="00610E5B"/>
    <w:rsid w:val="00614311"/>
    <w:rsid w:val="00614EC8"/>
    <w:rsid w:val="00620987"/>
    <w:rsid w:val="00623F3A"/>
    <w:rsid w:val="0062406B"/>
    <w:rsid w:val="00626160"/>
    <w:rsid w:val="00630014"/>
    <w:rsid w:val="006357C2"/>
    <w:rsid w:val="00641A2C"/>
    <w:rsid w:val="00644F78"/>
    <w:rsid w:val="006524E2"/>
    <w:rsid w:val="00670F4D"/>
    <w:rsid w:val="00674F26"/>
    <w:rsid w:val="0067659F"/>
    <w:rsid w:val="006B19A9"/>
    <w:rsid w:val="006D07A8"/>
    <w:rsid w:val="006D10F5"/>
    <w:rsid w:val="006D19CA"/>
    <w:rsid w:val="006D3431"/>
    <w:rsid w:val="006D5277"/>
    <w:rsid w:val="006F15BF"/>
    <w:rsid w:val="00700A72"/>
    <w:rsid w:val="00712BF1"/>
    <w:rsid w:val="00713C4F"/>
    <w:rsid w:val="00720F4F"/>
    <w:rsid w:val="00723BB0"/>
    <w:rsid w:val="007253EB"/>
    <w:rsid w:val="00726F09"/>
    <w:rsid w:val="007400EB"/>
    <w:rsid w:val="007444F3"/>
    <w:rsid w:val="00744EDF"/>
    <w:rsid w:val="007451A4"/>
    <w:rsid w:val="00760ED9"/>
    <w:rsid w:val="00762BC0"/>
    <w:rsid w:val="0077260F"/>
    <w:rsid w:val="00777AE7"/>
    <w:rsid w:val="00782E54"/>
    <w:rsid w:val="00791AB4"/>
    <w:rsid w:val="00795D7D"/>
    <w:rsid w:val="007A63C6"/>
    <w:rsid w:val="007B1469"/>
    <w:rsid w:val="007B160D"/>
    <w:rsid w:val="007B328C"/>
    <w:rsid w:val="007D121A"/>
    <w:rsid w:val="007D589C"/>
    <w:rsid w:val="007E59A2"/>
    <w:rsid w:val="007F0996"/>
    <w:rsid w:val="0080494F"/>
    <w:rsid w:val="008052F5"/>
    <w:rsid w:val="00824250"/>
    <w:rsid w:val="00851044"/>
    <w:rsid w:val="008546A3"/>
    <w:rsid w:val="00862613"/>
    <w:rsid w:val="00863156"/>
    <w:rsid w:val="00876FA0"/>
    <w:rsid w:val="0088151B"/>
    <w:rsid w:val="008A12FD"/>
    <w:rsid w:val="008A7F07"/>
    <w:rsid w:val="008C6D16"/>
    <w:rsid w:val="008E0AD6"/>
    <w:rsid w:val="008F7540"/>
    <w:rsid w:val="00910753"/>
    <w:rsid w:val="009108DC"/>
    <w:rsid w:val="009212F1"/>
    <w:rsid w:val="009408B4"/>
    <w:rsid w:val="00942CA0"/>
    <w:rsid w:val="00946337"/>
    <w:rsid w:val="009476DC"/>
    <w:rsid w:val="00947824"/>
    <w:rsid w:val="009524D6"/>
    <w:rsid w:val="00957A86"/>
    <w:rsid w:val="00963F15"/>
    <w:rsid w:val="0097256C"/>
    <w:rsid w:val="00974774"/>
    <w:rsid w:val="0098373A"/>
    <w:rsid w:val="009909A8"/>
    <w:rsid w:val="00993376"/>
    <w:rsid w:val="009A1761"/>
    <w:rsid w:val="009C5129"/>
    <w:rsid w:val="009C55B9"/>
    <w:rsid w:val="009D443A"/>
    <w:rsid w:val="009D6A3B"/>
    <w:rsid w:val="009D72DD"/>
    <w:rsid w:val="009E3C45"/>
    <w:rsid w:val="009F4761"/>
    <w:rsid w:val="00A0569D"/>
    <w:rsid w:val="00A06DC6"/>
    <w:rsid w:val="00A10ED1"/>
    <w:rsid w:val="00A12BB4"/>
    <w:rsid w:val="00A14A83"/>
    <w:rsid w:val="00A1772F"/>
    <w:rsid w:val="00A224BA"/>
    <w:rsid w:val="00A32744"/>
    <w:rsid w:val="00A348EF"/>
    <w:rsid w:val="00A44AB4"/>
    <w:rsid w:val="00A60156"/>
    <w:rsid w:val="00A61262"/>
    <w:rsid w:val="00A62ECF"/>
    <w:rsid w:val="00A76C46"/>
    <w:rsid w:val="00A960B9"/>
    <w:rsid w:val="00AA3479"/>
    <w:rsid w:val="00AA77CB"/>
    <w:rsid w:val="00AA7865"/>
    <w:rsid w:val="00AB4AC0"/>
    <w:rsid w:val="00AB6885"/>
    <w:rsid w:val="00AC2DD9"/>
    <w:rsid w:val="00AC6729"/>
    <w:rsid w:val="00AD65C7"/>
    <w:rsid w:val="00AF0252"/>
    <w:rsid w:val="00AF73AF"/>
    <w:rsid w:val="00B12E05"/>
    <w:rsid w:val="00B24796"/>
    <w:rsid w:val="00B411A0"/>
    <w:rsid w:val="00B51AA8"/>
    <w:rsid w:val="00B65500"/>
    <w:rsid w:val="00B66AA1"/>
    <w:rsid w:val="00B877B1"/>
    <w:rsid w:val="00B91ED7"/>
    <w:rsid w:val="00BC1D4D"/>
    <w:rsid w:val="00BC5DF6"/>
    <w:rsid w:val="00BD6170"/>
    <w:rsid w:val="00BE22F0"/>
    <w:rsid w:val="00C117A0"/>
    <w:rsid w:val="00C420FA"/>
    <w:rsid w:val="00C449DE"/>
    <w:rsid w:val="00C457AE"/>
    <w:rsid w:val="00C56865"/>
    <w:rsid w:val="00C72DAF"/>
    <w:rsid w:val="00C74CA7"/>
    <w:rsid w:val="00C962D8"/>
    <w:rsid w:val="00CB1EFE"/>
    <w:rsid w:val="00CC3189"/>
    <w:rsid w:val="00CD68D4"/>
    <w:rsid w:val="00CD7EAC"/>
    <w:rsid w:val="00CE067A"/>
    <w:rsid w:val="00CF563F"/>
    <w:rsid w:val="00D073C2"/>
    <w:rsid w:val="00D121A0"/>
    <w:rsid w:val="00D134EC"/>
    <w:rsid w:val="00D46BFD"/>
    <w:rsid w:val="00D4720B"/>
    <w:rsid w:val="00D51C4A"/>
    <w:rsid w:val="00D62054"/>
    <w:rsid w:val="00D64870"/>
    <w:rsid w:val="00D77847"/>
    <w:rsid w:val="00D82EF1"/>
    <w:rsid w:val="00D83FB7"/>
    <w:rsid w:val="00D86655"/>
    <w:rsid w:val="00D90122"/>
    <w:rsid w:val="00D93DB8"/>
    <w:rsid w:val="00DB4040"/>
    <w:rsid w:val="00DC3C76"/>
    <w:rsid w:val="00DD1F81"/>
    <w:rsid w:val="00DE4E36"/>
    <w:rsid w:val="00DE740A"/>
    <w:rsid w:val="00DF329E"/>
    <w:rsid w:val="00DF55F1"/>
    <w:rsid w:val="00E01A47"/>
    <w:rsid w:val="00E01A4B"/>
    <w:rsid w:val="00E02D85"/>
    <w:rsid w:val="00E14420"/>
    <w:rsid w:val="00E21ED1"/>
    <w:rsid w:val="00E22412"/>
    <w:rsid w:val="00E43C94"/>
    <w:rsid w:val="00E52310"/>
    <w:rsid w:val="00E55528"/>
    <w:rsid w:val="00E56C67"/>
    <w:rsid w:val="00E6295C"/>
    <w:rsid w:val="00E74FF3"/>
    <w:rsid w:val="00E84089"/>
    <w:rsid w:val="00E87CE4"/>
    <w:rsid w:val="00E96510"/>
    <w:rsid w:val="00EA2C99"/>
    <w:rsid w:val="00EB106E"/>
    <w:rsid w:val="00EC2CE3"/>
    <w:rsid w:val="00ED5956"/>
    <w:rsid w:val="00ED7620"/>
    <w:rsid w:val="00EE6981"/>
    <w:rsid w:val="00EE74F8"/>
    <w:rsid w:val="00EF73A8"/>
    <w:rsid w:val="00F05F95"/>
    <w:rsid w:val="00F141F8"/>
    <w:rsid w:val="00F14425"/>
    <w:rsid w:val="00F178CF"/>
    <w:rsid w:val="00F530AD"/>
    <w:rsid w:val="00F6499A"/>
    <w:rsid w:val="00F663E5"/>
    <w:rsid w:val="00F67293"/>
    <w:rsid w:val="00F72369"/>
    <w:rsid w:val="00F750C5"/>
    <w:rsid w:val="00F7682D"/>
    <w:rsid w:val="00F80E94"/>
    <w:rsid w:val="00F94D02"/>
    <w:rsid w:val="00F95069"/>
    <w:rsid w:val="00FA2A60"/>
    <w:rsid w:val="00FA4CF1"/>
    <w:rsid w:val="00FA6B73"/>
    <w:rsid w:val="00FB70A4"/>
    <w:rsid w:val="00FC017A"/>
    <w:rsid w:val="00FC5DBA"/>
    <w:rsid w:val="00FD2641"/>
    <w:rsid w:val="00FF0370"/>
    <w:rsid w:val="00FF6E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D7E62"/>
  <w15:chartTrackingRefBased/>
  <w15:docId w15:val="{738D1348-E86D-43F3-8AB1-4AFD75C3C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08DC"/>
  </w:style>
  <w:style w:type="paragraph" w:styleId="Heading1">
    <w:name w:val="heading 1"/>
    <w:basedOn w:val="Normal"/>
    <w:next w:val="Normal"/>
    <w:link w:val="Heading1Char"/>
    <w:uiPriority w:val="9"/>
    <w:qFormat/>
    <w:rsid w:val="009108D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9108D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108D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108D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108D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108D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108D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108D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108D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08D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9108D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108D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108D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108D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108D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108D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108D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108DC"/>
    <w:rPr>
      <w:rFonts w:eastAsiaTheme="majorEastAsia" w:cstheme="majorBidi"/>
      <w:color w:val="272727" w:themeColor="text1" w:themeTint="D8"/>
    </w:rPr>
  </w:style>
  <w:style w:type="paragraph" w:styleId="Title">
    <w:name w:val="Title"/>
    <w:basedOn w:val="Normal"/>
    <w:next w:val="Normal"/>
    <w:link w:val="TitleChar"/>
    <w:uiPriority w:val="10"/>
    <w:qFormat/>
    <w:rsid w:val="009108D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108D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108D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108D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108DC"/>
    <w:pPr>
      <w:spacing w:before="160"/>
      <w:jc w:val="center"/>
    </w:pPr>
    <w:rPr>
      <w:i/>
      <w:iCs/>
      <w:color w:val="404040" w:themeColor="text1" w:themeTint="BF"/>
    </w:rPr>
  </w:style>
  <w:style w:type="character" w:customStyle="1" w:styleId="QuoteChar">
    <w:name w:val="Quote Char"/>
    <w:basedOn w:val="DefaultParagraphFont"/>
    <w:link w:val="Quote"/>
    <w:uiPriority w:val="29"/>
    <w:rsid w:val="009108DC"/>
    <w:rPr>
      <w:i/>
      <w:iCs/>
      <w:color w:val="404040" w:themeColor="text1" w:themeTint="BF"/>
    </w:rPr>
  </w:style>
  <w:style w:type="paragraph" w:styleId="ListParagraph">
    <w:name w:val="List Paragraph"/>
    <w:basedOn w:val="Normal"/>
    <w:uiPriority w:val="34"/>
    <w:qFormat/>
    <w:rsid w:val="009108DC"/>
    <w:pPr>
      <w:ind w:left="720"/>
      <w:contextualSpacing/>
    </w:pPr>
  </w:style>
  <w:style w:type="character" w:styleId="IntenseEmphasis">
    <w:name w:val="Intense Emphasis"/>
    <w:basedOn w:val="DefaultParagraphFont"/>
    <w:uiPriority w:val="21"/>
    <w:qFormat/>
    <w:rsid w:val="009108DC"/>
    <w:rPr>
      <w:i/>
      <w:iCs/>
      <w:color w:val="0F4761" w:themeColor="accent1" w:themeShade="BF"/>
    </w:rPr>
  </w:style>
  <w:style w:type="paragraph" w:styleId="IntenseQuote">
    <w:name w:val="Intense Quote"/>
    <w:basedOn w:val="Normal"/>
    <w:next w:val="Normal"/>
    <w:link w:val="IntenseQuoteChar"/>
    <w:uiPriority w:val="30"/>
    <w:qFormat/>
    <w:rsid w:val="009108D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108DC"/>
    <w:rPr>
      <w:i/>
      <w:iCs/>
      <w:color w:val="0F4761" w:themeColor="accent1" w:themeShade="BF"/>
    </w:rPr>
  </w:style>
  <w:style w:type="character" w:styleId="IntenseReference">
    <w:name w:val="Intense Reference"/>
    <w:basedOn w:val="DefaultParagraphFont"/>
    <w:uiPriority w:val="32"/>
    <w:qFormat/>
    <w:rsid w:val="009108DC"/>
    <w:rPr>
      <w:b/>
      <w:bCs/>
      <w:smallCaps/>
      <w:color w:val="0F4761" w:themeColor="accent1" w:themeShade="BF"/>
      <w:spacing w:val="5"/>
    </w:rPr>
  </w:style>
  <w:style w:type="character" w:styleId="Hyperlink">
    <w:name w:val="Hyperlink"/>
    <w:basedOn w:val="DefaultParagraphFont"/>
    <w:uiPriority w:val="99"/>
    <w:unhideWhenUsed/>
    <w:rsid w:val="009108DC"/>
    <w:rPr>
      <w:color w:val="0000FF"/>
      <w:u w:val="single"/>
    </w:rPr>
  </w:style>
  <w:style w:type="table" w:styleId="TableGrid">
    <w:name w:val="Table Grid"/>
    <w:basedOn w:val="TableNormal"/>
    <w:uiPriority w:val="39"/>
    <w:rsid w:val="003218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E0D8F"/>
    <w:rPr>
      <w:color w:val="96607D" w:themeColor="followedHyperlink"/>
      <w:u w:val="single"/>
    </w:rPr>
  </w:style>
  <w:style w:type="character" w:styleId="CommentReference">
    <w:name w:val="annotation reference"/>
    <w:basedOn w:val="DefaultParagraphFont"/>
    <w:uiPriority w:val="99"/>
    <w:semiHidden/>
    <w:unhideWhenUsed/>
    <w:rsid w:val="00D86655"/>
    <w:rPr>
      <w:sz w:val="16"/>
      <w:szCs w:val="16"/>
    </w:rPr>
  </w:style>
  <w:style w:type="paragraph" w:styleId="CommentText">
    <w:name w:val="annotation text"/>
    <w:basedOn w:val="Normal"/>
    <w:link w:val="CommentTextChar"/>
    <w:uiPriority w:val="99"/>
    <w:unhideWhenUsed/>
    <w:rsid w:val="00D86655"/>
    <w:pPr>
      <w:spacing w:line="240" w:lineRule="auto"/>
    </w:pPr>
    <w:rPr>
      <w:sz w:val="20"/>
      <w:szCs w:val="20"/>
    </w:rPr>
  </w:style>
  <w:style w:type="character" w:customStyle="1" w:styleId="CommentTextChar">
    <w:name w:val="Comment Text Char"/>
    <w:basedOn w:val="DefaultParagraphFont"/>
    <w:link w:val="CommentText"/>
    <w:uiPriority w:val="99"/>
    <w:rsid w:val="00D86655"/>
    <w:rPr>
      <w:sz w:val="20"/>
      <w:szCs w:val="20"/>
    </w:rPr>
  </w:style>
  <w:style w:type="paragraph" w:styleId="CommentSubject">
    <w:name w:val="annotation subject"/>
    <w:basedOn w:val="CommentText"/>
    <w:next w:val="CommentText"/>
    <w:link w:val="CommentSubjectChar"/>
    <w:uiPriority w:val="99"/>
    <w:semiHidden/>
    <w:unhideWhenUsed/>
    <w:rsid w:val="00D86655"/>
    <w:rPr>
      <w:b/>
      <w:bCs/>
    </w:rPr>
  </w:style>
  <w:style w:type="character" w:customStyle="1" w:styleId="CommentSubjectChar">
    <w:name w:val="Comment Subject Char"/>
    <w:basedOn w:val="CommentTextChar"/>
    <w:link w:val="CommentSubject"/>
    <w:uiPriority w:val="99"/>
    <w:semiHidden/>
    <w:rsid w:val="00D86655"/>
    <w:rPr>
      <w:b/>
      <w:bCs/>
      <w:sz w:val="20"/>
      <w:szCs w:val="20"/>
    </w:rPr>
  </w:style>
  <w:style w:type="table" w:customStyle="1" w:styleId="TableGrid1">
    <w:name w:val="Table Grid1"/>
    <w:basedOn w:val="TableNormal"/>
    <w:next w:val="TableGrid"/>
    <w:uiPriority w:val="59"/>
    <w:rsid w:val="004F05FA"/>
    <w:pPr>
      <w:spacing w:after="0" w:line="240" w:lineRule="auto"/>
    </w:pPr>
    <w:rPr>
      <w:kern w:val="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UnresolvedMention">
    <w:name w:val="Unresolved Mention"/>
    <w:basedOn w:val="DefaultParagraphFont"/>
    <w:uiPriority w:val="99"/>
    <w:semiHidden/>
    <w:unhideWhenUsed/>
    <w:rsid w:val="009933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2311149">
      <w:bodyDiv w:val="1"/>
      <w:marLeft w:val="0"/>
      <w:marRight w:val="0"/>
      <w:marTop w:val="0"/>
      <w:marBottom w:val="0"/>
      <w:divBdr>
        <w:top w:val="none" w:sz="0" w:space="0" w:color="auto"/>
        <w:left w:val="none" w:sz="0" w:space="0" w:color="auto"/>
        <w:bottom w:val="none" w:sz="0" w:space="0" w:color="auto"/>
        <w:right w:val="none" w:sz="0" w:space="0" w:color="auto"/>
      </w:divBdr>
    </w:div>
    <w:div w:id="1206484515">
      <w:bodyDiv w:val="1"/>
      <w:marLeft w:val="0"/>
      <w:marRight w:val="0"/>
      <w:marTop w:val="0"/>
      <w:marBottom w:val="0"/>
      <w:divBdr>
        <w:top w:val="none" w:sz="0" w:space="0" w:color="auto"/>
        <w:left w:val="none" w:sz="0" w:space="0" w:color="auto"/>
        <w:bottom w:val="none" w:sz="0" w:space="0" w:color="auto"/>
        <w:right w:val="none" w:sz="0" w:space="0" w:color="auto"/>
      </w:divBdr>
    </w:div>
    <w:div w:id="1235899928">
      <w:bodyDiv w:val="1"/>
      <w:marLeft w:val="0"/>
      <w:marRight w:val="0"/>
      <w:marTop w:val="0"/>
      <w:marBottom w:val="0"/>
      <w:divBdr>
        <w:top w:val="none" w:sz="0" w:space="0" w:color="auto"/>
        <w:left w:val="none" w:sz="0" w:space="0" w:color="auto"/>
        <w:bottom w:val="none" w:sz="0" w:space="0" w:color="auto"/>
        <w:right w:val="none" w:sz="0" w:space="0" w:color="auto"/>
      </w:divBdr>
    </w:div>
    <w:div w:id="1496800656">
      <w:bodyDiv w:val="1"/>
      <w:marLeft w:val="0"/>
      <w:marRight w:val="0"/>
      <w:marTop w:val="0"/>
      <w:marBottom w:val="0"/>
      <w:divBdr>
        <w:top w:val="none" w:sz="0" w:space="0" w:color="auto"/>
        <w:left w:val="none" w:sz="0" w:space="0" w:color="auto"/>
        <w:bottom w:val="none" w:sz="0" w:space="0" w:color="auto"/>
        <w:right w:val="none" w:sz="0" w:space="0" w:color="auto"/>
      </w:divBdr>
    </w:div>
    <w:div w:id="2116706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ets.publishing.service.gov.uk/media/670e59e9080bdf716392f380/Agency_Rules_-_statutory_guidance_for_local_authorities_on_the_use_of_agency_child_and_family_social_workers.pdf" TargetMode="External"/><Relationship Id="rId3" Type="http://schemas.openxmlformats.org/officeDocument/2006/relationships/settings" Target="settings.xml"/><Relationship Id="rId7" Type="http://schemas.openxmlformats.org/officeDocument/2006/relationships/hyperlink" Target="https://assets.publishing.service.gov.uk/media/66e0233545cb18e102ebac3c/Agency_child_and_family_social_workers_-_data_and_price_caps_operational_guidance.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ssets.publishing.service.gov.uk/media/66e1738bcaa02d92e72c8d45/Agency_rules_statutory_guidance_for_local_authorities.pdf"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3047</Words>
  <Characters>17372</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Carbery, Amanda</dc:creator>
  <cp:keywords/>
  <dc:description/>
  <cp:lastModifiedBy>Carbery, Amanda</cp:lastModifiedBy>
  <cp:revision>2</cp:revision>
  <dcterms:created xsi:type="dcterms:W3CDTF">2024-12-04T14:50:00Z</dcterms:created>
  <dcterms:modified xsi:type="dcterms:W3CDTF">2024-12-04T14:50:00Z</dcterms:modified>
</cp:coreProperties>
</file>